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b/>
          <w:bCs/>
          <w:sz w:val="28"/>
          <w:szCs w:val="28"/>
        </w:rPr>
        <w:t xml:space="preserve">Supplementary Materials Index</w:t>
      </w:r>
    </w:p>
    <w:p>
      <w:pPr>
        <w:spacing w:after="120"/>
      </w:pPr>
      <w:r>
        <w:rPr>
          <w:rFonts w:ascii="Calibri" w:cs="Calibri" w:eastAsia="Calibri" w:hAnsi="Calibri"/>
          <w:i/>
          <w:iCs/>
          <w:color w:val="555555"/>
          <w:sz w:val="22"/>
          <w:szCs w:val="22"/>
        </w:rPr>
        <w:t xml:space="preserve">Policy Prism: Tracing Structural Absence in Algorithmic Governance Assemblages</w:t>
      </w:r>
    </w:p>
    <w:p>
      <w:pPr>
        <w:spacing w:after="200"/>
      </w:pPr>
      <w:r>
        <w:rPr>
          <w:rFonts w:ascii="Calibri" w:cs="Calibri" w:eastAsia="Calibri" w:hAnsi="Calibri"/>
          <w:color w:val="555555"/>
          <w:sz w:val="20"/>
          <w:szCs w:val="20"/>
        </w:rPr>
        <w:t xml:space="preserve">Repository: </w:t>
      </w:r>
      <w:hyperlink w:history="1" r:id="rId3wysn4vfhz4qhxnm43kb6">
        <w:r>
          <w:rPr>
            <w:rStyle w:val="Hyperlink"/>
            <w:rFonts w:ascii="Calibri" w:cs="Calibri" w:eastAsia="Calibri" w:hAnsi="Calibri"/>
            <w:sz w:val="20"/>
            <w:szCs w:val="20"/>
          </w:rPr>
          <w:t xml:space="preserve">https://anonymous.4open.science/r/scratch-41CE</w:t>
        </w:r>
      </w:hyperlink>
      <w:r>
        <w:rPr>
          <w:rFonts w:ascii="Calibri" w:cs="Calibri" w:eastAsia="Calibri" w:hAnsi="Calibri"/>
          <w:color w:val="555555"/>
          <w:sz w:val="20"/>
          <w:szCs w:val="20"/>
        </w:rPr>
        <w:t xml:space="preserve">  |  Supplements: </w:t>
      </w:r>
      <w:hyperlink w:history="1" r:id="rIdqraxxu1cetgbfgbf6fg3e">
        <w:r>
          <w:rPr>
            <w:rStyle w:val="Hyperlink"/>
            <w:rFonts w:ascii="Calibri" w:cs="Calibri" w:eastAsia="Calibri" w:hAnsi="Calibri"/>
            <w:sz w:val="20"/>
            <w:szCs w:val="20"/>
          </w:rPr>
          <w:t xml:space="preserve">https://anonymous.4open.science/r/scratch-41CE/supplements</w:t>
        </w:r>
      </w:hyperlink>
    </w:p>
    <w:p>
      <w:pPr>
        <w:spacing w:after="240"/>
      </w:pPr>
      <w:r>
        <w:rPr>
          <w:rFonts w:ascii="Calibri" w:cs="Calibri" w:eastAsia="Calibri" w:hAnsi="Calibri"/>
          <w:sz w:val="20"/>
          <w:szCs w:val="20"/>
        </w:rPr>
        <w:t xml:space="preserve">This document catalogues all supplementary materials accompanying the manuscript. Each entry includes a unique identifier, title, description, and the GitHub location where the full file can be accessed. Materials are organised into five categories: (A) Ghost Node Detection Protocol, (B) Schema &amp; Prompt Reference, (C) System Architecture &amp; Validation, (D) Platform Documentation, and (E) Manuscript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
            <w:shd w:fill="2B579A"/>
          </w:tcPr>
          <w:p>
            <w:r>
              <w:rPr>
                <w:rFonts w:ascii="Calibri" w:cs="Calibri" w:eastAsia="Calibri" w:hAnsi="Calibri"/>
                <w:b/>
                <w:bCs/>
                <w:color w:val="FFFFFF"/>
                <w:sz w:val="20"/>
                <w:szCs w:val="20"/>
              </w:rPr>
              <w:t xml:space="preserve">ID</w:t>
            </w:r>
          </w:p>
        </w:tc>
        <w:tc>
          <w:tcPr>
            <w:tcW w:type="pct" w:w="22%"/>
            <w:shd w:fill="2B579A"/>
          </w:tcPr>
          <w:p>
            <w:r>
              <w:rPr>
                <w:rFonts w:ascii="Calibri" w:cs="Calibri" w:eastAsia="Calibri" w:hAnsi="Calibri"/>
                <w:b/>
                <w:bCs/>
                <w:color w:val="FFFFFF"/>
                <w:sz w:val="20"/>
                <w:szCs w:val="20"/>
              </w:rPr>
              <w:t xml:space="preserve">Title</w:t>
            </w:r>
          </w:p>
        </w:tc>
        <w:tc>
          <w:tcPr>
            <w:tcW w:type="pct" w:w="45%"/>
            <w:shd w:fill="2B579A"/>
          </w:tcPr>
          <w:p>
            <w:r>
              <w:rPr>
                <w:rFonts w:ascii="Calibri" w:cs="Calibri" w:eastAsia="Calibri" w:hAnsi="Calibri"/>
                <w:b/>
                <w:bCs/>
                <w:color w:val="FFFFFF"/>
                <w:sz w:val="20"/>
                <w:szCs w:val="20"/>
              </w:rPr>
              <w:t xml:space="preserve">Description</w:t>
            </w:r>
          </w:p>
        </w:tc>
        <w:tc>
          <w:tcPr>
            <w:tcW w:type="pct" w:w="28%"/>
            <w:shd w:fill="2B579A"/>
          </w:tcPr>
          <w:p>
            <w:r>
              <w:rPr>
                <w:rFonts w:ascii="Calibri" w:cs="Calibri" w:eastAsia="Calibri" w:hAnsi="Calibri"/>
                <w:b/>
                <w:bCs/>
                <w:color w:val="FFFFFF"/>
                <w:sz w:val="20"/>
                <w:szCs w:val="20"/>
              </w:rPr>
              <w:t xml:space="preserve">GitHub Location</w:t>
            </w:r>
          </w:p>
        </w:tc>
      </w:tr>
      <w:tr>
        <w:tc>
          <w:tcPr>
            <w:gridSpan w:val="4"/>
            <w:shd w:fill="D6E4F0"/>
          </w:tcPr>
          <w:p>
            <w:r>
              <w:rPr>
                <w:rFonts w:ascii="Calibri" w:cs="Calibri" w:eastAsia="Calibri" w:hAnsi="Calibri"/>
                <w:b/>
                <w:bCs/>
                <w:sz w:val="20"/>
                <w:szCs w:val="20"/>
              </w:rPr>
              <w:t xml:space="preserve">A. Ghost Node Detection Protocol (GNDP v1.0)</w:t>
            </w:r>
          </w:p>
        </w:tc>
      </w:tr>
      <w:tr>
        <w:tc>
          <w:tcPr>
            <w:shd w:fill="FFFFFF"/>
          </w:tcPr>
          <w:p>
            <w:r>
              <w:rPr>
                <w:rFonts w:ascii="Calibri" w:cs="Calibri" w:eastAsia="Calibri" w:hAnsi="Calibri"/>
                <w:sz w:val="20"/>
                <w:szCs w:val="20"/>
              </w:rPr>
              <w:t xml:space="preserve">A1</w:t>
            </w:r>
          </w:p>
        </w:tc>
        <w:tc>
          <w:tcPr>
            <w:shd w:fill="FFFFFF"/>
          </w:tcPr>
          <w:p>
            <w:r>
              <w:rPr>
                <w:rFonts w:ascii="Calibri" w:cs="Calibri" w:eastAsia="Calibri" w:hAnsi="Calibri"/>
                <w:b/>
                <w:bCs/>
                <w:sz w:val="20"/>
                <w:szCs w:val="20"/>
              </w:rPr>
              <w:t xml:space="preserve">GNDP v1.0 — Full Technical Supplement</w:t>
            </w:r>
          </w:p>
        </w:tc>
        <w:tc>
          <w:tcPr>
            <w:shd w:fill="FFFFFF"/>
          </w:tcPr>
          <w:p>
            <w:r>
              <w:rPr>
                <w:rFonts w:ascii="Calibri" w:cs="Calibri" w:eastAsia="Calibri" w:hAnsi="Calibri"/>
                <w:sz w:val="20"/>
                <w:szCs w:val="20"/>
              </w:rPr>
              <w:t xml:space="preserve">Complete specification of the four-pass Ghost Node Detection Protocol, including pipeline architecture, evidence-gating rules, weighted absence scoring (100-point scale), ghost typology taxonomy, and analyst reflexive assessment criteria. This is the primary methodological supplement referenced in the manuscript (Section 3).</w:t>
            </w:r>
          </w:p>
        </w:tc>
        <w:tc>
          <w:tcPr>
            <w:shd w:fill="FFFFFF"/>
          </w:tcPr>
          <w:p>
            <w:hyperlink w:history="1" r:id="rIdfrl7ywcag6rkgpvnk1ofv">
              <w:r>
                <w:rPr>
                  <w:rStyle w:val="Hyperlink"/>
                  <w:rFonts w:ascii="Calibri" w:cs="Calibri" w:eastAsia="Calibri" w:hAnsi="Calibri"/>
                  <w:sz w:val="20"/>
                  <w:szCs w:val="20"/>
                </w:rPr>
                <w:t xml:space="preserve">GNDP_v1.0_full_protocol.md</w:t>
              </w:r>
            </w:hyperlink>
          </w:p>
        </w:tc>
      </w:tr>
      <w:tr>
        <w:tc>
          <w:tcPr>
            <w:shd w:fill="F2F2F2"/>
          </w:tcPr>
          <w:p>
            <w:r>
              <w:rPr>
                <w:rFonts w:ascii="Calibri" w:cs="Calibri" w:eastAsia="Calibri" w:hAnsi="Calibri"/>
                <w:sz w:val="20"/>
                <w:szCs w:val="20"/>
              </w:rPr>
              <w:t xml:space="preserve">A2</w:t>
            </w:r>
          </w:p>
        </w:tc>
        <w:tc>
          <w:tcPr>
            <w:shd w:fill="F2F2F2"/>
          </w:tcPr>
          <w:p>
            <w:r>
              <w:rPr>
                <w:rFonts w:ascii="Calibri" w:cs="Calibri" w:eastAsia="Calibri" w:hAnsi="Calibri"/>
                <w:b/>
                <w:bCs/>
                <w:sz w:val="20"/>
                <w:szCs w:val="20"/>
              </w:rPr>
              <w:t xml:space="preserve">GNDP v1.0 — Summary Tables</w:t>
            </w:r>
          </w:p>
        </w:tc>
        <w:tc>
          <w:tcPr>
            <w:shd w:fill="F2F2F2"/>
          </w:tcPr>
          <w:p>
            <w:r>
              <w:rPr>
                <w:rFonts w:ascii="Calibri" w:cs="Calibri" w:eastAsia="Calibri" w:hAnsi="Calibri"/>
                <w:sz w:val="20"/>
                <w:szCs w:val="20"/>
              </w:rPr>
              <w:t xml:space="preserve">Publication-ready tables summarising the GNDP pipeline stages, evidence grading scale (E1–E4), absence scoring dimensions, ghost node typology, and exclusion type classifications.</w:t>
            </w:r>
          </w:p>
        </w:tc>
        <w:tc>
          <w:tcPr>
            <w:shd w:fill="F2F2F2"/>
          </w:tcPr>
          <w:p>
            <w:hyperlink w:history="1" r:id="rIdgxwmbv3kbdlfwts9koslv">
              <w:r>
                <w:rPr>
                  <w:rStyle w:val="Hyperlink"/>
                  <w:rFonts w:ascii="Calibri" w:cs="Calibri" w:eastAsia="Calibri" w:hAnsi="Calibri"/>
                  <w:sz w:val="20"/>
                  <w:szCs w:val="20"/>
                </w:rPr>
                <w:t xml:space="preserve">GNDP_v1.0_Tables.docx</w:t>
              </w:r>
            </w:hyperlink>
          </w:p>
        </w:tc>
      </w:tr>
      <w:tr>
        <w:tc>
          <w:tcPr>
            <w:shd w:fill="FFFFFF"/>
          </w:tcPr>
          <w:p>
            <w:r>
              <w:rPr>
                <w:rFonts w:ascii="Calibri" w:cs="Calibri" w:eastAsia="Calibri" w:hAnsi="Calibri"/>
                <w:sz w:val="20"/>
                <w:szCs w:val="20"/>
              </w:rPr>
              <w:t xml:space="preserve">A3</w:t>
            </w:r>
          </w:p>
        </w:tc>
        <w:tc>
          <w:tcPr>
            <w:shd w:fill="FFFFFF"/>
          </w:tcPr>
          <w:p>
            <w:r>
              <w:rPr>
                <w:rFonts w:ascii="Calibri" w:cs="Calibri" w:eastAsia="Calibri" w:hAnsi="Calibri"/>
                <w:b/>
                <w:bCs/>
                <w:sz w:val="20"/>
                <w:szCs w:val="20"/>
              </w:rPr>
              <w:t xml:space="preserve">Pass 1A — Structural Extraction Prompt</w:t>
            </w:r>
          </w:p>
        </w:tc>
        <w:tc>
          <w:tcPr>
            <w:shd w:fill="FFFFFF"/>
          </w:tcPr>
          <w:p>
            <w:r>
              <w:rPr>
                <w:rFonts w:ascii="Calibri" w:cs="Calibri" w:eastAsia="Calibri" w:hAnsi="Calibri"/>
                <w:sz w:val="20"/>
                <w:szCs w:val="20"/>
              </w:rPr>
              <w:t xml:space="preserve">Prompt template for Pass 1A (GPT-4o-mini). Extracts all explicitly named actors, affected-population claims, and obligatory passage points (OPPs) from the source document. No inference or speculation permitted.</w:t>
            </w:r>
          </w:p>
        </w:tc>
        <w:tc>
          <w:tcPr>
            <w:shd w:fill="FFFFFF"/>
          </w:tcPr>
          <w:p>
            <w:hyperlink w:history="1" r:id="rIdqbkdbjnc9k8orqah4fq7d">
              <w:r>
                <w:rPr>
                  <w:rStyle w:val="Hyperlink"/>
                  <w:rFonts w:ascii="Calibri" w:cs="Calibri" w:eastAsia="Calibri" w:hAnsi="Calibri"/>
                  <w:sz w:val="20"/>
                  <w:szCs w:val="20"/>
                </w:rPr>
                <w:t xml:space="preserve">pass_1a_extraction.md</w:t>
              </w:r>
            </w:hyperlink>
          </w:p>
        </w:tc>
      </w:tr>
      <w:tr>
        <w:tc>
          <w:tcPr>
            <w:shd w:fill="F2F2F2"/>
          </w:tcPr>
          <w:p>
            <w:r>
              <w:rPr>
                <w:rFonts w:ascii="Calibri" w:cs="Calibri" w:eastAsia="Calibri" w:hAnsi="Calibri"/>
                <w:sz w:val="20"/>
                <w:szCs w:val="20"/>
              </w:rPr>
              <w:t xml:space="preserve">A4</w:t>
            </w:r>
          </w:p>
        </w:tc>
        <w:tc>
          <w:tcPr>
            <w:shd w:fill="F2F2F2"/>
          </w:tcPr>
          <w:p>
            <w:r>
              <w:rPr>
                <w:rFonts w:ascii="Calibri" w:cs="Calibri" w:eastAsia="Calibri" w:hAnsi="Calibri"/>
                <w:b/>
                <w:bCs/>
                <w:sz w:val="20"/>
                <w:szCs w:val="20"/>
              </w:rPr>
              <w:t xml:space="preserve">Pass 1B — Candidate Synthesis Prompt</w:t>
            </w:r>
          </w:p>
        </w:tc>
        <w:tc>
          <w:tcPr>
            <w:shd w:fill="F2F2F2"/>
          </w:tcPr>
          <w:p>
            <w:r>
              <w:rPr>
                <w:rFonts w:ascii="Calibri" w:cs="Calibri" w:eastAsia="Calibri" w:hAnsi="Calibri"/>
                <w:sz w:val="20"/>
                <w:szCs w:val="20"/>
              </w:rPr>
              <w:t xml:space="preserve">Prompt template for Pass 1B (GPT-4o-mini). Generates 8–10 ghost node candidates via structural subtraction, assessing five GNDP dimensions (material impact, OPP access, sanction power, data visibility, representation type). Includes anti-bias constraint.</w:t>
            </w:r>
          </w:p>
        </w:tc>
        <w:tc>
          <w:tcPr>
            <w:shd w:fill="F2F2F2"/>
          </w:tcPr>
          <w:p>
            <w:hyperlink w:history="1" r:id="rIdpychvnbjb1b2z-xskonb3">
              <w:r>
                <w:rPr>
                  <w:rStyle w:val="Hyperlink"/>
                  <w:rFonts w:ascii="Calibri" w:cs="Calibri" w:eastAsia="Calibri" w:hAnsi="Calibri"/>
                  <w:sz w:val="20"/>
                  <w:szCs w:val="20"/>
                </w:rPr>
                <w:t xml:space="preserve">pass_1b_candidates.md</w:t>
              </w:r>
            </w:hyperlink>
          </w:p>
        </w:tc>
      </w:tr>
      <w:tr>
        <w:tc>
          <w:tcPr>
            <w:shd w:fill="FFFFFF"/>
          </w:tcPr>
          <w:p>
            <w:r>
              <w:rPr>
                <w:rFonts w:ascii="Calibri" w:cs="Calibri" w:eastAsia="Calibri" w:hAnsi="Calibri"/>
                <w:sz w:val="20"/>
                <w:szCs w:val="20"/>
              </w:rPr>
              <w:t xml:space="preserve">A5</w:t>
            </w:r>
          </w:p>
        </w:tc>
        <w:tc>
          <w:tcPr>
            <w:shd w:fill="FFFFFF"/>
          </w:tcPr>
          <w:p>
            <w:r>
              <w:rPr>
                <w:rFonts w:ascii="Calibri" w:cs="Calibri" w:eastAsia="Calibri" w:hAnsi="Calibri"/>
                <w:b/>
                <w:bCs/>
                <w:sz w:val="20"/>
                <w:szCs w:val="20"/>
              </w:rPr>
              <w:t xml:space="preserve">Pass 2 — Deep Dive: Evidence Grading &amp; Classification</w:t>
            </w:r>
          </w:p>
        </w:tc>
        <w:tc>
          <w:tcPr>
            <w:shd w:fill="FFFFFF"/>
          </w:tcPr>
          <w:p>
            <w:r>
              <w:rPr>
                <w:rFonts w:ascii="Calibri" w:cs="Calibri" w:eastAsia="Calibri" w:hAnsi="Calibri"/>
                <w:sz w:val="20"/>
                <w:szCs w:val="20"/>
              </w:rPr>
              <w:t xml:space="preserve">Prompt template for Pass 2 (GPT-4o). Forensic evidence grounding with E1–E4 grading, weighted absence scoring, ghost typology assignment, and full GNDP classification. Evidence grades E1/E2 automatically invalidate candidates.</w:t>
            </w:r>
          </w:p>
        </w:tc>
        <w:tc>
          <w:tcPr>
            <w:shd w:fill="FFFFFF"/>
          </w:tcPr>
          <w:p>
            <w:hyperlink w:history="1" r:id="rIdoj18fpjz7fxvb8d6awnfv">
              <w:r>
                <w:rPr>
                  <w:rStyle w:val="Hyperlink"/>
                  <w:rFonts w:ascii="Calibri" w:cs="Calibri" w:eastAsia="Calibri" w:hAnsi="Calibri"/>
                  <w:sz w:val="20"/>
                  <w:szCs w:val="20"/>
                </w:rPr>
                <w:t xml:space="preserve">pass_2_deep_dive.md</w:t>
              </w:r>
            </w:hyperlink>
          </w:p>
        </w:tc>
      </w:tr>
      <w:tr>
        <w:tc>
          <w:tcPr>
            <w:shd w:fill="F2F2F2"/>
          </w:tcPr>
          <w:p>
            <w:r>
              <w:rPr>
                <w:rFonts w:ascii="Calibri" w:cs="Calibri" w:eastAsia="Calibri" w:hAnsi="Calibri"/>
                <w:sz w:val="20"/>
                <w:szCs w:val="20"/>
              </w:rPr>
              <w:t xml:space="preserve">A6</w:t>
            </w:r>
          </w:p>
        </w:tc>
        <w:tc>
          <w:tcPr>
            <w:shd w:fill="F2F2F2"/>
          </w:tcPr>
          <w:p>
            <w:r>
              <w:rPr>
                <w:rFonts w:ascii="Calibri" w:cs="Calibri" w:eastAsia="Calibri" w:hAnsi="Calibri"/>
                <w:b/>
                <w:bCs/>
                <w:sz w:val="20"/>
                <w:szCs w:val="20"/>
              </w:rPr>
              <w:t xml:space="preserve">Pass 3 — Counterfactual Power Test</w:t>
            </w:r>
          </w:p>
        </w:tc>
        <w:tc>
          <w:tcPr>
            <w:shd w:fill="F2F2F2"/>
          </w:tcPr>
          <w:p>
            <w:r>
              <w:rPr>
                <w:rFonts w:ascii="Calibri" w:cs="Calibri" w:eastAsia="Calibri" w:hAnsi="Calibri"/>
                <w:sz w:val="20"/>
                <w:szCs w:val="20"/>
              </w:rPr>
              <w:t xml:space="preserve">Prompt template for Pass 3 (GPT-4o). Quarantined speculation projecting structural consequences of hypothetical inclusion at governance chokepoints. Structurally isolated from Pass 2 to prevent speculative contamination of evidence grades.</w:t>
            </w:r>
          </w:p>
        </w:tc>
        <w:tc>
          <w:tcPr>
            <w:shd w:fill="F2F2F2"/>
          </w:tcPr>
          <w:p>
            <w:hyperlink w:history="1" r:id="rIdeow28iu6olfyetj2g7pi4">
              <w:r>
                <w:rPr>
                  <w:rStyle w:val="Hyperlink"/>
                  <w:rFonts w:ascii="Calibri" w:cs="Calibri" w:eastAsia="Calibri" w:hAnsi="Calibri"/>
                  <w:sz w:val="20"/>
                  <w:szCs w:val="20"/>
                </w:rPr>
                <w:t xml:space="preserve">pass_3_counterfactual.md</w:t>
              </w:r>
            </w:hyperlink>
          </w:p>
        </w:tc>
      </w:tr>
      <w:tr>
        <w:tc>
          <w:tcPr>
            <w:gridSpan w:val="4"/>
            <w:shd w:fill="D6E4F0"/>
          </w:tcPr>
          <w:p>
            <w:r>
              <w:rPr>
                <w:rFonts w:ascii="Calibri" w:cs="Calibri" w:eastAsia="Calibri" w:hAnsi="Calibri"/>
                <w:b/>
                <w:bCs/>
                <w:sz w:val="20"/>
                <w:szCs w:val="20"/>
              </w:rPr>
              <w:t xml:space="preserve">B. Schema &amp; Prompt Reference</w:t>
            </w:r>
          </w:p>
        </w:tc>
      </w:tr>
      <w:tr>
        <w:tc>
          <w:tcPr>
            <w:shd w:fill="FFFFFF"/>
          </w:tcPr>
          <w:p>
            <w:r>
              <w:rPr>
                <w:rFonts w:ascii="Calibri" w:cs="Calibri" w:eastAsia="Calibri" w:hAnsi="Calibri"/>
                <w:sz w:val="20"/>
                <w:szCs w:val="20"/>
              </w:rPr>
              <w:t xml:space="preserve">B1</w:t>
            </w:r>
          </w:p>
        </w:tc>
        <w:tc>
          <w:tcPr>
            <w:shd w:fill="FFFFFF"/>
          </w:tcPr>
          <w:p>
            <w:r>
              <w:rPr>
                <w:rFonts w:ascii="Calibri" w:cs="Calibri" w:eastAsia="Calibri" w:hAnsi="Calibri"/>
                <w:b/>
                <w:bCs/>
                <w:sz w:val="20"/>
                <w:szCs w:val="20"/>
              </w:rPr>
              <w:t xml:space="preserve">Schema Reference</w:t>
            </w:r>
          </w:p>
        </w:tc>
        <w:tc>
          <w:tcPr>
            <w:shd w:fill="FFFFFF"/>
          </w:tcPr>
          <w:p>
            <w:r>
              <w:rPr>
                <w:rFonts w:ascii="Calibri" w:cs="Calibri" w:eastAsia="Calibri" w:hAnsi="Calibri"/>
                <w:sz w:val="20"/>
                <w:szCs w:val="20"/>
              </w:rPr>
              <w:t xml:space="preserve">Key JSON output schemas for the system's primary analytical types, including TEA/TLF analysis (Translational Legibility Framework), GNDP ghost node detection, ecosystem mapping, and comparative synthesis. Schemas are implemented as TypeScript interfaces and Zod validation schemas.</w:t>
            </w:r>
          </w:p>
        </w:tc>
        <w:tc>
          <w:tcPr>
            <w:shd w:fill="FFFFFF"/>
          </w:tcPr>
          <w:p>
            <w:hyperlink w:history="1" r:id="rIdwo48perd5igzjmvkjqpj8">
              <w:r>
                <w:rPr>
                  <w:rStyle w:val="Hyperlink"/>
                  <w:rFonts w:ascii="Calibri" w:cs="Calibri" w:eastAsia="Calibri" w:hAnsi="Calibri"/>
                  <w:sz w:val="20"/>
                  <w:szCs w:val="20"/>
                </w:rPr>
                <w:t xml:space="preserve">schema_reference.md</w:t>
              </w:r>
            </w:hyperlink>
          </w:p>
        </w:tc>
      </w:tr>
      <w:tr>
        <w:tc>
          <w:tcPr>
            <w:shd w:fill="F2F2F2"/>
          </w:tcPr>
          <w:p>
            <w:r>
              <w:rPr>
                <w:rFonts w:ascii="Calibri" w:cs="Calibri" w:eastAsia="Calibri" w:hAnsi="Calibri"/>
                <w:sz w:val="20"/>
                <w:szCs w:val="20"/>
              </w:rPr>
              <w:t xml:space="preserve">B2</w:t>
            </w:r>
          </w:p>
        </w:tc>
        <w:tc>
          <w:tcPr>
            <w:shd w:fill="F2F2F2"/>
          </w:tcPr>
          <w:p>
            <w:r>
              <w:rPr>
                <w:rFonts w:ascii="Calibri" w:cs="Calibri" w:eastAsia="Calibri" w:hAnsi="Calibri"/>
                <w:b/>
                <w:bCs/>
                <w:sz w:val="20"/>
                <w:szCs w:val="20"/>
              </w:rPr>
              <w:t xml:space="preserve">Prompt Registry Reference</w:t>
            </w:r>
          </w:p>
        </w:tc>
        <w:tc>
          <w:tcPr>
            <w:shd w:fill="F2F2F2"/>
          </w:tcPr>
          <w:p>
            <w:r>
              <w:rPr>
                <w:rFonts w:ascii="Calibri" w:cs="Calibri" w:eastAsia="Calibri" w:hAnsi="Calibri"/>
                <w:sz w:val="20"/>
                <w:szCs w:val="20"/>
              </w:rPr>
              <w:t xml:space="preserve">Complete inventory of all 36 registered analysis prompts across seven categories: Analysis (18), Extraction (6), Simulation (1), Critique (2), GNDP (2), Theoretical Lenses (4), and Search/Retrieval (2). Each entry includes prompt ID, name, description, and output format.</w:t>
            </w:r>
          </w:p>
        </w:tc>
        <w:tc>
          <w:tcPr>
            <w:shd w:fill="F2F2F2"/>
          </w:tcPr>
          <w:p>
            <w:hyperlink w:history="1" r:id="rIdw_bp-5ltdoticev8bbxw8">
              <w:r>
                <w:rPr>
                  <w:rStyle w:val="Hyperlink"/>
                  <w:rFonts w:ascii="Calibri" w:cs="Calibri" w:eastAsia="Calibri" w:hAnsi="Calibri"/>
                  <w:sz w:val="20"/>
                  <w:szCs w:val="20"/>
                </w:rPr>
                <w:t xml:space="preserve">prompt_registry_reference.md</w:t>
              </w:r>
            </w:hyperlink>
          </w:p>
        </w:tc>
      </w:tr>
      <w:tr>
        <w:tc>
          <w:tcPr>
            <w:shd w:fill="FFFFFF"/>
          </w:tcPr>
          <w:p>
            <w:r>
              <w:rPr>
                <w:rFonts w:ascii="Calibri" w:cs="Calibri" w:eastAsia="Calibri" w:hAnsi="Calibri"/>
                <w:sz w:val="20"/>
                <w:szCs w:val="20"/>
              </w:rPr>
              <w:t xml:space="preserve">B3</w:t>
            </w:r>
          </w:p>
        </w:tc>
        <w:tc>
          <w:tcPr>
            <w:shd w:fill="FFFFFF"/>
          </w:tcPr>
          <w:p>
            <w:r>
              <w:rPr>
                <w:rFonts w:ascii="Calibri" w:cs="Calibri" w:eastAsia="Calibri" w:hAnsi="Calibri"/>
                <w:b/>
                <w:bCs/>
                <w:sz w:val="20"/>
                <w:szCs w:val="20"/>
              </w:rPr>
              <w:t xml:space="preserve">Analytical Modes Inventory</w:t>
            </w:r>
          </w:p>
        </w:tc>
        <w:tc>
          <w:tcPr>
            <w:shd w:fill="FFFFFF"/>
          </w:tcPr>
          <w:p>
            <w:r>
              <w:rPr>
                <w:rFonts w:ascii="Calibri" w:cs="Calibri" w:eastAsia="Calibri" w:hAnsi="Calibri"/>
                <w:sz w:val="20"/>
                <w:szCs w:val="20"/>
              </w:rPr>
              <w:t xml:space="preserve">Maps every analytical surface in the system to its theoretical grounding (ANT, Assemblage Theory, Institutional Logics, Orders of Worth, Critical Data Studies, DSF), implementation location, and output type. Organised by the eight-layer analytical framework.</w:t>
            </w:r>
          </w:p>
        </w:tc>
        <w:tc>
          <w:tcPr>
            <w:shd w:fill="FFFFFF"/>
          </w:tcPr>
          <w:p>
            <w:hyperlink w:history="1" r:id="rIdpy1fstblwkvrlsvrsbphm">
              <w:r>
                <w:rPr>
                  <w:rStyle w:val="Hyperlink"/>
                  <w:rFonts w:ascii="Calibri" w:cs="Calibri" w:eastAsia="Calibri" w:hAnsi="Calibri"/>
                  <w:sz w:val="20"/>
                  <w:szCs w:val="20"/>
                </w:rPr>
                <w:t xml:space="preserve">analytical_modes_inventory.md</w:t>
              </w:r>
            </w:hyperlink>
          </w:p>
        </w:tc>
      </w:tr>
      <w:tr>
        <w:tc>
          <w:tcPr>
            <w:gridSpan w:val="4"/>
            <w:shd w:fill="D6E4F0"/>
          </w:tcPr>
          <w:p>
            <w:r>
              <w:rPr>
                <w:rFonts w:ascii="Calibri" w:cs="Calibri" w:eastAsia="Calibri" w:hAnsi="Calibri"/>
                <w:b/>
                <w:bCs/>
                <w:sz w:val="20"/>
                <w:szCs w:val="20"/>
              </w:rPr>
              <w:t xml:space="preserve">C. System Architecture &amp; Validation</w:t>
            </w:r>
          </w:p>
        </w:tc>
      </w:tr>
      <w:tr>
        <w:tc>
          <w:tcPr>
            <w:shd w:fill="F2F2F2"/>
          </w:tcPr>
          <w:p>
            <w:r>
              <w:rPr>
                <w:rFonts w:ascii="Calibri" w:cs="Calibri" w:eastAsia="Calibri" w:hAnsi="Calibri"/>
                <w:sz w:val="20"/>
                <w:szCs w:val="20"/>
              </w:rPr>
              <w:t xml:space="preserve">C1</w:t>
            </w:r>
          </w:p>
        </w:tc>
        <w:tc>
          <w:tcPr>
            <w:shd w:fill="F2F2F2"/>
          </w:tcPr>
          <w:p>
            <w:r>
              <w:rPr>
                <w:rFonts w:ascii="Calibri" w:cs="Calibri" w:eastAsia="Calibri" w:hAnsi="Calibri"/>
                <w:b/>
                <w:bCs/>
                <w:sz w:val="20"/>
                <w:szCs w:val="20"/>
              </w:rPr>
              <w:t xml:space="preserve">System Architecture Diagram</w:t>
            </w:r>
          </w:p>
        </w:tc>
        <w:tc>
          <w:tcPr>
            <w:shd w:fill="F2F2F2"/>
          </w:tcPr>
          <w:p>
            <w:r>
              <w:rPr>
                <w:rFonts w:ascii="Calibri" w:cs="Calibri" w:eastAsia="Calibri" w:hAnsi="Calibri"/>
                <w:sz w:val="20"/>
                <w:szCs w:val="20"/>
              </w:rPr>
              <w:t xml:space="preserve">Mermaid-based architecture diagram illustrating the end-to-end analytical pipeline: researcher interaction, document ingestion, LLM ensemble orchestration (GPT-4o, GPT-4o-mini, Gemini 1.5 Flash), eight-layer analysis, GNDP pipeline, TLF meta-synthesis, and export. Accompanied by a rendered PNG.</w:t>
            </w:r>
          </w:p>
        </w:tc>
        <w:tc>
          <w:tcPr>
            <w:shd w:fill="F2F2F2"/>
          </w:tcPr>
          <w:p>
            <w:hyperlink w:history="1" r:id="rIdgrckzrrokfpqc50szdf1w">
              <w:r>
                <w:rPr>
                  <w:rStyle w:val="Hyperlink"/>
                  <w:rFonts w:ascii="Calibri" w:cs="Calibri" w:eastAsia="Calibri" w:hAnsi="Calibri"/>
                  <w:sz w:val="20"/>
                  <w:szCs w:val="20"/>
                </w:rPr>
                <w:t xml:space="preserve">system_architecture_diagram.md</w:t>
              </w:r>
            </w:hyperlink>
          </w:p>
        </w:tc>
      </w:tr>
      <w:tr>
        <w:tc>
          <w:tcPr>
            <w:shd w:fill="FFFFFF"/>
          </w:tcPr>
          <w:p>
            <w:r>
              <w:rPr>
                <w:rFonts w:ascii="Calibri" w:cs="Calibri" w:eastAsia="Calibri" w:hAnsi="Calibri"/>
                <w:sz w:val="20"/>
                <w:szCs w:val="20"/>
              </w:rPr>
              <w:t xml:space="preserve">C2</w:t>
            </w:r>
          </w:p>
        </w:tc>
        <w:tc>
          <w:tcPr>
            <w:shd w:fill="FFFFFF"/>
          </w:tcPr>
          <w:p>
            <w:r>
              <w:rPr>
                <w:rFonts w:ascii="Calibri" w:cs="Calibri" w:eastAsia="Calibri" w:hAnsi="Calibri"/>
                <w:b/>
                <w:bCs/>
                <w:sz w:val="20"/>
                <w:szCs w:val="20"/>
              </w:rPr>
              <w:t xml:space="preserve">System Architecture Diagram (Rendered)</w:t>
            </w:r>
          </w:p>
        </w:tc>
        <w:tc>
          <w:tcPr>
            <w:shd w:fill="FFFFFF"/>
          </w:tcPr>
          <w:p>
            <w:r>
              <w:rPr>
                <w:rFonts w:ascii="Calibri" w:cs="Calibri" w:eastAsia="Calibri" w:hAnsi="Calibri"/>
                <w:sz w:val="20"/>
                <w:szCs w:val="20"/>
              </w:rPr>
              <w:t xml:space="preserve">Pre-rendered PNG of the system architecture for inclusion in manuscripts or presentations where Mermaid rendering is not available.</w:t>
            </w:r>
          </w:p>
        </w:tc>
        <w:tc>
          <w:tcPr>
            <w:shd w:fill="FFFFFF"/>
          </w:tcPr>
          <w:p>
            <w:hyperlink w:history="1" r:id="rId3xg52ti5csrglea-nxfjn">
              <w:r>
                <w:rPr>
                  <w:rStyle w:val="Hyperlink"/>
                  <w:rFonts w:ascii="Calibri" w:cs="Calibri" w:eastAsia="Calibri" w:hAnsi="Calibri"/>
                  <w:sz w:val="20"/>
                  <w:szCs w:val="20"/>
                </w:rPr>
                <w:t xml:space="preserve">system_architecture_diagram.png</w:t>
              </w:r>
            </w:hyperlink>
          </w:p>
        </w:tc>
      </w:tr>
      <w:tr>
        <w:tc>
          <w:tcPr>
            <w:shd w:fill="F2F2F2"/>
          </w:tcPr>
          <w:p>
            <w:r>
              <w:rPr>
                <w:rFonts w:ascii="Calibri" w:cs="Calibri" w:eastAsia="Calibri" w:hAnsi="Calibri"/>
                <w:sz w:val="20"/>
                <w:szCs w:val="20"/>
              </w:rPr>
              <w:t xml:space="preserve">C3</w:t>
            </w:r>
          </w:p>
        </w:tc>
        <w:tc>
          <w:tcPr>
            <w:shd w:fill="F2F2F2"/>
          </w:tcPr>
          <w:p>
            <w:r>
              <w:rPr>
                <w:rFonts w:ascii="Calibri" w:cs="Calibri" w:eastAsia="Calibri" w:hAnsi="Calibri"/>
                <w:b/>
                <w:bCs/>
                <w:sz w:val="20"/>
                <w:szCs w:val="20"/>
              </w:rPr>
              <w:t xml:space="preserve">Validation &amp; Limitations</w:t>
            </w:r>
          </w:p>
        </w:tc>
        <w:tc>
          <w:tcPr>
            <w:shd w:fill="F2F2F2"/>
          </w:tcPr>
          <w:p>
            <w:r>
              <w:rPr>
                <w:rFonts w:ascii="Calibri" w:cs="Calibri" w:eastAsia="Calibri" w:hAnsi="Calibri"/>
                <w:sz w:val="20"/>
                <w:szCs w:val="20"/>
              </w:rPr>
              <w:t xml:space="preserve">Comprehensive documentation of known limitations (probabilistic closure, training data bias, non-determinism, context compression), epistemic safeguards (evidence gating, quarantined speculation, analyst reflexive assessment, positionality recording), validation strategy (cross-stratum triangulation, schema validation), known edge cases, and cost/performance benchmarks.</w:t>
            </w:r>
          </w:p>
        </w:tc>
        <w:tc>
          <w:tcPr>
            <w:shd w:fill="F2F2F2"/>
          </w:tcPr>
          <w:p>
            <w:hyperlink w:history="1" r:id="rIde3a-sz_l8vn-7fa2roucy">
              <w:r>
                <w:rPr>
                  <w:rStyle w:val="Hyperlink"/>
                  <w:rFonts w:ascii="Calibri" w:cs="Calibri" w:eastAsia="Calibri" w:hAnsi="Calibri"/>
                  <w:sz w:val="20"/>
                  <w:szCs w:val="20"/>
                </w:rPr>
                <w:t xml:space="preserve">validation_and_limitations.md</w:t>
              </w:r>
            </w:hyperlink>
          </w:p>
        </w:tc>
      </w:tr>
      <w:tr>
        <w:tc>
          <w:tcPr>
            <w:gridSpan w:val="4"/>
            <w:shd w:fill="D6E4F0"/>
          </w:tcPr>
          <w:p>
            <w:r>
              <w:rPr>
                <w:rFonts w:ascii="Calibri" w:cs="Calibri" w:eastAsia="Calibri" w:hAnsi="Calibri"/>
                <w:b/>
                <w:bCs/>
                <w:sz w:val="20"/>
                <w:szCs w:val="20"/>
              </w:rPr>
              <w:t xml:space="preserve">D. Platform Documentation</w:t>
            </w:r>
          </w:p>
        </w:tc>
      </w:tr>
      <w:tr>
        <w:tc>
          <w:tcPr>
            <w:shd w:fill="FFFFFF"/>
          </w:tcPr>
          <w:p>
            <w:r>
              <w:rPr>
                <w:rFonts w:ascii="Calibri" w:cs="Calibri" w:eastAsia="Calibri" w:hAnsi="Calibri"/>
                <w:sz w:val="20"/>
                <w:szCs w:val="20"/>
              </w:rPr>
              <w:t xml:space="preserve">D1</w:t>
            </w:r>
          </w:p>
        </w:tc>
        <w:tc>
          <w:tcPr>
            <w:shd w:fill="FFFFFF"/>
          </w:tcPr>
          <w:p>
            <w:r>
              <w:rPr>
                <w:rFonts w:ascii="Calibri" w:cs="Calibri" w:eastAsia="Calibri" w:hAnsi="Calibri"/>
                <w:b/>
                <w:bCs/>
                <w:sz w:val="20"/>
                <w:szCs w:val="20"/>
              </w:rPr>
              <w:t xml:space="preserve">System Overview</w:t>
            </w:r>
          </w:p>
        </w:tc>
        <w:tc>
          <w:tcPr>
            <w:shd w:fill="FFFFFF"/>
          </w:tcPr>
          <w:p>
            <w:r>
              <w:rPr>
                <w:rFonts w:ascii="Calibri" w:cs="Calibri" w:eastAsia="Calibri" w:hAnsi="Calibri"/>
                <w:sz w:val="20"/>
                <w:szCs w:val="20"/>
              </w:rPr>
              <w:t xml:space="preserve">High-level overview of Policy Prism's core capabilities: multi-lens algorithmic analysis, GNDP v1.0, ecosystem mapping, Translational Legibility Framework, comparative synthesis, and empirical grounding. Includes design principles (traceability, contestability, productive friction).</w:t>
            </w:r>
          </w:p>
        </w:tc>
        <w:tc>
          <w:tcPr>
            <w:shd w:fill="FFFFFF"/>
          </w:tcPr>
          <w:p>
            <w:hyperlink w:history="1" r:id="rIdxn3o683l7-llanrox3rjy">
              <w:r>
                <w:rPr>
                  <w:rStyle w:val="Hyperlink"/>
                  <w:rFonts w:ascii="Calibri" w:cs="Calibri" w:eastAsia="Calibri" w:hAnsi="Calibri"/>
                  <w:sz w:val="20"/>
                  <w:szCs w:val="20"/>
                </w:rPr>
                <w:t xml:space="preserve">documentation/SYSTEM_DESCRIPTION.md</w:t>
              </w:r>
            </w:hyperlink>
          </w:p>
        </w:tc>
      </w:tr>
      <w:tr>
        <w:tc>
          <w:tcPr>
            <w:shd w:fill="F2F2F2"/>
          </w:tcPr>
          <w:p>
            <w:r>
              <w:rPr>
                <w:rFonts w:ascii="Calibri" w:cs="Calibri" w:eastAsia="Calibri" w:hAnsi="Calibri"/>
                <w:sz w:val="20"/>
                <w:szCs w:val="20"/>
              </w:rPr>
              <w:t xml:space="preserve">D2</w:t>
            </w:r>
          </w:p>
        </w:tc>
        <w:tc>
          <w:tcPr>
            <w:shd w:fill="F2F2F2"/>
          </w:tcPr>
          <w:p>
            <w:r>
              <w:rPr>
                <w:rFonts w:ascii="Calibri" w:cs="Calibri" w:eastAsia="Calibri" w:hAnsi="Calibri"/>
                <w:b/>
                <w:bCs/>
                <w:sz w:val="20"/>
                <w:szCs w:val="20"/>
              </w:rPr>
              <w:t xml:space="preserve">System Documentation</w:t>
            </w:r>
          </w:p>
        </w:tc>
        <w:tc>
          <w:tcPr>
            <w:shd w:fill="F2F2F2"/>
          </w:tcPr>
          <w:p>
            <w:r>
              <w:rPr>
                <w:rFonts w:ascii="Calibri" w:cs="Calibri" w:eastAsia="Calibri" w:hAnsi="Calibri"/>
                <w:sz w:val="20"/>
                <w:szCs w:val="20"/>
              </w:rPr>
              <w:t xml:space="preserve">Full technical documentation covering architecture (Next.js 16, TypeScript, Redis, Clerk, Stripe), eight-layer analytical framework, data flow, GNDP pipeline implementation, prompt registry, report export, payments, security, configuration, and deployment.</w:t>
            </w:r>
          </w:p>
        </w:tc>
        <w:tc>
          <w:tcPr>
            <w:shd w:fill="F2F2F2"/>
          </w:tcPr>
          <w:p>
            <w:hyperlink w:history="1" r:id="rIdlr8qmqvmuqijqxoy4xttj">
              <w:r>
                <w:rPr>
                  <w:rStyle w:val="Hyperlink"/>
                  <w:rFonts w:ascii="Calibri" w:cs="Calibri" w:eastAsia="Calibri" w:hAnsi="Calibri"/>
                  <w:sz w:val="20"/>
                  <w:szCs w:val="20"/>
                </w:rPr>
                <w:t xml:space="preserve">documentation/SYSTEM_DOCUMENTATION.md</w:t>
              </w:r>
            </w:hyperlink>
          </w:p>
        </w:tc>
      </w:tr>
      <w:tr>
        <w:tc>
          <w:tcPr>
            <w:shd w:fill="FFFFFF"/>
          </w:tcPr>
          <w:p>
            <w:r>
              <w:rPr>
                <w:rFonts w:ascii="Calibri" w:cs="Calibri" w:eastAsia="Calibri" w:hAnsi="Calibri"/>
                <w:sz w:val="20"/>
                <w:szCs w:val="20"/>
              </w:rPr>
              <w:t xml:space="preserve">D3</w:t>
            </w:r>
          </w:p>
        </w:tc>
        <w:tc>
          <w:tcPr>
            <w:shd w:fill="FFFFFF"/>
          </w:tcPr>
          <w:p>
            <w:r>
              <w:rPr>
                <w:rFonts w:ascii="Calibri" w:cs="Calibri" w:eastAsia="Calibri" w:hAnsi="Calibri"/>
                <w:b/>
                <w:bCs/>
                <w:sz w:val="20"/>
                <w:szCs w:val="20"/>
              </w:rPr>
              <w:t xml:space="preserve">Research Workflow</w:t>
            </w:r>
          </w:p>
        </w:tc>
        <w:tc>
          <w:tcPr>
            <w:shd w:fill="FFFFFF"/>
          </w:tcPr>
          <w:p>
            <w:r>
              <w:rPr>
                <w:rFonts w:ascii="Calibri" w:cs="Calibri" w:eastAsia="Calibri" w:hAnsi="Calibri"/>
                <w:sz w:val="20"/>
                <w:szCs w:val="20"/>
              </w:rPr>
              <w:t xml:space="preserve">Recommended five-phase research workflow: Data Collection → Micro Analysis (per-document extraction) → Meso Analysis (ecosystem mapping, GNDP, ontology) → Macro Analysis (cultural framing, structural analysis, critique) → Synthesis (comparative, TLF meta-synthesis, reporting).</w:t>
            </w:r>
          </w:p>
        </w:tc>
        <w:tc>
          <w:tcPr>
            <w:shd w:fill="FFFFFF"/>
          </w:tcPr>
          <w:p>
            <w:hyperlink w:history="1" r:id="rId4fpt2zmhy-h6k9x0o7lvy">
              <w:r>
                <w:rPr>
                  <w:rStyle w:val="Hyperlink"/>
                  <w:rFonts w:ascii="Calibri" w:cs="Calibri" w:eastAsia="Calibri" w:hAnsi="Calibri"/>
                  <w:sz w:val="20"/>
                  <w:szCs w:val="20"/>
                </w:rPr>
                <w:t xml:space="preserve">documentation/RESEARCH_WORKFLOW.md</w:t>
              </w:r>
            </w:hyperlink>
          </w:p>
        </w:tc>
      </w:tr>
      <w:tr>
        <w:tc>
          <w:tcPr>
            <w:shd w:fill="F2F2F2"/>
          </w:tcPr>
          <w:p>
            <w:r>
              <w:rPr>
                <w:rFonts w:ascii="Calibri" w:cs="Calibri" w:eastAsia="Calibri" w:hAnsi="Calibri"/>
                <w:sz w:val="20"/>
                <w:szCs w:val="20"/>
              </w:rPr>
              <w:t xml:space="preserve">D4</w:t>
            </w:r>
          </w:p>
        </w:tc>
        <w:tc>
          <w:tcPr>
            <w:shd w:fill="F2F2F2"/>
          </w:tcPr>
          <w:p>
            <w:r>
              <w:rPr>
                <w:rFonts w:ascii="Calibri" w:cs="Calibri" w:eastAsia="Calibri" w:hAnsi="Calibri"/>
                <w:b/>
                <w:bCs/>
                <w:sz w:val="20"/>
                <w:szCs w:val="20"/>
              </w:rPr>
              <w:t xml:space="preserve">User Manual</w:t>
            </w:r>
          </w:p>
        </w:tc>
        <w:tc>
          <w:tcPr>
            <w:shd w:fill="F2F2F2"/>
          </w:tcPr>
          <w:p>
            <w:r>
              <w:rPr>
                <w:rFonts w:ascii="Calibri" w:cs="Calibri" w:eastAsia="Calibri" w:hAnsi="Calibri"/>
                <w:sz w:val="20"/>
                <w:szCs w:val="20"/>
              </w:rPr>
              <w:t xml:space="preserve">Comprehensive user manual covering account creation, data management, analysis modes (12+), ecosystem map visualisation, GNDP pipeline operation, analyst reflexive assessment, TLF meta-synthesis, comparative analysis, DOCX/JSON/CSV export, credits/billing, and FAQ.</w:t>
            </w:r>
          </w:p>
        </w:tc>
        <w:tc>
          <w:tcPr>
            <w:shd w:fill="F2F2F2"/>
          </w:tcPr>
          <w:p>
            <w:hyperlink w:history="1" r:id="rIdftzlee_sleqza-3egyhm8">
              <w:r>
                <w:rPr>
                  <w:rStyle w:val="Hyperlink"/>
                  <w:rFonts w:ascii="Calibri" w:cs="Calibri" w:eastAsia="Calibri" w:hAnsi="Calibri"/>
                  <w:sz w:val="20"/>
                  <w:szCs w:val="20"/>
                </w:rPr>
                <w:t xml:space="preserve">documentation/USER_MANUAL.md</w:t>
              </w:r>
            </w:hyperlink>
          </w:p>
        </w:tc>
      </w:tr>
      <w:tr>
        <w:tc>
          <w:tcPr>
            <w:shd w:fill="FFFFFF"/>
          </w:tcPr>
          <w:p>
            <w:r>
              <w:rPr>
                <w:rFonts w:ascii="Calibri" w:cs="Calibri" w:eastAsia="Calibri" w:hAnsi="Calibri"/>
                <w:sz w:val="20"/>
                <w:szCs w:val="20"/>
              </w:rPr>
              <w:t xml:space="preserve">D5</w:t>
            </w:r>
          </w:p>
        </w:tc>
        <w:tc>
          <w:tcPr>
            <w:shd w:fill="FFFFFF"/>
          </w:tcPr>
          <w:p>
            <w:r>
              <w:rPr>
                <w:rFonts w:ascii="Calibri" w:cs="Calibri" w:eastAsia="Calibri" w:hAnsi="Calibri"/>
                <w:b/>
                <w:bCs/>
                <w:sz w:val="20"/>
                <w:szCs w:val="20"/>
              </w:rPr>
              <w:t xml:space="preserve">User Guide (Condensed)</w:t>
            </w:r>
          </w:p>
        </w:tc>
        <w:tc>
          <w:tcPr>
            <w:shd w:fill="FFFFFF"/>
          </w:tcPr>
          <w:p>
            <w:r>
              <w:rPr>
                <w:rFonts w:ascii="Calibri" w:cs="Calibri" w:eastAsia="Calibri" w:hAnsi="Calibri"/>
                <w:sz w:val="20"/>
                <w:szCs w:val="20"/>
              </w:rPr>
              <w:t xml:space="preserve">Abbreviated user guide covering core workflows: data management, running analyses, ghost node detection, ecosystem map, meta-synthesis, comparative analysis, export, and FAQ.</w:t>
            </w:r>
          </w:p>
        </w:tc>
        <w:tc>
          <w:tcPr>
            <w:shd w:fill="FFFFFF"/>
          </w:tcPr>
          <w:p>
            <w:hyperlink w:history="1" r:id="rId-fxe3gojzf8zsunfeiuln">
              <w:r>
                <w:rPr>
                  <w:rStyle w:val="Hyperlink"/>
                  <w:rFonts w:ascii="Calibri" w:cs="Calibri" w:eastAsia="Calibri" w:hAnsi="Calibri"/>
                  <w:sz w:val="20"/>
                  <w:szCs w:val="20"/>
                </w:rPr>
                <w:t xml:space="preserve">documentation/USER_DOCUMENTATION.md</w:t>
              </w:r>
            </w:hyperlink>
          </w:p>
        </w:tc>
      </w:tr>
      <w:tr>
        <w:tc>
          <w:tcPr>
            <w:shd w:fill="F2F2F2"/>
          </w:tcPr>
          <w:p>
            <w:r>
              <w:rPr>
                <w:rFonts w:ascii="Calibri" w:cs="Calibri" w:eastAsia="Calibri" w:hAnsi="Calibri"/>
                <w:sz w:val="20"/>
                <w:szCs w:val="20"/>
              </w:rPr>
              <w:t xml:space="preserve">D6</w:t>
            </w:r>
          </w:p>
        </w:tc>
        <w:tc>
          <w:tcPr>
            <w:shd w:fill="F2F2F2"/>
          </w:tcPr>
          <w:p>
            <w:r>
              <w:rPr>
                <w:rFonts w:ascii="Calibri" w:cs="Calibri" w:eastAsia="Calibri" w:hAnsi="Calibri"/>
                <w:b/>
                <w:bCs/>
                <w:sz w:val="20"/>
                <w:szCs w:val="20"/>
              </w:rPr>
              <w:t xml:space="preserve">Quick Start Guide</w:t>
            </w:r>
          </w:p>
        </w:tc>
        <w:tc>
          <w:tcPr>
            <w:shd w:fill="F2F2F2"/>
          </w:tcPr>
          <w:p>
            <w:r>
              <w:rPr>
                <w:rFonts w:ascii="Calibri" w:cs="Calibri" w:eastAsia="Calibri" w:hAnsi="Calibri"/>
                <w:sz w:val="20"/>
                <w:szCs w:val="20"/>
              </w:rPr>
              <w:t xml:space="preserve">Step-by-step quick start for running a first analysis in under five minutes: sign in, upload document, run analysis, detect ghost nodes, explore ecosystem, compare documents, generate TLF meta-synthesis, and export results.</w:t>
            </w:r>
          </w:p>
        </w:tc>
        <w:tc>
          <w:tcPr>
            <w:shd w:fill="F2F2F2"/>
          </w:tcPr>
          <w:p>
            <w:hyperlink w:history="1" r:id="rIde2nfd5kyej3qvodwujpvq">
              <w:r>
                <w:rPr>
                  <w:rStyle w:val="Hyperlink"/>
                  <w:rFonts w:ascii="Calibri" w:cs="Calibri" w:eastAsia="Calibri" w:hAnsi="Calibri"/>
                  <w:sz w:val="20"/>
                  <w:szCs w:val="20"/>
                </w:rPr>
                <w:t xml:space="preserve">documentation/QUICK_START_CFP.md</w:t>
              </w:r>
            </w:hyperlink>
          </w:p>
        </w:tc>
      </w:tr>
      <w:tr>
        <w:tc>
          <w:tcPr>
            <w:shd w:fill="FFFFFF"/>
          </w:tcPr>
          <w:p>
            <w:r>
              <w:rPr>
                <w:rFonts w:ascii="Calibri" w:cs="Calibri" w:eastAsia="Calibri" w:hAnsi="Calibri"/>
                <w:sz w:val="20"/>
                <w:szCs w:val="20"/>
              </w:rPr>
              <w:t xml:space="preserve">D7</w:t>
            </w:r>
          </w:p>
        </w:tc>
        <w:tc>
          <w:tcPr>
            <w:shd w:fill="FFFFFF"/>
          </w:tcPr>
          <w:p>
            <w:r>
              <w:rPr>
                <w:rFonts w:ascii="Calibri" w:cs="Calibri" w:eastAsia="Calibri" w:hAnsi="Calibri"/>
                <w:b/>
                <w:bCs/>
                <w:sz w:val="20"/>
                <w:szCs w:val="20"/>
              </w:rPr>
              <w:t xml:space="preserve">AI Analysis Setup</w:t>
            </w:r>
          </w:p>
        </w:tc>
        <w:tc>
          <w:tcPr>
            <w:shd w:fill="FFFFFF"/>
          </w:tcPr>
          <w:p>
            <w:r>
              <w:rPr>
                <w:rFonts w:ascii="Calibri" w:cs="Calibri" w:eastAsia="Calibri" w:hAnsi="Calibri"/>
                <w:sz w:val="20"/>
                <w:szCs w:val="20"/>
              </w:rPr>
              <w:t xml:space="preserve">Developer setup guide for configuring the LLM ensemble (OpenAI, Google Search, Gemini), environment variables, prompt registry, API endpoint usage, and cost considerations.</w:t>
            </w:r>
          </w:p>
        </w:tc>
        <w:tc>
          <w:tcPr>
            <w:shd w:fill="FFFFFF"/>
          </w:tcPr>
          <w:p>
            <w:hyperlink w:history="1" r:id="rIdsfjfeanbxg4sra5iqe5nr">
              <w:r>
                <w:rPr>
                  <w:rStyle w:val="Hyperlink"/>
                  <w:rFonts w:ascii="Calibri" w:cs="Calibri" w:eastAsia="Calibri" w:hAnsi="Calibri"/>
                  <w:sz w:val="20"/>
                  <w:szCs w:val="20"/>
                </w:rPr>
                <w:t xml:space="preserve">documentation/AI_ANALYSIS_SETUP.md</w:t>
              </w:r>
            </w:hyperlink>
          </w:p>
        </w:tc>
      </w:tr>
      <w:tr>
        <w:tc>
          <w:tcPr>
            <w:shd w:fill="F2F2F2"/>
          </w:tcPr>
          <w:p>
            <w:r>
              <w:rPr>
                <w:rFonts w:ascii="Calibri" w:cs="Calibri" w:eastAsia="Calibri" w:hAnsi="Calibri"/>
                <w:sz w:val="20"/>
                <w:szCs w:val="20"/>
              </w:rPr>
              <w:t xml:space="preserve">D8</w:t>
            </w:r>
          </w:p>
        </w:tc>
        <w:tc>
          <w:tcPr>
            <w:shd w:fill="F2F2F2"/>
          </w:tcPr>
          <w:p>
            <w:r>
              <w:rPr>
                <w:rFonts w:ascii="Calibri" w:cs="Calibri" w:eastAsia="Calibri" w:hAnsi="Calibri"/>
                <w:b/>
                <w:bCs/>
                <w:sz w:val="20"/>
                <w:szCs w:val="20"/>
              </w:rPr>
              <w:t xml:space="preserve">Deployment Guide</w:t>
            </w:r>
          </w:p>
        </w:tc>
        <w:tc>
          <w:tcPr>
            <w:shd w:fill="F2F2F2"/>
          </w:tcPr>
          <w:p>
            <w:r>
              <w:rPr>
                <w:rFonts w:ascii="Calibri" w:cs="Calibri" w:eastAsia="Calibri" w:hAnsi="Calibri"/>
                <w:sz w:val="20"/>
                <w:szCs w:val="20"/>
              </w:rPr>
              <w:t xml:space="preserve">Deployment instructions for three options: Vercel (recommended), self-hosting (Node.js), and Docker. Includes custom domain configuration, environment variable setup, and post-deployment verification checklist.</w:t>
            </w:r>
          </w:p>
        </w:tc>
        <w:tc>
          <w:tcPr>
            <w:shd w:fill="F2F2F2"/>
          </w:tcPr>
          <w:p>
            <w:hyperlink w:history="1" r:id="rId8jsvpcvzfekvjoa3ach79">
              <w:r>
                <w:rPr>
                  <w:rStyle w:val="Hyperlink"/>
                  <w:rFonts w:ascii="Calibri" w:cs="Calibri" w:eastAsia="Calibri" w:hAnsi="Calibri"/>
                  <w:sz w:val="20"/>
                  <w:szCs w:val="20"/>
                </w:rPr>
                <w:t xml:space="preserve">documentation/DEPLOY.md</w:t>
              </w:r>
            </w:hyperlink>
          </w:p>
        </w:tc>
      </w:tr>
      <w:tr>
        <w:tc>
          <w:tcPr>
            <w:shd w:fill="FFFFFF"/>
          </w:tcPr>
          <w:p>
            <w:r>
              <w:rPr>
                <w:rFonts w:ascii="Calibri" w:cs="Calibri" w:eastAsia="Calibri" w:hAnsi="Calibri"/>
                <w:sz w:val="20"/>
                <w:szCs w:val="20"/>
              </w:rPr>
              <w:t xml:space="preserve">D9</w:t>
            </w:r>
          </w:p>
        </w:tc>
        <w:tc>
          <w:tcPr>
            <w:shd w:fill="FFFFFF"/>
          </w:tcPr>
          <w:p>
            <w:r>
              <w:rPr>
                <w:rFonts w:ascii="Calibri" w:cs="Calibri" w:eastAsia="Calibri" w:hAnsi="Calibri"/>
                <w:b/>
                <w:bCs/>
                <w:sz w:val="20"/>
                <w:szCs w:val="20"/>
              </w:rPr>
              <w:t xml:space="preserve">Migration Guide: Theoretical Repositioning</w:t>
            </w:r>
          </w:p>
        </w:tc>
        <w:tc>
          <w:tcPr>
            <w:shd w:fill="FFFFFF"/>
          </w:tcPr>
          <w:p>
            <w:r>
              <w:rPr>
                <w:rFonts w:ascii="Calibri" w:cs="Calibri" w:eastAsia="Calibri" w:hAnsi="Calibri"/>
                <w:sz w:val="20"/>
                <w:szCs w:val="20"/>
              </w:rPr>
              <w:t xml:space="preserve">Developer guide for the migration from a conflated ANT/Assemblage system to a three-layer architecture (ANT as method → Assemblage as ontology → Provisional inscriptions). Includes new type system, service layer usage, backward compatibility notes, and theoretical positioning.</w:t>
            </w:r>
          </w:p>
        </w:tc>
        <w:tc>
          <w:tcPr>
            <w:shd w:fill="FFFFFF"/>
          </w:tcPr>
          <w:p>
            <w:hyperlink w:history="1" r:id="rId1yn3a4b0sj7jc6bmxgkgw">
              <w:r>
                <w:rPr>
                  <w:rStyle w:val="Hyperlink"/>
                  <w:rFonts w:ascii="Calibri" w:cs="Calibri" w:eastAsia="Calibri" w:hAnsi="Calibri"/>
                  <w:sz w:val="20"/>
                  <w:szCs w:val="20"/>
                </w:rPr>
                <w:t xml:space="preserve">documentation/MIGRATION_GUIDE.md</w:t>
              </w:r>
            </w:hyperlink>
          </w:p>
        </w:tc>
      </w:tr>
      <w:tr>
        <w:tc>
          <w:tcPr>
            <w:gridSpan w:val="4"/>
            <w:shd w:fill="D6E4F0"/>
          </w:tcPr>
          <w:p>
            <w:r>
              <w:rPr>
                <w:rFonts w:ascii="Calibri" w:cs="Calibri" w:eastAsia="Calibri" w:hAnsi="Calibri"/>
                <w:b/>
                <w:bCs/>
                <w:sz w:val="20"/>
                <w:szCs w:val="20"/>
              </w:rPr>
              <w:t xml:space="preserve">E. Manuscript Figures</w:t>
            </w:r>
          </w:p>
        </w:tc>
      </w:tr>
      <w:tr>
        <w:tc>
          <w:tcPr>
            <w:shd w:fill="F2F2F2"/>
          </w:tcPr>
          <w:p>
            <w:r>
              <w:rPr>
                <w:rFonts w:ascii="Calibri" w:cs="Calibri" w:eastAsia="Calibri" w:hAnsi="Calibri"/>
                <w:sz w:val="20"/>
                <w:szCs w:val="20"/>
              </w:rPr>
              <w:t xml:space="preserve">E1</w:t>
            </w:r>
          </w:p>
        </w:tc>
        <w:tc>
          <w:tcPr>
            <w:shd w:fill="F2F2F2"/>
          </w:tcPr>
          <w:p>
            <w:r>
              <w:rPr>
                <w:rFonts w:ascii="Calibri" w:cs="Calibri" w:eastAsia="Calibri" w:hAnsi="Calibri"/>
                <w:b/>
                <w:bCs/>
                <w:sz w:val="20"/>
                <w:szCs w:val="20"/>
              </w:rPr>
              <w:t xml:space="preserve">Figure 5: The Legibility Shield — How Compliance Layers Reproduce Structural Absence</w:t>
            </w:r>
          </w:p>
        </w:tc>
        <w:tc>
          <w:tcPr>
            <w:shd w:fill="F2F2F2"/>
          </w:tcPr>
          <w:p>
            <w:r>
              <w:rPr>
                <w:rFonts w:ascii="Calibri" w:cs="Calibri" w:eastAsia="Calibri" w:hAnsi="Calibri"/>
                <w:sz w:val="20"/>
                <w:szCs w:val="20"/>
              </w:rPr>
              <w:t xml:space="preserve">Interactive HTML figure visualising the compliance architecture described in Section 4.5. Shows governance text cascading through five organisational layers (Standards → Audit → Corporate Legal → Procurement → Internal Documentation), with upward accountability flows to oversight bodies and blocked outward channels to affected communities, producing three largely disconnected accountability circuits. Print-ready (white background, high-contrast, serif captions).</w:t>
            </w:r>
          </w:p>
        </w:tc>
        <w:tc>
          <w:tcPr>
            <w:shd w:fill="F2F2F2"/>
          </w:tcPr>
          <w:p>
            <w:hyperlink w:history="1" r:id="rId0rbts3ayskgungy3ckfeh">
              <w:r>
                <w:rPr>
                  <w:rStyle w:val="Hyperlink"/>
                  <w:rFonts w:ascii="Calibri" w:cs="Calibri" w:eastAsia="Calibri" w:hAnsi="Calibri"/>
                  <w:sz w:val="20"/>
                  <w:szCs w:val="20"/>
                </w:rPr>
                <w:t xml:space="preserve">figure5_legibility_shield.html</w:t>
              </w:r>
            </w:hyperlink>
          </w:p>
        </w:tc>
      </w:tr>
    </w:tbl>
    <w:p>
      <w:pPr>
        <w:spacing w:before="300"/>
      </w:pPr>
      <w:r>
        <w:rPr>
          <w:rFonts w:ascii="Calibri" w:cs="Calibri" w:eastAsia="Calibri" w:hAnsi="Calibri"/>
          <w:i/>
          <w:iCs/>
          <w:color w:val="888888"/>
          <w:sz w:val="18"/>
          <w:szCs w:val="18"/>
        </w:rPr>
        <w:t xml:space="preserve">Generated: 2026-04-25. Total supplementary files: 22.</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wysn4vfhz4qhxnm43kb6" Type="http://schemas.openxmlformats.org/officeDocument/2006/relationships/hyperlink" Target="https://anonymous.4open.science/r/scratch-41CE" TargetMode="External"/><Relationship Id="rIdqraxxu1cetgbfgbf6fg3e" Type="http://schemas.openxmlformats.org/officeDocument/2006/relationships/hyperlink" Target="https://anonymous.4open.science/r/scratch-41CE/supplements" TargetMode="External"/><Relationship Id="rIdfrl7ywcag6rkgpvnk1ofv" Type="http://schemas.openxmlformats.org/officeDocument/2006/relationships/hyperlink" Target="https://anonymous.4open.science/r/scratch-41CE/supplements/GNDP_v1.0_full_protocol.md" TargetMode="External"/><Relationship Id="rIdgxwmbv3kbdlfwts9koslv" Type="http://schemas.openxmlformats.org/officeDocument/2006/relationships/hyperlink" Target="https://anonymous.4open.science/r/scratch-41CE/supplements/GNDP_v1.0_Tables.docx" TargetMode="External"/><Relationship Id="rIdqbkdbjnc9k8orqah4fq7d" Type="http://schemas.openxmlformats.org/officeDocument/2006/relationships/hyperlink" Target="https://anonymous.4open.science/r/scratch-41CE/supplements/pass_1a_extraction.md" TargetMode="External"/><Relationship Id="rIdpychvnbjb1b2z-xskonb3" Type="http://schemas.openxmlformats.org/officeDocument/2006/relationships/hyperlink" Target="https://anonymous.4open.science/r/scratch-41CE/supplements/pass_1b_candidates.md" TargetMode="External"/><Relationship Id="rIdoj18fpjz7fxvb8d6awnfv" Type="http://schemas.openxmlformats.org/officeDocument/2006/relationships/hyperlink" Target="https://anonymous.4open.science/r/scratch-41CE/supplements/pass_2_deep_dive.md" TargetMode="External"/><Relationship Id="rIdeow28iu6olfyetj2g7pi4" Type="http://schemas.openxmlformats.org/officeDocument/2006/relationships/hyperlink" Target="https://anonymous.4open.science/r/scratch-41CE/supplements/pass_3_counterfactual.md" TargetMode="External"/><Relationship Id="rIdwo48perd5igzjmvkjqpj8" Type="http://schemas.openxmlformats.org/officeDocument/2006/relationships/hyperlink" Target="https://anonymous.4open.science/r/scratch-41CE/supplements/schema_reference.md" TargetMode="External"/><Relationship Id="rIdw_bp-5ltdoticev8bbxw8" Type="http://schemas.openxmlformats.org/officeDocument/2006/relationships/hyperlink" Target="https://anonymous.4open.science/r/scratch-41CE/supplements/prompt_registry_reference.md" TargetMode="External"/><Relationship Id="rIdpy1fstblwkvrlsvrsbphm" Type="http://schemas.openxmlformats.org/officeDocument/2006/relationships/hyperlink" Target="https://anonymous.4open.science/r/scratch-41CE/supplements/analytical_modes_inventory.md" TargetMode="External"/><Relationship Id="rIdgrckzrrokfpqc50szdf1w" Type="http://schemas.openxmlformats.org/officeDocument/2006/relationships/hyperlink" Target="https://anonymous.4open.science/r/scratch-41CE/supplements/system_architecture_diagram.md" TargetMode="External"/><Relationship Id="rId3xg52ti5csrglea-nxfjn" Type="http://schemas.openxmlformats.org/officeDocument/2006/relationships/hyperlink" Target="https://anonymous.4open.science/r/scratch-41CE/supplements/system_architecture_diagram.png" TargetMode="External"/><Relationship Id="rIde3a-sz_l8vn-7fa2roucy" Type="http://schemas.openxmlformats.org/officeDocument/2006/relationships/hyperlink" Target="https://anonymous.4open.science/r/scratch-41CE/supplements/validation_and_limitations.md" TargetMode="External"/><Relationship Id="rIdxn3o683l7-llanrox3rjy" Type="http://schemas.openxmlformats.org/officeDocument/2006/relationships/hyperlink" Target="https://anonymous.4open.science/r/scratch-41CE/supplements/documentation/SYSTEM_DESCRIPTION.md" TargetMode="External"/><Relationship Id="rIdlr8qmqvmuqijqxoy4xttj" Type="http://schemas.openxmlformats.org/officeDocument/2006/relationships/hyperlink" Target="https://anonymous.4open.science/r/scratch-41CE/supplements/documentation/SYSTEM_DOCUMENTATION.md" TargetMode="External"/><Relationship Id="rId4fpt2zmhy-h6k9x0o7lvy" Type="http://schemas.openxmlformats.org/officeDocument/2006/relationships/hyperlink" Target="https://anonymous.4open.science/r/scratch-41CE/supplements/documentation/RESEARCH_WORKFLOW.md" TargetMode="External"/><Relationship Id="rIdftzlee_sleqza-3egyhm8" Type="http://schemas.openxmlformats.org/officeDocument/2006/relationships/hyperlink" Target="https://anonymous.4open.science/r/scratch-41CE/supplements/documentation/USER_MANUAL.md" TargetMode="External"/><Relationship Id="rId-fxe3gojzf8zsunfeiuln" Type="http://schemas.openxmlformats.org/officeDocument/2006/relationships/hyperlink" Target="https://anonymous.4open.science/r/scratch-41CE/supplements/documentation/USER_DOCUMENTATION.md" TargetMode="External"/><Relationship Id="rIde2nfd5kyej3qvodwujpvq" Type="http://schemas.openxmlformats.org/officeDocument/2006/relationships/hyperlink" Target="https://anonymous.4open.science/r/scratch-41CE/supplements/documentation/QUICK_START_CFP.md" TargetMode="External"/><Relationship Id="rIdsfjfeanbxg4sra5iqe5nr" Type="http://schemas.openxmlformats.org/officeDocument/2006/relationships/hyperlink" Target="https://anonymous.4open.science/r/scratch-41CE/supplements/documentation/AI_ANALYSIS_SETUP.md" TargetMode="External"/><Relationship Id="rId8jsvpcvzfekvjoa3ach79" Type="http://schemas.openxmlformats.org/officeDocument/2006/relationships/hyperlink" Target="https://anonymous.4open.science/r/scratch-41CE/supplements/documentation/DEPLOY.md" TargetMode="External"/><Relationship Id="rId1yn3a4b0sj7jc6bmxgkgw" Type="http://schemas.openxmlformats.org/officeDocument/2006/relationships/hyperlink" Target="https://anonymous.4open.science/r/scratch-41CE/supplements/documentation/MIGRATION_GUIDE.md" TargetMode="External"/><Relationship Id="rId0rbts3ayskgungy3ckfeh" Type="http://schemas.openxmlformats.org/officeDocument/2006/relationships/hyperlink" Target="https://anonymous.4open.science/r/scratch-41CE/supplements/figure5_legibility_shield.html"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2026-04-25T20:30:11.080Z</dcterms:created>
  <dcterms:modified xsi:type="dcterms:W3CDTF">2026-04-25T20:30:11.080Z</dcterms:modified>
</cp:coreProperties>
</file>

<file path=docProps/custom.xml><?xml version="1.0" encoding="utf-8"?>
<Properties xmlns="http://schemas.openxmlformats.org/officeDocument/2006/custom-properties" xmlns:vt="http://schemas.openxmlformats.org/officeDocument/2006/docPropsVTypes"/>
</file>