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GNDP v1.0 — Ghost Node Detection Protocol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Online Supplement: Detailed Tables</w:t>
      </w:r>
    </w:p>
    <w:p>
      <w:pPr>
        <w:pStyle w:val="Heading2"/>
        <w:spacing w:after="200" w:before="400"/>
        <w:rPr>
          <w:rFonts w:ascii="Calibri" w:cs="Calibri" w:eastAsia="Calibri" w:hAnsi="Calibri"/>
          <w:b/>
          <w:bCs/>
        </w:rPr>
      </w:pPr>
      <w:r>
        <w:t xml:space="preserve">Table S1. Multi-Pass Pipeline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 1A — Structural Extraction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GPT-4o-mini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Extract formal actors, affected claims, and obligatory passage points (OPPs)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 1B — Candidate Synthesis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GPT-4o-mini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Identify 8–12 absent-actor candidates via negation; triage by preliminary absence strength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 1.5 — NegEx Filtering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Rule-based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Eliminate false positives by detecting explicit exclusion language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 2 — Deep Dive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GPT-4o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Evidence grading, typology assignment, and weighted absence scoring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 3 — Counterfactual Test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GPT-4o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Quarantined speculation: project impacts of hypothetical inclusion at governance chokepoints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Analyst Review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Human</w:t>
            </w:r>
          </w:p>
        </w:tc>
        <w:tc>
          <w:tcPr>
            <w:tcW w:type="pct" w:w="6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Three-criterion reflexive assessment with immutable provenance chain</w:t>
            </w:r>
          </w:p>
        </w:tc>
      </w:tr>
    </w:tbl>
    <w:p>
      <w:pPr>
        <w:pStyle w:val="Heading2"/>
        <w:spacing w:after="200" w:before="400"/>
        <w:rPr>
          <w:rFonts w:ascii="Calibri" w:cs="Calibri" w:eastAsia="Calibri" w:hAnsi="Calibri"/>
          <w:b/>
          <w:bCs/>
        </w:rPr>
      </w:pPr>
      <w:r>
        <w:t xml:space="preserve">Table S2. Evidence Grades and Consequences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4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Consequence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E4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Explicit Exclusion</w:t>
            </w:r>
          </w:p>
        </w:tc>
        <w:tc>
          <w:tcPr>
            <w:tcW w:type="pct" w:w="4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Direct denial, boundary language, "only X" enumeration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Full scoring and typology permitted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Structural Framing</w:t>
            </w:r>
          </w:p>
        </w:tc>
        <w:tc>
          <w:tcPr>
            <w:tcW w:type="pct" w:w="4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Enumerated roles systematically omit candidate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Full scoring and typology permitted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E2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Weak/Speculative</w:t>
            </w:r>
          </w:p>
        </w:tc>
        <w:tc>
          <w:tcPr>
            <w:tcW w:type="pct" w:w="4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Non-mention only; no enumerations or boundary language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absenceScore = null; ghostType = null; isValid = false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E1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Evidence</w:t>
            </w:r>
          </w:p>
        </w:tc>
        <w:tc>
          <w:tcPr>
            <w:tcW w:type="pct" w:w="4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textual evidence at all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absenceScore = null; ghostType = null; isValid = false</w:t>
            </w:r>
          </w:p>
        </w:tc>
      </w:tr>
    </w:tbl>
    <w:p>
      <w:pPr>
        <w:pStyle w:val="Heading2"/>
        <w:spacing w:after="200" w:before="400"/>
        <w:rPr>
          <w:rFonts w:ascii="Calibri" w:cs="Calibri" w:eastAsia="Calibri" w:hAnsi="Calibri"/>
          <w:b/>
          <w:bCs/>
        </w:rPr>
      </w:pPr>
      <w:r>
        <w:t xml:space="preserve">Table S3. Weighted Absence Scoring Dimensions (100-point scale)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pct" w:w="1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 Points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Material Impact</w:t>
            </w:r>
          </w:p>
        </w:tc>
        <w:tc>
          <w:tcPr>
            <w:tcW w:type="pct" w:w="1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Severity of distributional or livelihood consequences borne by the absent actor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OPP Exclusion</w:t>
            </w:r>
          </w:p>
        </w:tc>
        <w:tc>
          <w:tcPr>
            <w:tcW w:type="pct" w:w="1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Degree to which the actor is locked out of governance decision gates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Sanction Absence</w:t>
            </w:r>
          </w:p>
        </w:tc>
        <w:tc>
          <w:tcPr>
            <w:tcW w:type="pct" w:w="1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Whether the actor lacks any means to trigger enforcement or accountability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 Invisibility</w:t>
            </w:r>
          </w:p>
        </w:tc>
        <w:tc>
          <w:tcPr>
            <w:tcW w:type="pct" w:w="1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Extent to which the actor's harms are rendered illegible by the policy's data categories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Representation Gap</w:t>
            </w:r>
          </w:p>
        </w:tc>
        <w:tc>
          <w:tcPr>
            <w:tcW w:type="pct" w:w="13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6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Deficit in formal voice: direct, collective, or proxy participation</w:t>
            </w:r>
          </w:p>
        </w:tc>
      </w:tr>
    </w:tbl>
    <w:p>
      <w:pPr>
        <w:pStyle w:val="Heading2"/>
        <w:spacing w:after="200" w:before="400"/>
        <w:rPr>
          <w:rFonts w:ascii="Calibri" w:cs="Calibri" w:eastAsia="Calibri" w:hAnsi="Calibri"/>
          <w:b/>
          <w:bCs/>
        </w:rPr>
      </w:pPr>
      <w:r>
        <w:t xml:space="preserve">Table S4. Validation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Grade</w:t>
            </w:r>
          </w:p>
        </w:tc>
        <w:tc>
          <w:tcPr>
            <w:tcW w:type="pct" w:w="6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Tier 1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61–100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E4</w:t>
            </w:r>
          </w:p>
        </w:tc>
        <w:tc>
          <w:tcPr>
            <w:tcW w:type="pct" w:w="6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Explicit exclusion: direct denial, restricted standing, or definitional scope boundaries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Tier 2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36–60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E3</w:t>
            </w:r>
          </w:p>
        </w:tc>
        <w:tc>
          <w:tcPr>
            <w:tcW w:type="pct" w:w="6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Structural exclusion by framing: systematic absence from enumerated actor lists</w:t>
            </w:r>
          </w:p>
        </w:tc>
      </w:tr>
      <w:tr>
        <w:tc>
          <w:tcPr>
            <w:tcW w:type="pct" w:w="1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Tier 3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0–35</w:t>
            </w:r>
          </w:p>
        </w:tc>
        <w:tc>
          <w:tcPr>
            <w:tcW w:type="pct" w:w="1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E1/E2</w:t>
            </w:r>
          </w:p>
        </w:tc>
        <w:tc>
          <w:tcPr>
            <w:tcW w:type="pct" w:w="6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Speculative omission: non-mention without boundary-setting language. Typically invalidated.</w:t>
            </w:r>
          </w:p>
        </w:tc>
      </w:tr>
    </w:tbl>
    <w:p>
      <w:pPr>
        <w:pStyle w:val="Heading2"/>
        <w:spacing w:after="200" w:before="400"/>
        <w:rPr>
          <w:rFonts w:ascii="Calibri" w:cs="Calibri" w:eastAsia="Calibri" w:hAnsi="Calibri"/>
          <w:b/>
          <w:bCs/>
        </w:rPr>
      </w:pPr>
      <w:r>
        <w:t xml:space="preserve">Table S5a. Ghost Type — Mechanism of Absence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4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Structural</w:t>
            </w:r>
          </w:p>
        </w:tc>
        <w:tc>
          <w:tcPr>
            <w:tcW w:type="pct" w:w="4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Excluded from formal governance architecture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Worker unions absent from conformity assessment procedures</w:t>
            </w:r>
          </w:p>
        </w:tc>
      </w:tr>
      <w:t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</w:t>
            </w:r>
          </w:p>
        </w:tc>
        <w:tc>
          <w:tcPr>
            <w:tcW w:type="pct" w:w="4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Experience not measured within compliance structures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Gig workers' harms not captured by employment-category metrics</w:t>
            </w:r>
          </w:p>
        </w:tc>
      </w:tr>
      <w:t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Representational</w:t>
            </w:r>
          </w:p>
        </w:tc>
        <w:tc>
          <w:tcPr>
            <w:tcW w:type="pct" w:w="4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Proxy speaks without accountability or binding representation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Consumer groups invoked but with no standing to challenge outcomes</w:t>
            </w:r>
          </w:p>
        </w:tc>
      </w:tr>
      <w:t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Scale</w:t>
            </w:r>
          </w:p>
        </w:tc>
        <w:tc>
          <w:tcPr>
            <w:tcW w:type="pct" w:w="4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Present at one governance scale but absent at another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Municipal-level AI deployments absent from national-level frameworks</w:t>
            </w:r>
          </w:p>
        </w:tc>
      </w:tr>
      <w:t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Temporal</w:t>
            </w:r>
          </w:p>
        </w:tc>
        <w:tc>
          <w:tcPr>
            <w:tcW w:type="pct" w:w="4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Affected later but excluded from early-stage design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Future generations absent from risk classification procedures</w:t>
            </w:r>
          </w:p>
        </w:tc>
      </w:tr>
      <w:t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Supply Chain</w:t>
            </w:r>
          </w:p>
        </w:tc>
        <w:tc>
          <w:tcPr>
            <w:tcW w:type="pct" w:w="4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Hidden upstream/downstream labour or resource contribution</w:t>
            </w:r>
          </w:p>
        </w:tc>
        <w:tc>
          <w:tcPr>
            <w:tcW w:type="pct" w:w="4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 labellers absent from AI supply-chain governance</w:t>
            </w:r>
          </w:p>
        </w:tc>
      </w:tr>
    </w:tbl>
    <w:p>
      <w:pPr>
        <w:pStyle w:val="Heading2"/>
        <w:spacing w:after="200" w:before="400"/>
        <w:rPr>
          <w:rFonts w:ascii="Calibri" w:cs="Calibri" w:eastAsia="Calibri" w:hAnsi="Calibri"/>
          <w:b/>
          <w:bCs/>
        </w:rPr>
      </w:pPr>
      <w:r>
        <w:t xml:space="preserve">Table S5b. Absence Type — Epistemic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8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Methodological</w:t>
            </w:r>
          </w:p>
        </w:tc>
        <w:tc>
          <w:tcPr>
            <w:tcW w:type="pct" w:w="8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Excluded by definitions or metrics — the categories used to measure governance effects do not capture this actor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Practical</w:t>
            </w:r>
          </w:p>
        </w:tc>
        <w:tc>
          <w:tcPr>
            <w:tcW w:type="pct" w:w="8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Excluded by procedural barriers — participation pathways exist in principle but are inaccessible in practice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Ontological</w:t>
            </w:r>
          </w:p>
        </w:tc>
        <w:tc>
          <w:tcPr>
            <w:tcW w:type="pct" w:w="8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Excluded by what the document treats as real — the actor's existence or relevance is not recognised within the governance ontology</w:t>
            </w:r>
          </w:p>
        </w:tc>
      </w:tr>
    </w:tbl>
    <w:p>
      <w:pPr>
        <w:pStyle w:val="Heading2"/>
        <w:spacing w:after="200" w:before="400"/>
        <w:rPr>
          <w:rFonts w:ascii="Calibri" w:cs="Calibri" w:eastAsia="Calibri" w:hAnsi="Calibri"/>
          <w:b/>
          <w:bCs/>
        </w:rPr>
      </w:pPr>
      <w:r>
        <w:t xml:space="preserve">Table S5c. Exclusion Type — Mode of Exclusion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8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Active</w:t>
            </w:r>
          </w:p>
        </w:tc>
        <w:tc>
          <w:tcPr>
            <w:tcW w:type="pct" w:w="8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Explicit prohibition: the document states the actor is excluded or the regulation does not apply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Passive</w:t>
            </w:r>
          </w:p>
        </w:tc>
        <w:tc>
          <w:tcPr>
            <w:tcW w:type="pct" w:w="8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Silent omission: the actor is absent without any exclusionary language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Structural</w:t>
            </w:r>
          </w:p>
        </w:tc>
        <w:tc>
          <w:tcPr>
            <w:tcW w:type="pct" w:w="8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Passive omission compounded by enumerated framing: the document lists qualifying actors and the candidate is not among them</w:t>
            </w:r>
          </w:p>
        </w:tc>
      </w:tr>
    </w:tbl>
    <w:p>
      <w:pPr>
        <w:pStyle w:val="Heading2"/>
        <w:spacing w:after="200" w:before="400"/>
        <w:rPr>
          <w:rFonts w:ascii="Calibri" w:cs="Calibri" w:eastAsia="Calibri" w:hAnsi="Calibri"/>
          <w:b/>
          <w:bCs/>
        </w:rPr>
      </w:pPr>
      <w:r>
        <w:t xml:space="preserve">Table S5d. Node Standing — Epistemic 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Standing</w:t>
            </w:r>
          </w:p>
        </w:tc>
        <w:tc>
          <w:tcPr>
            <w:tcW w:type="pct" w:w="7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Mention only</w:t>
            </w:r>
          </w:p>
        </w:tc>
        <w:tc>
          <w:tcPr>
            <w:tcW w:type="pct" w:w="7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Named in the document but without governance function or procedural role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Standing candidate</w:t>
            </w:r>
          </w:p>
        </w:tc>
        <w:tc>
          <w:tcPr>
            <w:tcW w:type="pct" w:w="7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Governance signals imply potential participation but no formal mechanism is provided</w:t>
            </w:r>
          </w:p>
        </w:tc>
      </w:tr>
      <w:tr>
        <w:tc>
          <w:tcPr>
            <w:tcW w:type="pct" w:w="2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Structural ghost</w:t>
            </w:r>
          </w:p>
        </w:tc>
        <w:tc>
          <w:tcPr>
            <w:tcW w:type="pct" w:w="7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Confirmed absent despite high functional relevance — the prototypical Ghost Node</w:t>
            </w:r>
          </w:p>
        </w:tc>
      </w:tr>
    </w:tbl>
    <w:p>
      <w:pPr>
        <w:pStyle w:val="Heading2"/>
        <w:spacing w:after="200" w:before="400"/>
        <w:rPr>
          <w:rFonts w:ascii="Calibri" w:cs="Calibri" w:eastAsia="Calibri" w:hAnsi="Calibri"/>
          <w:b/>
          <w:bCs/>
        </w:rPr>
      </w:pPr>
      <w:r>
        <w:t xml:space="preserve">Table S6. Counterfactual Power Test — Structured Outputs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pct" w:w="67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Chokepoint (Role Semantics)</w:t>
            </w:r>
          </w:p>
        </w:tc>
        <w:tc>
          <w:tcPr>
            <w:tcW w:type="pct" w:w="67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Specific procedural mechanism, OPP type, standing actor, obligated actor, obligation type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Scenario Statement</w:t>
            </w:r>
          </w:p>
        </w:tc>
        <w:tc>
          <w:tcPr>
            <w:tcW w:type="pct" w:w="67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Conditional statement (max 300 chars): "If [standing actor] had standing to [trigger]…"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Estimated Impact + Enforcement Ladder</w:t>
            </w:r>
          </w:p>
        </w:tc>
        <w:tc>
          <w:tcPr>
            <w:tcW w:type="pct" w:w="67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Impact level (None/Moderate/Transformative), guidance bindingness, escalation sequence (max 6 steps)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Typed Mechanism Chain</w:t>
            </w:r>
          </w:p>
        </w:tc>
        <w:tc>
          <w:tcPr>
            <w:tcW w:type="pct" w:w="67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3–8 ordered steps: EvidenceCollection → Aggregation → Admissibility → ReviewInitiation → ResponseDueProcess → RemedyEnforcement → Deterrence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Beneficiary Mechanisms</w:t>
            </w:r>
          </w:p>
        </w:tc>
        <w:tc>
          <w:tcPr>
            <w:tcW w:type="pct" w:w="67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Actors benefiting from ghost node's absence, with causal mechanism referencing chain steps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Shielded Actors</w:t>
            </w:r>
          </w:p>
        </w:tc>
        <w:tc>
          <w:tcPr>
            <w:tcW w:type="pct" w:w="67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Actors insulated from accountability by the exclusion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Confidence Assessment</w:t>
            </w:r>
          </w:p>
        </w:tc>
        <w:tc>
          <w:tcPr>
            <w:tcW w:type="pct" w:w="67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Evidence base, speculative confidence, grounded/inferred/unknown epistemic partition, explicit assumptions</w:t>
            </w:r>
          </w:p>
        </w:tc>
      </w:tr>
    </w:tbl>
    <w:p>
      <w:pPr>
        <w:pStyle w:val="Heading2"/>
        <w:spacing w:after="200" w:before="400"/>
        <w:rPr>
          <w:rFonts w:ascii="Calibri" w:cs="Calibri" w:eastAsia="Calibri" w:hAnsi="Calibri"/>
          <w:b/>
          <w:bCs/>
        </w:rPr>
      </w:pPr>
      <w:r>
        <w:t xml:space="preserve">Table S7. Why Quarantined Speculation</w:t>
      </w:r>
    </w:p>
    <w:p>
      <w:pPr>
        <w:spacing w:after="100" w:before="100"/>
      </w:pPr>
      <w:r>
        <w:rPr>
          <w:rFonts w:ascii="Calibri" w:cs="Calibri" w:eastAsia="Calibri" w:hAnsi="Calibri"/>
          <w:sz w:val="20"/>
          <w:szCs w:val="20"/>
        </w:rPr>
        <w:t xml:space="preserve">Rationale for structural separation of counterfactual reasoning from evidentiary assessment.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If Mixed with Evidence</w:t>
            </w:r>
          </w:p>
        </w:tc>
        <w:tc>
          <w:tcPr>
            <w:tcW w:type="pct" w:w="4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GNDP Design Response</w:t>
            </w:r>
          </w:p>
        </w:tc>
      </w:tr>
      <w:t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Probabilistic closure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LLMs fill structural absences with plausible inferences, inflating ghost node counts</w:t>
            </w:r>
          </w:p>
        </w:tc>
        <w:tc>
          <w:tcPr>
            <w:tcW w:type="pct" w:w="4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Evidence-gated scoring (E1/E2 → invalid) ensures only textually grounded candidates reach counterfactual analysis</w:t>
            </w:r>
          </w:p>
        </w:tc>
      </w:tr>
      <w:t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Epistemic contamination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Counterfactual reasoning may retroactively increase confidence in weak evidence</w:t>
            </w:r>
          </w:p>
        </w:tc>
        <w:tc>
          <w:tcPr>
            <w:tcW w:type="pct" w:w="4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 3 is structurally isolated from Pass 2; counterfactual outputs cannot modify absence scores or evidence grades</w:t>
            </w:r>
          </w:p>
        </w:tc>
      </w:tr>
      <w:t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Advocacy risk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Scenarios presented as analysis may function as advocacy for specific reforms</w:t>
            </w:r>
          </w:p>
        </w:tc>
        <w:tc>
          <w:tcPr>
            <w:tcW w:type="pct" w:w="4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outputs explicitly conditional; analytical challenges (downsides) mandatory; epistemic partition prevents silent upgrades</w:t>
            </w:r>
          </w:p>
        </w:tc>
      </w:tr>
      <w:t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Hegemonic framing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Training corpora encode Global North governance assumptions as defaults</w:t>
            </w:r>
          </w:p>
        </w:tc>
        <w:tc>
          <w:tcPr>
            <w:tcW w:type="pct" w:w="4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 1B prohibits assuming Western-centric governance norms; extraction anchored in document text only</w:t>
            </w:r>
          </w:p>
        </w:tc>
      </w:tr>
      <w:t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Semantic compression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Rhetorical mention and procedural standing may collapse in model output</w:t>
            </w:r>
          </w:p>
        </w:tc>
        <w:tc>
          <w:tcPr>
            <w:tcW w:type="pct" w:w="4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Two-criterion gate (Textual Invocation + Structural Foreclosure) requires separate evidence for each</w:t>
            </w:r>
          </w:p>
        </w:tc>
      </w:tr>
      <w:tr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Reproducibility</w:t>
            </w:r>
          </w:p>
        </w:tc>
        <w:tc>
          <w:tcPr>
            <w:tcW w:type="pct" w:w="3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Unconstrained speculation cannot be reproduced or audited</w:t>
            </w:r>
          </w:p>
        </w:tc>
        <w:tc>
          <w:tcPr>
            <w:tcW w:type="pct" w:w="44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Typed mechanism chains, enforcement ladder constraints, role semantics, and explicit assumptions create structured, inspectable output</w:t>
            </w:r>
          </w:p>
        </w:tc>
      </w:tr>
    </w:tbl>
    <w:p>
      <w:pPr>
        <w:pStyle w:val="Heading2"/>
        <w:spacing w:after="200" w:before="400"/>
        <w:rPr>
          <w:rFonts w:ascii="Calibri" w:cs="Calibri" w:eastAsia="Calibri" w:hAnsi="Calibri"/>
          <w:b/>
          <w:bCs/>
        </w:rPr>
      </w:pPr>
      <w:r>
        <w:t xml:space="preserve">Table S8. Analyst Reflexive 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pct" w:w="4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293b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Assessment Status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Proposed / Confirmed / Contested / Deferred</w:t>
            </w:r>
          </w:p>
        </w:tc>
        <w:tc>
          <w:tcPr>
            <w:tcW w:type="pct" w:w="4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Analyst's current verdict on the ghost node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Functional Relevance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pct" w:w="4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 plausible governance function exists for which the actor could have been responsible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Textual Trace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pct" w:w="4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regime identifies the actor as having an interest but precludes participation as an agent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Structural Foreclosure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pct" w:w="4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procedural architecture eliminates any avenue for complaint or governance involvement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Moral Status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Moral patient / Moral agent / Both / Undetermined</w:t>
            </w:r>
          </w:p>
        </w:tc>
        <w:tc>
          <w:tcPr>
            <w:tcW w:type="pct" w:w="4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Floridi-informed classification of the ghost node's moral standing</w:t>
            </w:r>
          </w:p>
        </w:tc>
      </w:tr>
      <w:tr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Reflexive Note</w:t>
            </w:r>
          </w:p>
        </w:tc>
        <w:tc>
          <w:tcPr>
            <w:tcW w:type="pct" w:w="3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Free text</w:t>
            </w:r>
          </w:p>
        </w:tc>
        <w:tc>
          <w:tcPr>
            <w:tcW w:type="pct" w:w="4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f8fafc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Analyst records how their positionality may shape the reading; preserved as immutable provenance entry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GNDP v1.0 — Ghost Node Detection Protocol. Part of the Policy Prism analytical framework.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Source: https://github.com/tsedbrpp/scratch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2026-04-22T15:13:50.780Z</dcterms:created>
  <dcterms:modified xsi:type="dcterms:W3CDTF">2026-04-22T15:13:50.782Z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