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rPr>
        <w:t xml:space="preserve">Pravila o sukobu interesa / Conflict of Interest Policy</w:t>
      </w:r>
    </w:p>
    <w:tbl>
      <w:tblPr>
        <w:tblW w:type="dxa" w:w="9906"/>
        <w:tblBorders>
          <w:top w:val="single" w:color="C9D3D7" w:sz="4"/>
          <w:left w:val="single" w:color="C9D3D7" w:sz="4"/>
          <w:bottom w:val="single" w:color="C9D3D7" w:sz="4"/>
          <w:right w:val="single" w:color="C9D3D7" w:sz="4"/>
          <w:insideH w:val="single" w:color="C9D3D7" w:sz="4"/>
          <w:insideV w:val="single" w:color="C9D3D7" w:sz="4"/>
        </w:tblBorders>
      </w:tblPr>
      <w:tblGrid>
        <w:gridCol w:w="4953"/>
        <w:gridCol w:w="4953"/>
      </w:tblGrid>
      <w:tr>
        <w:trPr>
          <w:tblHeader/>
        </w:trPr>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Crnogorski (mjerodavan tekst)</w:t>
            </w:r>
          </w:p>
        </w:tc>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English (translation)</w:t>
            </w:r>
          </w:p>
        </w:tc>
      </w:tr>
      <w:tr>
        <w:tc>
          <w:tcPr>
            <w:tcW w:type="dxa" w:w="9906"/>
            <w:gridSpan w:val="2"/>
            <w:tcMar>
              <w:top w:type="dxa" w:w="80"/>
              <w:left w:type="dxa" w:w="100"/>
              <w:bottom w:type="dxa" w:w="80"/>
              <w:right w:type="dxa" w:w="100"/>
            </w:tcMar>
          </w:tcPr>
          <w:p>
            <w:pPr>
              <w:spacing w:after="80"/>
            </w:pPr>
            <w:r>
              <w:rPr>
                <w:rFonts w:ascii="Arial" w:cs="Arial" w:eastAsia="Arial" w:hAnsi="Arial"/>
                <w:color w:val="5A6A72"/>
                <w:sz w:val="16"/>
                <w:szCs w:val="16"/>
              </w:rPr>
              <w:t xml:space="preserve">Draft of the policy Article 34 of the statute additions (</w:t>
            </w:r>
            <w:r>
              <w:rPr>
                <w:rFonts w:ascii="Courier New" w:cs="Courier New" w:eastAsia="Courier New" w:hAnsi="Courier New"/>
                <w:color w:val="5A6A72"/>
                <w:sz w:val="16"/>
                <w:szCs w:val="16"/>
              </w:rPr>
              <w:t xml:space="preserve">docs/legal/registration/statute-additions.md</w:t>
            </w:r>
            <w:r>
              <w:rPr>
                <w:rFonts w:ascii="Arial" w:cs="Arial" w:eastAsia="Arial" w:hAnsi="Arial"/>
                <w:color w:val="5A6A72"/>
                <w:sz w:val="16"/>
                <w:szCs w:val="16"/>
              </w:rPr>
              <w:t xml:space="preserve">) has the Board adopt. It is the document the Grants Committee's annual declaration (Art. 39), the grant criteria (section 10) and the Chapter Rules (Art. 15) refer to, and it carries the team guide's pay rules, which exist because Article 30 of the Law on NGOs puts founders, members, officers and employees in the same clause on the use of assets. Montenegrin is the operative text; the English under each article is a translation for founders who do not read it. Drafted 2026-09-21. </w:t>
            </w:r>
            <w:r>
              <w:rPr>
                <w:rFonts w:ascii="Arial" w:cs="Arial" w:eastAsia="Arial" w:hAnsi="Arial"/>
                <w:b/>
                <w:bCs/>
                <w:color w:val="5A6A72"/>
                <w:sz w:val="16"/>
                <w:szCs w:val="16"/>
              </w:rPr>
              <w:t xml:space="preserve">The lawyer reviews before adoption</w:t>
            </w:r>
            <w:r>
              <w:rPr>
                <w:rFonts w:ascii="Arial" w:cs="Arial" w:eastAsia="Arial" w:hAnsi="Arial"/>
                <w:color w:val="5A6A72"/>
                <w:sz w:val="16"/>
                <w:szCs w:val="16"/>
              </w:rPr>
              <w:t xml:space="preserve">, in particular Part V against the Law on NGOs and labour law. Bracketed values are parameters for the Board; suggested values are in the final section.</w:t>
            </w:r>
          </w:p>
        </w:tc>
      </w:tr>
      <w:tr>
        <w:tc>
          <w:tcPr>
            <w:tcW w:type="dxa" w:w="9906"/>
            <w:gridSpan w:val="2"/>
            <w:tcMar>
              <w:top w:type="dxa" w:w="80"/>
              <w:left w:type="dxa" w:w="100"/>
              <w:bottom w:type="dxa" w:w="80"/>
              <w:right w:type="dxa" w:w="100"/>
            </w:tcMar>
          </w:tcPr>
          <w:p>
            <w:pPr>
              <w:spacing w:after="80"/>
            </w:pPr>
            <w:r>
              <w:rPr>
                <w:rFonts w:ascii="Arial" w:cs="Arial" w:eastAsia="Arial" w:hAnsi="Arial"/>
                <w:b/>
                <w:bCs/>
                <w:color w:val="5A6A72"/>
                <w:sz w:val="16"/>
                <w:szCs w:val="16"/>
              </w:rPr>
              <w:t xml:space="preserve">Decisions embedded here, all from the team guide:</w:t>
            </w:r>
            <w:r>
              <w:rPr>
                <w:rFonts w:ascii="Arial" w:cs="Arial" w:eastAsia="Arial" w:hAnsi="Arial"/>
                <w:color w:val="5A6A72"/>
                <w:sz w:val="16"/>
                <w:szCs w:val="16"/>
              </w:rPr>
              <w:t xml:space="preserve"> contracts not transfers; the payer is never the payee; pay bands published; no relatives on payroll in the early years; a written accountant's opinion before the first payroll; the Grants Committee decides on beneficiaries with conflicts declared and recused.</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 OPŠTE ODREDBE</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GENERAL PROVISIONS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 — Svrha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 Purpose.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Ova pravila uređuju kako udruženje prepoznaje, prijavljuje, bilježi i rješava sukob interesa, kako bi svaka odluka o novcu, ljudima i korisnicima bila donesena u interesu udruženja i mogla izdržati pitanje: „Kako znam da ovo ne ide vašim prijateljima?“</w:t>
            </w:r>
          </w:p>
          <w:p>
            <w:pPr>
              <w:spacing w:after="100"/>
            </w:pPr>
            <w:r>
              <w:rPr>
                <w:rFonts w:ascii="Arial" w:cs="Arial" w:eastAsia="Arial" w:hAnsi="Arial"/>
                <w:sz w:val="18"/>
                <w:szCs w:val="18"/>
              </w:rPr>
              <w:t xml:space="preserve">Pravila dopunjuju član 22 Statuta (isključenje prava glasa), član 39 Statuta (Komisija za dodjelu sredstava) i član 30 Zakona o nevladinim organizacijama (korišćenje imovine).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 Purpose.</w:t>
            </w:r>
            <w:r>
              <w:rPr>
                <w:rFonts w:ascii="Arial" w:cs="Arial" w:eastAsia="Arial" w:hAnsi="Arial"/>
                <w:sz w:val="18"/>
                <w:szCs w:val="18"/>
              </w:rPr>
              <w:t xml:space="preserve"> These rules set how the association recognises, declares, records and resolves conflicts of interest, so that every decision about money, people and beneficiaries is taken in the association's interest and can withstand the question "how do I know this does not go to your friends?". They supplement Statute Art. 22 (exclusion from voting), Art. 39 (Grants Committee) and Article 30 of the Law on NGOs (use of assets).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 — Na koga se primjenjuju</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 Who is covered.</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Pravila se primjenjuju na: osnivače; članove Skupštine kada odlučuju; članove Upravnog odbora; članove Komisije za dodjelu sredstava; Izvršnog direktora; zaposlene; rukovodioce, blagajnike i koordinatore volontera ogranaka; volontere i spoljne saradnike kada u ime udruženja pregovaraju, nabavljaju, ocjenjuju prijave ili rukuju novcem (u daljem tekstu: obveznici).</w:t>
            </w:r>
          </w:p>
          <w:p>
            <w:pPr>
              <w:spacing w:after="100"/>
            </w:pPr>
            <w:r>
              <w:rPr>
                <w:rFonts w:ascii="Arial" w:cs="Arial" w:eastAsia="Arial" w:hAnsi="Arial"/>
                <w:sz w:val="18"/>
                <w:szCs w:val="18"/>
              </w:rPr>
              <w:t xml:space="preserve">Prihvatanje funkcije, zaposlenja ili angažmana podrazumijeva prihvatanje ovih pravila. Obveznici potpisuju izjavu iz člana 10 pri stupanju na funkciju.</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2. Who is covered.</w:t>
            </w:r>
            <w:r>
              <w:rPr>
                <w:rFonts w:ascii="Arial" w:cs="Arial" w:eastAsia="Arial" w:hAnsi="Arial"/>
                <w:sz w:val="18"/>
                <w:szCs w:val="18"/>
              </w:rPr>
              <w:t xml:space="preserve"> Founders; Assembly members when deciding; Board members; Grants Committee members; the Executive Director; employees; chapter leads, treasurers and volunteer coordinators; volunteers and external contractors when they negotiate, procure, assess applications or handle money for the association (together: covered persons). Taking a function, job or engagement means accepting these rules; covered persons sign the Article 10 declaration on taking office.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3 — Pojmovi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3. Definitions.</w:t>
            </w:r>
          </w:p>
        </w:tc>
      </w:tr>
      <w:tr>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Sukob interesa</w:t>
            </w:r>
            <w:r>
              <w:rPr>
                <w:rFonts w:ascii="Arial" w:cs="Arial" w:eastAsia="Arial" w:hAnsi="Arial"/>
                <w:sz w:val="18"/>
                <w:szCs w:val="18"/>
              </w:rPr>
              <w:t xml:space="preserve"> postoji kada lični interes obveznika ili sa njim povezanog lica utiče ili može uticati na to kako obveznik obavlja dužnost prema udruženju, ili kada bi razuman posmatrač tako zaključio. Sukob može biti:</w:t>
            </w:r>
          </w:p>
          <w:p>
            <w:pPr>
              <w:pStyle w:val="ListParagraph"/>
              <w:numPr>
                <w:ilvl w:val="0"/>
                <w:numId w:val="2"/>
              </w:numPr>
              <w:spacing w:after="40"/>
            </w:pPr>
            <w:r>
              <w:rPr>
                <w:rFonts w:ascii="Arial" w:cs="Arial" w:eastAsia="Arial" w:hAnsi="Arial"/>
                <w:b/>
                <w:bCs/>
                <w:sz w:val="18"/>
                <w:szCs w:val="18"/>
              </w:rPr>
              <w:t xml:space="preserve">stvarni:</w:t>
            </w:r>
            <w:r>
              <w:rPr>
                <w:rFonts w:ascii="Arial" w:cs="Arial" w:eastAsia="Arial" w:hAnsi="Arial"/>
                <w:sz w:val="18"/>
                <w:szCs w:val="18"/>
              </w:rPr>
              <w:t xml:space="preserve"> interes postoji u odluci koja se donosi;</w:t>
            </w:r>
          </w:p>
          <w:p>
            <w:pPr>
              <w:pStyle w:val="ListParagraph"/>
              <w:numPr>
                <w:ilvl w:val="0"/>
                <w:numId w:val="2"/>
              </w:numPr>
              <w:spacing w:after="40"/>
            </w:pPr>
            <w:r>
              <w:rPr>
                <w:rFonts w:ascii="Arial" w:cs="Arial" w:eastAsia="Arial" w:hAnsi="Arial"/>
                <w:b/>
                <w:bCs/>
                <w:sz w:val="18"/>
                <w:szCs w:val="18"/>
              </w:rPr>
              <w:t xml:space="preserve">mogući:</w:t>
            </w:r>
            <w:r>
              <w:rPr>
                <w:rFonts w:ascii="Arial" w:cs="Arial" w:eastAsia="Arial" w:hAnsi="Arial"/>
                <w:sz w:val="18"/>
                <w:szCs w:val="18"/>
              </w:rPr>
              <w:t xml:space="preserve"> interes bi nastao ako se odluka donese na određeni način;</w:t>
            </w:r>
          </w:p>
          <w:p>
            <w:pPr>
              <w:pStyle w:val="ListParagraph"/>
              <w:numPr>
                <w:ilvl w:val="0"/>
                <w:numId w:val="2"/>
              </w:numPr>
              <w:spacing w:after="40"/>
            </w:pPr>
            <w:r>
              <w:rPr>
                <w:rFonts w:ascii="Arial" w:cs="Arial" w:eastAsia="Arial" w:hAnsi="Arial"/>
                <w:b/>
                <w:bCs/>
                <w:sz w:val="18"/>
                <w:szCs w:val="18"/>
              </w:rPr>
              <w:t xml:space="preserve">prividni:</w:t>
            </w:r>
            <w:r>
              <w:rPr>
                <w:rFonts w:ascii="Arial" w:cs="Arial" w:eastAsia="Arial" w:hAnsi="Arial"/>
                <w:sz w:val="18"/>
                <w:szCs w:val="18"/>
              </w:rPr>
              <w:t xml:space="preserve"> interesa nema, ali okolnosti izgledaju tako da javnost može sumnjati.</w:t>
            </w:r>
          </w:p>
          <w:p>
            <w:pPr>
              <w:spacing w:after="100"/>
            </w:pPr>
            <w:r>
              <w:rPr>
                <w:rFonts w:ascii="Arial" w:cs="Arial" w:eastAsia="Arial" w:hAnsi="Arial"/>
                <w:sz w:val="18"/>
                <w:szCs w:val="18"/>
              </w:rPr>
              <w:t xml:space="preserve">Sva tri se prijavljuju.</w:t>
            </w:r>
          </w:p>
          <w:p>
            <w:pPr>
              <w:spacing w:after="100"/>
            </w:pPr>
            <w:r>
              <w:rPr>
                <w:rFonts w:ascii="Arial" w:cs="Arial" w:eastAsia="Arial" w:hAnsi="Arial"/>
                <w:b/>
                <w:bCs/>
                <w:sz w:val="18"/>
                <w:szCs w:val="18"/>
              </w:rPr>
              <w:t xml:space="preserve">Lični interes</w:t>
            </w:r>
            <w:r>
              <w:rPr>
                <w:rFonts w:ascii="Arial" w:cs="Arial" w:eastAsia="Arial" w:hAnsi="Arial"/>
                <w:sz w:val="18"/>
                <w:szCs w:val="18"/>
              </w:rPr>
              <w:t xml:space="preserve"> je svaka korist, novčana ili druga, uključujući zaposlenje, honorar, ugovor, sponzorstvo, poklon, uslugu, priznanje, prednost za pravno lice u kome obveznik ima udio ili funkciju, i korist za povezano lice.</w:t>
            </w:r>
          </w:p>
          <w:p>
            <w:pPr>
              <w:spacing w:after="100"/>
            </w:pPr>
            <w:r>
              <w:rPr>
                <w:rFonts w:ascii="Arial" w:cs="Arial" w:eastAsia="Arial" w:hAnsi="Arial"/>
                <w:b/>
                <w:bCs/>
                <w:sz w:val="18"/>
                <w:szCs w:val="18"/>
              </w:rPr>
              <w:t xml:space="preserve">Povezano lice</w:t>
            </w:r>
            <w:r>
              <w:rPr>
                <w:rFonts w:ascii="Arial" w:cs="Arial" w:eastAsia="Arial" w:hAnsi="Arial"/>
                <w:sz w:val="18"/>
                <w:szCs w:val="18"/>
              </w:rPr>
              <w:t xml:space="preserve"> je: bračni i vanbračni drug; dijete, usvojenik i pastorak; roditelj, usvojilac i staratelj; brat i sestra; lice sa kojim obveznik živi u zajedničkom domaćinstvu; privredno društvo, preduzetnik ili organizacija u kojoj obveznik ili neko od navedenih lica ima udio od najmanje [[PLACEHOLDER: procenat, npr. 10]] procenata, funkciju u organu ili zaposlenje na rukovodećem mjestu; lice sa kojim obveznik ima tekući poslovni ili dužnički odnos.</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3. Definitions.</w:t>
            </w:r>
            <w:r>
              <w:rPr>
                <w:rFonts w:ascii="Arial" w:cs="Arial" w:eastAsia="Arial" w:hAnsi="Arial"/>
                <w:sz w:val="18"/>
                <w:szCs w:val="18"/>
              </w:rPr>
              <w:t xml:space="preserve"> A conflict exists when a covered person's personal interest, or a connected person's, influences or could influence how they perform their duty to the association, or a reasonable observer would conclude so. It can be actual, potential or perceived; all three are declared. Personal interest is any benefit, money or otherwise: employment, fee, contract, sponsorship, gift, favour, recognition, advantage to an entity in which the person holds a stake or office, or benefit to a connected person. Connected persons: spouse or partner; children, adopted children and stepchildren; parents, adoptive parents and guardians; siblings; anyone in the same household; any company, sole trader or organisation in which the person or any of these holds at least [10] percent, an office or a senior job; anyone with whom the person has a current business or debt relationship.</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II. NAČELA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PRINCIPLES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4 — Dužnosti obveznika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4. Duties.</w:t>
            </w:r>
          </w:p>
        </w:tc>
      </w:tr>
      <w:tr>
        <w:tc>
          <w:tcPr>
            <w:tcW w:type="dxa" w:w="9906"/>
            <w:gridSpan w:val="2"/>
            <w:tcMar>
              <w:top w:type="dxa" w:w="80"/>
              <w:left w:type="dxa" w:w="100"/>
              <w:bottom w:type="dxa" w:w="80"/>
              <w:right w:type="dxa" w:w="100"/>
            </w:tcMar>
          </w:tcPr>
          <w:p>
            <w:pPr>
              <w:spacing w:after="100"/>
            </w:pPr>
            <w:r>
              <w:rPr>
                <w:rFonts w:ascii="Arial" w:cs="Arial" w:eastAsia="Arial" w:hAnsi="Arial"/>
                <w:sz w:val="18"/>
                <w:szCs w:val="18"/>
              </w:rPr>
              <w:t xml:space="preserve">Obveznik:</w:t>
            </w:r>
          </w:p>
        </w:tc>
      </w:tr>
      <w:tr>
        <w:tc>
          <w:tcPr>
            <w:tcW w:type="dxa" w:w="4953"/>
            <w:tcMar>
              <w:top w:type="dxa" w:w="80"/>
              <w:left w:type="dxa" w:w="100"/>
              <w:bottom w:type="dxa" w:w="80"/>
              <w:right w:type="dxa" w:w="100"/>
            </w:tcMar>
          </w:tcPr>
          <w:p>
            <w:pPr>
              <w:pStyle w:val="ListParagraph"/>
              <w:numPr>
                <w:ilvl w:val="0"/>
                <w:numId w:val="3"/>
              </w:numPr>
              <w:spacing w:after="40"/>
            </w:pPr>
            <w:r>
              <w:rPr>
                <w:rFonts w:ascii="Arial" w:cs="Arial" w:eastAsia="Arial" w:hAnsi="Arial"/>
                <w:sz w:val="18"/>
                <w:szCs w:val="18"/>
              </w:rPr>
              <w:t xml:space="preserve">odlučuje i djeluje isključivo u interesu udruženja i njegovih korisnika;</w:t>
            </w:r>
          </w:p>
          <w:p>
            <w:pPr>
              <w:pStyle w:val="ListParagraph"/>
              <w:numPr>
                <w:ilvl w:val="0"/>
                <w:numId w:val="3"/>
              </w:numPr>
              <w:spacing w:after="40"/>
            </w:pPr>
            <w:r>
              <w:rPr>
                <w:rFonts w:ascii="Arial" w:cs="Arial" w:eastAsia="Arial" w:hAnsi="Arial"/>
                <w:sz w:val="18"/>
                <w:szCs w:val="18"/>
              </w:rPr>
              <w:t xml:space="preserve">ne koristi funkciju, informacije do kojih je došao u udruženju, imovinu, naziv ni kontakte udruženja za ličnu korist ili korist povezanog lica;</w:t>
            </w:r>
          </w:p>
          <w:p>
            <w:pPr>
              <w:pStyle w:val="ListParagraph"/>
              <w:numPr>
                <w:ilvl w:val="0"/>
                <w:numId w:val="3"/>
              </w:numPr>
              <w:spacing w:after="40"/>
            </w:pPr>
            <w:r>
              <w:rPr>
                <w:rFonts w:ascii="Arial" w:cs="Arial" w:eastAsia="Arial" w:hAnsi="Arial"/>
                <w:sz w:val="18"/>
                <w:szCs w:val="18"/>
              </w:rPr>
              <w:t xml:space="preserve">prijavljuje svaki sukob interesa čim ga postane svjestan, a najkasnije prije rasprave o odluci na koju se odnosi;</w:t>
            </w:r>
          </w:p>
          <w:p>
            <w:pPr>
              <w:pStyle w:val="ListParagraph"/>
              <w:numPr>
                <w:ilvl w:val="0"/>
                <w:numId w:val="3"/>
              </w:numPr>
              <w:spacing w:after="40"/>
            </w:pPr>
            <w:r>
              <w:rPr>
                <w:rFonts w:ascii="Arial" w:cs="Arial" w:eastAsia="Arial" w:hAnsi="Arial"/>
                <w:sz w:val="18"/>
                <w:szCs w:val="18"/>
              </w:rPr>
              <w:t xml:space="preserve">ne učestvuje u pripremi, raspravi ni odlučivanju o pitanju u kome je u sukobu interesa, osim ako ovim pravilima nije drugačije određeno;</w:t>
            </w:r>
          </w:p>
          <w:p>
            <w:pPr>
              <w:pStyle w:val="ListParagraph"/>
              <w:numPr>
                <w:ilvl w:val="0"/>
                <w:numId w:val="3"/>
              </w:numPr>
              <w:spacing w:after="40"/>
            </w:pPr>
            <w:r>
              <w:rPr>
                <w:rFonts w:ascii="Arial" w:cs="Arial" w:eastAsia="Arial" w:hAnsi="Arial"/>
                <w:sz w:val="18"/>
                <w:szCs w:val="18"/>
              </w:rPr>
              <w:t xml:space="preserve">ne prima poklone, gostoprimstvo ni pogodnosti suprotno dijelu VI ovih pravila;</w:t>
            </w:r>
          </w:p>
          <w:p>
            <w:pPr>
              <w:pStyle w:val="ListParagraph"/>
              <w:numPr>
                <w:ilvl w:val="0"/>
                <w:numId w:val="3"/>
              </w:numPr>
              <w:spacing w:after="40"/>
            </w:pPr>
            <w:r>
              <w:rPr>
                <w:rFonts w:ascii="Arial" w:cs="Arial" w:eastAsia="Arial" w:hAnsi="Arial"/>
                <w:sz w:val="18"/>
                <w:szCs w:val="18"/>
              </w:rPr>
              <w:t xml:space="preserve">odgovara istinito na pitanja organa o postojanju sukoba interesa.</w:t>
            </w:r>
          </w:p>
          <w:p>
            <w:pPr>
              <w:spacing w:after="100"/>
            </w:pPr>
            <w:r>
              <w:rPr>
                <w:rFonts w:ascii="Arial" w:cs="Arial" w:eastAsia="Arial" w:hAnsi="Arial"/>
                <w:sz w:val="18"/>
                <w:szCs w:val="18"/>
              </w:rPr>
              <w:t xml:space="preserve">Kada obveznik nije siguran da li sukob postoji, prijavljuje ga. Prijava nikada nije na štetu obveznika; neprijavljivanje jeste.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4. Duties.</w:t>
            </w:r>
            <w:r>
              <w:rPr>
                <w:rFonts w:ascii="Arial" w:cs="Arial" w:eastAsia="Arial" w:hAnsi="Arial"/>
                <w:sz w:val="18"/>
                <w:szCs w:val="18"/>
              </w:rPr>
              <w:t xml:space="preserve"> A covered person acts solely in the interest of the association and its beneficiaries; does not use their function, information, the association's assets, name or contacts for personal or connected benefit; declares every conflict as soon as aware and before the relevant discussion; takes no part in preparing, discussing or deciding the matter, unless these rules say otherwise; accepts no gifts, hospitality or favours contrary to Part VI; and answers truthfully. When in doubt, declare: declaring is never held against anyone, failing to declare is.</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III. TIPIČNE SITUACIJE</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TYPICAL SITUATIONS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5 — Dodjela sredstava korisnicima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5. Allocations to beneficiaries.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Član Komisije za dodjelu sredstava, Izvršni direktor, član Upravnog odbora i lice ogranka koje priprema spis ne učestvuju ni u čemu što se tiče prijave korisnika koji je povezano lice, sused, kolega, klijent, poslodavac ili lice koje su sami predložili, niti prijave organizacije u kojoj imaju funkciju.</w:t>
            </w:r>
          </w:p>
          <w:p>
            <w:pPr>
              <w:spacing w:after="100"/>
            </w:pPr>
            <w:r>
              <w:rPr>
                <w:rFonts w:ascii="Arial" w:cs="Arial" w:eastAsia="Arial" w:hAnsi="Arial"/>
                <w:sz w:val="18"/>
                <w:szCs w:val="18"/>
              </w:rPr>
              <w:t xml:space="preserve">Član Komisije koji je sam predložio korisnika prijavljuje to i izuzima se, a Komisija u obrazloženju navodi ko je korisnika predložio.</w:t>
            </w:r>
          </w:p>
          <w:p>
            <w:pPr>
              <w:spacing w:after="100"/>
            </w:pPr>
            <w:r>
              <w:rPr>
                <w:rFonts w:ascii="Arial" w:cs="Arial" w:eastAsia="Arial" w:hAnsi="Arial"/>
                <w:sz w:val="18"/>
                <w:szCs w:val="18"/>
              </w:rPr>
              <w:t xml:space="preserve">Obveznik, njegovo povezano lice i privredno društvo u kome ima udio ne mogu biti korisnici sredstava udruženja (kriterijumi za dodjelu sredstava, odjeljak 3), osim članova udruženja koji nemaju funkciju, uz prijavu i izuzeće svakog lica koje ih poznaje.</w:t>
            </w:r>
          </w:p>
          <w:p>
            <w:pPr>
              <w:spacing w:after="100"/>
            </w:pPr>
            <w:r>
              <w:rPr>
                <w:rFonts w:ascii="Arial" w:cs="Arial" w:eastAsia="Arial" w:hAnsi="Arial"/>
                <w:sz w:val="18"/>
                <w:szCs w:val="18"/>
              </w:rPr>
              <w:t xml:space="preserve">Učesnik koji na platformi udruženja prikuplja sredstva za kampanju čiji je korisnik njegovo povezano lice mora to navesti na svojoj stranici; Komisija to uzima u obzir pri dodjeli, a sredstva se i tada dodjeljuju samo po kriterijumima.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5. Allocations to beneficiaries.</w:t>
            </w:r>
            <w:r>
              <w:rPr>
                <w:rFonts w:ascii="Arial" w:cs="Arial" w:eastAsia="Arial" w:hAnsi="Arial"/>
                <w:sz w:val="18"/>
                <w:szCs w:val="18"/>
              </w:rPr>
              <w:t xml:space="preserve"> Committee members, the Director, Board members and chapter officers preparing a file take no part in anything concerning an applicant who is a connected person, neighbour, colleague, client, employer or someone they themselves proposed, or an organisation in which they hold office. A member who proposed a beneficiary declares it and recuses; the decision states who proposed. Covered persons, their connected persons and their companies cannot be beneficiaries (grant criteria, section 3), except ordinary members without a function, with recusal of anyone who knows them. A fundraiser raising on the platform for a campaign whose beneficiary is a connected person must say so on their page; the Committee takes that into account and allocates only by the criteria.</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6 — Nabavke, dobavljači i ugovori sa povezanim licima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6. Procurement and related-party contracts.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Udruženje ne zaključuje ugovor o nabavci robe, usluga ili zakupa sa obveznikom ni sa njegovim povezanim licem, osim kada su ispunjeni svi uslovi:</w:t>
            </w:r>
          </w:p>
          <w:p>
            <w:pPr>
              <w:pStyle w:val="ListParagraph"/>
              <w:numPr>
                <w:ilvl w:val="0"/>
                <w:numId w:val="4"/>
              </w:numPr>
              <w:spacing w:after="40"/>
            </w:pPr>
            <w:r>
              <w:rPr>
                <w:rFonts w:ascii="Arial" w:cs="Arial" w:eastAsia="Arial" w:hAnsi="Arial"/>
                <w:sz w:val="18"/>
                <w:szCs w:val="18"/>
              </w:rPr>
              <w:t xml:space="preserve">sukob je prijavljen unaprijed i unesen u registar;</w:t>
            </w:r>
          </w:p>
          <w:p>
            <w:pPr>
              <w:pStyle w:val="ListParagraph"/>
              <w:numPr>
                <w:ilvl w:val="0"/>
                <w:numId w:val="4"/>
              </w:numPr>
              <w:spacing w:after="40"/>
            </w:pPr>
            <w:r>
              <w:rPr>
                <w:rFonts w:ascii="Arial" w:cs="Arial" w:eastAsia="Arial" w:hAnsi="Arial"/>
                <w:sz w:val="18"/>
                <w:szCs w:val="18"/>
              </w:rPr>
              <w:t xml:space="preserve">za nabavku preko [[PLACEHOLDER: iznos]] EUR pribavljene su najmanje dvije uporedive ponude drugih ponuđača, a uslovi povezanog lica nisu nepovoljniji od tržišnih;</w:t>
            </w:r>
          </w:p>
          <w:p>
            <w:pPr>
              <w:pStyle w:val="ListParagraph"/>
              <w:numPr>
                <w:ilvl w:val="0"/>
                <w:numId w:val="4"/>
              </w:numPr>
              <w:spacing w:after="40"/>
            </w:pPr>
            <w:r>
              <w:rPr>
                <w:rFonts w:ascii="Arial" w:cs="Arial" w:eastAsia="Arial" w:hAnsi="Arial"/>
                <w:sz w:val="18"/>
                <w:szCs w:val="18"/>
              </w:rPr>
              <w:t xml:space="preserve">ugovor je odobrio Upravni odbor većinom nezavisnih članova, bez učešća obveznika, uz pisano obrazloženje zašto je izbor u interesu udruženja;</w:t>
            </w:r>
          </w:p>
          <w:p>
            <w:pPr>
              <w:pStyle w:val="ListParagraph"/>
              <w:numPr>
                <w:ilvl w:val="0"/>
                <w:numId w:val="4"/>
              </w:numPr>
              <w:spacing w:after="40"/>
            </w:pPr>
            <w:r>
              <w:rPr>
                <w:rFonts w:ascii="Arial" w:cs="Arial" w:eastAsia="Arial" w:hAnsi="Arial"/>
                <w:sz w:val="18"/>
                <w:szCs w:val="18"/>
              </w:rPr>
              <w:t xml:space="preserve">ugovor je naveden u godišnjem izvještaju o radu sa nazivom druge strane, predmetom i iznosom.</w:t>
            </w:r>
          </w:p>
          <w:p>
            <w:pPr>
              <w:spacing w:after="100"/>
            </w:pPr>
            <w:r>
              <w:rPr>
                <w:rFonts w:ascii="Arial" w:cs="Arial" w:eastAsia="Arial" w:hAnsi="Arial"/>
                <w:sz w:val="18"/>
                <w:szCs w:val="18"/>
              </w:rPr>
              <w:t xml:space="preserve">Poklon u naturi ili usluga bez naknade od povezanog lica dozvoljeni su i poželjni, uz prijavu i evidenciju vrijednosti.</w:t>
            </w:r>
          </w:p>
          <w:p>
            <w:pPr>
              <w:spacing w:after="100"/>
            </w:pPr>
            <w:r>
              <w:rPr>
                <w:rFonts w:ascii="Arial" w:cs="Arial" w:eastAsia="Arial" w:hAnsi="Arial"/>
                <w:sz w:val="18"/>
                <w:szCs w:val="18"/>
              </w:rPr>
              <w:t xml:space="preserve">Obveznik ne učestvuje u izboru dobavljača u kome ima interes, ne prima od dobavljača proviziju ni pogodnost, i ne otkriva ponuđačima podatke iz tuđih ponuda.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6. Procurement and related-party contracts.</w:t>
            </w:r>
            <w:r>
              <w:rPr>
                <w:rFonts w:ascii="Arial" w:cs="Arial" w:eastAsia="Arial" w:hAnsi="Arial"/>
                <w:sz w:val="18"/>
                <w:szCs w:val="18"/>
              </w:rPr>
              <w:t xml:space="preserve"> The association buys goods, services or leases from a covered or connected person only if all conditions are met: the conflict is declared in advance and registered; above [amount] EUR at least two comparable outside quotes were obtained and the terms are no worse than market; the Board approved by a majority of independent members without the person, with written reasons; and the contract is listed in the annual report with counterparty, subject and amount. In-kind gifts and free services from connected persons are welcome, with declaration and a recorded value. No one takes part in choosing a supplier they have an interest in, takes commissions or favours from suppliers, or leaks other bidders' terms.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7 — Sponzori i partneri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7. Sponsors and partners.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Obveznik koji je zaposlen, vlasnik, član organa ili stalni saradnik sponzora, partnera ili kandidata za sponzora prijavljuje to i ne učestvuje u odlučivanju o uslovima sponzorstva, protivuslugama ni o odabiru tog sponzora; može posredovati u kontaktu.</w:t>
            </w:r>
          </w:p>
          <w:p>
            <w:pPr>
              <w:spacing w:after="100"/>
            </w:pPr>
            <w:r>
              <w:rPr>
                <w:rFonts w:ascii="Arial" w:cs="Arial" w:eastAsia="Arial" w:hAnsi="Arial"/>
                <w:sz w:val="18"/>
                <w:szCs w:val="18"/>
              </w:rPr>
              <w:t xml:space="preserve">Sponzorstvo ne daje sponzoru ni njegovim ljudima uticaj na to ko će dobiti sredstva. Svaki pokušaj takvog uticaja prijavljuje se Upravnom odboru.</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7. Sponsors and partners.</w:t>
            </w:r>
            <w:r>
              <w:rPr>
                <w:rFonts w:ascii="Arial" w:cs="Arial" w:eastAsia="Arial" w:hAnsi="Arial"/>
                <w:sz w:val="18"/>
                <w:szCs w:val="18"/>
              </w:rPr>
              <w:t xml:space="preserve"> A covered person employed by, owning, sitting on the board of or regularly working for a sponsor, partner or prospective sponsor declares it and takes no part in deciding the sponsorship terms, deliverables or selection; they may make the introduction. Sponsorship gives no one influence over who receives funds; any attempt is reported to the Board.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8 — Zapošljavanje, naknade i angažovanje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8. Hiring, pay and engagement.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Na zapošljavanje, honorare i naknade primjenjuje se dio V ovih pravila.</w:t>
            </w:r>
          </w:p>
          <w:p>
            <w:pPr>
              <w:spacing w:after="100"/>
            </w:pPr>
            <w:r>
              <w:rPr>
                <w:rFonts w:ascii="Arial" w:cs="Arial" w:eastAsia="Arial" w:hAnsi="Arial"/>
                <w:sz w:val="18"/>
                <w:szCs w:val="18"/>
              </w:rPr>
              <w:t xml:space="preserve">Obveznik ne učestvuje u odluci o zapošljavanju, angažovanju, unapređenju, naknadi, ocjeni ili prestanku rada svog povezanog lica, ni o svojoj sopstvenoj.</w:t>
            </w:r>
          </w:p>
          <w:p>
            <w:pPr>
              <w:spacing w:after="100"/>
            </w:pPr>
            <w:r>
              <w:rPr>
                <w:rFonts w:ascii="Arial" w:cs="Arial" w:eastAsia="Arial" w:hAnsi="Arial"/>
                <w:sz w:val="18"/>
                <w:szCs w:val="18"/>
              </w:rPr>
              <w:t xml:space="preserve">Povezano lice obveznika ne može biti zaposleno ni angažovano uz naknadu u udruženju u periodu od [[PLACEHOLDER: broj]] godina od registracije udruženja, bez izuzetka. Nakon tog perioda, samo po javnom pozivu, odlukom Upravnog odbora većinom nezavisnih članova bez učešća obveznika, uz objavu u godišnjem izvještaju.</w:t>
            </w:r>
          </w:p>
          <w:p>
            <w:pPr>
              <w:spacing w:after="100"/>
            </w:pPr>
            <w:r>
              <w:rPr>
                <w:rFonts w:ascii="Arial" w:cs="Arial" w:eastAsia="Arial" w:hAnsi="Arial"/>
                <w:sz w:val="18"/>
                <w:szCs w:val="18"/>
              </w:rPr>
              <w:t xml:space="preserve">Volonterski rad povezanih lica je dozvoljen i poželjan.</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8. Hiring, pay and engagement.</w:t>
            </w:r>
            <w:r>
              <w:rPr>
                <w:rFonts w:ascii="Arial" w:cs="Arial" w:eastAsia="Arial" w:hAnsi="Arial"/>
                <w:sz w:val="18"/>
                <w:szCs w:val="18"/>
              </w:rPr>
              <w:t xml:space="preserve"> Part V applies. No one takes part in a decision to hire, engage, promote, pay, appraise or dismiss a connected person, or themselves. A connected person cannot be employed or paid by the association for [number] years from registration, without exception; afterwards only through an open call, by the Board's independent majority without the person, and published in the annual report. Volunteering by connected persons is welcome.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9 — Spoljne funkcije, informacije i imovina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9. Outside roles, information and assets.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Obveznik prijavljuje funkcije u organima drugih nevladinih organizacija, privrednih društava i političkih partija, i javne funkcije, koje mogu doći u dodir sa radom udruženja.</w:t>
            </w:r>
          </w:p>
          <w:p>
            <w:pPr>
              <w:spacing w:after="100"/>
            </w:pPr>
            <w:r>
              <w:rPr>
                <w:rFonts w:ascii="Arial" w:cs="Arial" w:eastAsia="Arial" w:hAnsi="Arial"/>
                <w:sz w:val="18"/>
                <w:szCs w:val="18"/>
              </w:rPr>
              <w:t xml:space="preserve">Član Upravnog odbora i Komisije za dodjelu sredstava ne može u isto vrijeme biti nosilac funkcije u političkoj partiji ni kandidat na izborima; za vrijeme kandidature mandat miruje.</w:t>
            </w:r>
          </w:p>
          <w:p>
            <w:pPr>
              <w:spacing w:after="100"/>
            </w:pPr>
            <w:r>
              <w:rPr>
                <w:rFonts w:ascii="Arial" w:cs="Arial" w:eastAsia="Arial" w:hAnsi="Arial"/>
                <w:sz w:val="18"/>
                <w:szCs w:val="18"/>
              </w:rPr>
              <w:t xml:space="preserve">Obveznik ne koristi podatke o donatorima, korisnicima, sponzorima, volonterima i učesnicima ni za koju svrhu van udruženja, ni za vrijeme funkcije ni nakon nje. Imovina, oprema, nalozi i naziv udruženja koriste se samo za rad udruženja.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9. Outside roles, information and assets.</w:t>
            </w:r>
            <w:r>
              <w:rPr>
                <w:rFonts w:ascii="Arial" w:cs="Arial" w:eastAsia="Arial" w:hAnsi="Arial"/>
                <w:sz w:val="18"/>
                <w:szCs w:val="18"/>
              </w:rPr>
              <w:t xml:space="preserve"> Covered persons declare roles in other NGOs, companies, political parties and public office that may touch the association's work. Board and Committee members cannot hold party office or stand for election at the same time; a candidacy suspends the mandate. Data on donors, beneficiaries, sponsors, volunteers and participants is never used outside the association, during or after the function. Assets, equipment, accounts and the name are used only for the association's work.</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IV. POSTUPAK</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PROCEDURE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10 — Godišnja izjava i registar interesa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10. Annual declaration and register.</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Svaki član Upravnog odbora, Komisije za dodjelu sredstava, Izvršni direktor, zaposleni i lica ogranaka potpisuju izjavu o interesima pri stupanju na funkciju i zatim svake godine do [[PLACEHOLDER: datum, npr. 31. januara]], a dopunjuju je u roku od 30 dana od svake promjene.</w:t>
            </w:r>
          </w:p>
          <w:p>
            <w:pPr>
              <w:spacing w:after="100"/>
            </w:pPr>
            <w:r>
              <w:rPr>
                <w:rFonts w:ascii="Arial" w:cs="Arial" w:eastAsia="Arial" w:hAnsi="Arial"/>
                <w:sz w:val="18"/>
                <w:szCs w:val="18"/>
              </w:rPr>
              <w:t xml:space="preserve">Izjava sadrži: zaposlenje i poslovne aktivnosti obveznika; udjele i funkcije u pravnim licima; funkcije u drugim organizacijama i političke funkcije; povezana lica koja su zaposlena, sponzori, dobavljači, korisnici ili podnosioci prijava udruženja, koliko je obvezniku poznato; primljene poklone iznad praga iz člana 15; potvrdu da je obveznik pročitao ova pravila.</w:t>
            </w:r>
          </w:p>
          <w:p>
            <w:pPr>
              <w:spacing w:after="100"/>
            </w:pPr>
            <w:r>
              <w:rPr>
                <w:rFonts w:ascii="Arial" w:cs="Arial" w:eastAsia="Arial" w:hAnsi="Arial"/>
                <w:sz w:val="18"/>
                <w:szCs w:val="18"/>
              </w:rPr>
              <w:t xml:space="preserve">Izjave čini registar interesa, koji vodi Izvršni direktor; izjave Izvršnog direktora čuva predsjednik Upravnog odbora. Registar je dostupan članovima Upravnog odbora i Komisije, računovođi i revizoru, a svakom članu udruženja na zahtjev u dijelu koji se odnosi na članove organa. Sažetak (broj izjava, broj prijavljenih sukoba i izuzeća, ugovori sa povezanim licima) objavljuje se u godišnjem izvještaju.</w:t>
            </w:r>
          </w:p>
          <w:p>
            <w:pPr>
              <w:spacing w:after="100"/>
            </w:pPr>
            <w:r>
              <w:rPr>
                <w:rFonts w:ascii="Arial" w:cs="Arial" w:eastAsia="Arial" w:hAnsi="Arial"/>
                <w:sz w:val="18"/>
                <w:szCs w:val="18"/>
              </w:rPr>
              <w:t xml:space="preserve">Lični podaci iz registra obrađuju se samo u svrhu ovih pravila i čuvaju [[PLACEHOLDER: broj]] godina od prestanka funkcije.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10. Annual declaration and register.</w:t>
            </w:r>
            <w:r>
              <w:rPr>
                <w:rFonts w:ascii="Arial" w:cs="Arial" w:eastAsia="Arial" w:hAnsi="Arial"/>
                <w:sz w:val="18"/>
                <w:szCs w:val="18"/>
              </w:rPr>
              <w:t xml:space="preserve"> Board and Committee members, the Director, employees and chapter officers sign an interests declaration on taking office, every year by [date], and update it within 30 days of any change. It covers employment and business activity; stakes and offices in legal entities; roles in other organisations and political roles; connected persons who are employees, sponsors, suppliers, beneficiaries or applicants of the association, as far as known; gifts above the Article 15 threshold; and confirmation of having read these rules. The declarations form the register of interests, kept by the Director (the Director's own by the Board President), open to Board and Committee members, the accountant and the auditor, and to any member on request as regards officers. A summary is published in the annual report. Personal data is used only for this purpose and kept [number] years after the function ends.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11 — Prijava u konkretnom slučaju</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11. Case-by-case declaration.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Obveznik prijavljuje sukob interesa predsjedavajućem organa, odnosno Izvršnom direktoru, čim primi materijal ili sazna za pitanje, a najkasnije na početku rasprave. Prijava se unosi u zapisnik sa opisom interesa.</w:t>
            </w:r>
          </w:p>
          <w:p>
            <w:pPr>
              <w:spacing w:after="100"/>
            </w:pPr>
            <w:r>
              <w:rPr>
                <w:rFonts w:ascii="Arial" w:cs="Arial" w:eastAsia="Arial" w:hAnsi="Arial"/>
                <w:sz w:val="18"/>
                <w:szCs w:val="18"/>
              </w:rPr>
              <w:t xml:space="preserve">Ako drugi član organa smatra da obveznik ima sukob koji nije prijavio, iznosi to prije rasprave; o tome odlučuje organ bez tog obveznika.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11. Case-by-case declaration.</w:t>
            </w:r>
            <w:r>
              <w:rPr>
                <w:rFonts w:ascii="Arial" w:cs="Arial" w:eastAsia="Arial" w:hAnsi="Arial"/>
                <w:sz w:val="18"/>
                <w:szCs w:val="18"/>
              </w:rPr>
              <w:t xml:space="preserve"> Declared to the chair of the body, or to the Director, on receiving the papers or learning of the matter, at the latest when the discussion opens; minuted with a description of the interest. If another member believes there is an undeclared conflict, they raise it before the discussion and the body decides without the person concerned.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12 — Izuzeće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12. Recusal.</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Obveznik u sukobu interesa: ne dobija materijal o tom pitanju, osim ako je nužan za prijavu; napušta prostoriju ili vezu za vrijeme rasprave i glasanja; ne glasa; ne razgovara o pitanju sa članovima organa van sjednice; ne učestvuje u sprovođenju odluke ako to nosi novi uticaj.</w:t>
            </w:r>
          </w:p>
          <w:p>
            <w:pPr>
              <w:spacing w:after="100"/>
            </w:pPr>
            <w:r>
              <w:rPr>
                <w:rFonts w:ascii="Arial" w:cs="Arial" w:eastAsia="Arial" w:hAnsi="Arial"/>
                <w:sz w:val="18"/>
                <w:szCs w:val="18"/>
              </w:rPr>
              <w:t xml:space="preserve">Zapisnik bilježi prijavu, izuzeće, vrijeme napuštanja i vraćanja i da je odluka donesena bez izuzetog lica. Izuzeti se ne računa u kvorum za to pitanje. Ako izuzeća naruše kvorum, primjenjuje se član 39 Statuta, odnosno kriterijumi za dodjelu sredstava, odjeljak 10.</w:t>
            </w:r>
          </w:p>
          <w:p>
            <w:pPr>
              <w:spacing w:after="100"/>
            </w:pPr>
            <w:r>
              <w:rPr>
                <w:rFonts w:ascii="Arial" w:cs="Arial" w:eastAsia="Arial" w:hAnsi="Arial"/>
                <w:sz w:val="18"/>
                <w:szCs w:val="18"/>
              </w:rPr>
              <w:t xml:space="preserve">Izuzetno, organ može jednoglasno odlučiti da obveznik ostane prisutan samo da bi dao činjenične informacije, nakon čega napušta sjednicu.</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12. Recusal.</w:t>
            </w:r>
            <w:r>
              <w:rPr>
                <w:rFonts w:ascii="Arial" w:cs="Arial" w:eastAsia="Arial" w:hAnsi="Arial"/>
                <w:sz w:val="18"/>
                <w:szCs w:val="18"/>
              </w:rPr>
              <w:t xml:space="preserve"> The person receives no papers on the matter beyond what the declaration needs; leaves the room or the call for the discussion and vote; does not vote; does not discuss the matter with members outside the meeting; and does not implement the decision where that carries new influence. The minutes record the declaration, recusal, times of leaving and returning, and that the decision was taken without them; they do not count towards the quorum on that item. If recusals break the quorum, Statute Art. 39 or grant criteria section 10 apply. Exceptionally, the body may unanimously keep the person present only to give facts, after which they leave.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13 — Ko odlučuje o postojanju sukoba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13. Who decides.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 tome da li sukob postoji i o mjerama odlučuje:</w:t>
            </w:r>
          </w:p>
          <w:p>
            <w:pPr>
              <w:pStyle w:val="ListParagraph"/>
              <w:numPr>
                <w:ilvl w:val="0"/>
                <w:numId w:val="5"/>
              </w:numPr>
              <w:spacing w:after="40"/>
            </w:pPr>
            <w:r>
              <w:rPr>
                <w:rFonts w:ascii="Arial" w:cs="Arial" w:eastAsia="Arial" w:hAnsi="Arial"/>
                <w:sz w:val="18"/>
                <w:szCs w:val="18"/>
              </w:rPr>
              <w:t xml:space="preserve">za člana Skupštine: Predsjednik Skupštine;</w:t>
            </w:r>
          </w:p>
          <w:p>
            <w:pPr>
              <w:pStyle w:val="ListParagraph"/>
              <w:numPr>
                <w:ilvl w:val="0"/>
                <w:numId w:val="5"/>
              </w:numPr>
              <w:spacing w:after="40"/>
            </w:pPr>
            <w:r>
              <w:rPr>
                <w:rFonts w:ascii="Arial" w:cs="Arial" w:eastAsia="Arial" w:hAnsi="Arial"/>
                <w:sz w:val="18"/>
                <w:szCs w:val="18"/>
              </w:rPr>
              <w:t xml:space="preserve">za člana Upravnog odbora: Upravni odbor bez tog člana;</w:t>
            </w:r>
          </w:p>
          <w:p>
            <w:pPr>
              <w:pStyle w:val="ListParagraph"/>
              <w:numPr>
                <w:ilvl w:val="0"/>
                <w:numId w:val="5"/>
              </w:numPr>
              <w:spacing w:after="40"/>
            </w:pPr>
            <w:r>
              <w:rPr>
                <w:rFonts w:ascii="Arial" w:cs="Arial" w:eastAsia="Arial" w:hAnsi="Arial"/>
                <w:sz w:val="18"/>
                <w:szCs w:val="18"/>
              </w:rPr>
              <w:t xml:space="preserve">za člana Komisije za dodjelu sredstava: Komisija bez tog člana; ako je sporno, Upravni odbor;</w:t>
            </w:r>
          </w:p>
          <w:p>
            <w:pPr>
              <w:pStyle w:val="ListParagraph"/>
              <w:numPr>
                <w:ilvl w:val="0"/>
                <w:numId w:val="5"/>
              </w:numPr>
              <w:spacing w:after="40"/>
            </w:pPr>
            <w:r>
              <w:rPr>
                <w:rFonts w:ascii="Arial" w:cs="Arial" w:eastAsia="Arial" w:hAnsi="Arial"/>
                <w:sz w:val="18"/>
                <w:szCs w:val="18"/>
              </w:rPr>
              <w:t xml:space="preserve">za Izvršnog direktora: predsjednik Upravnog odbora, a u slučaju spora Upravni odbor;</w:t>
            </w:r>
          </w:p>
          <w:p>
            <w:pPr>
              <w:pStyle w:val="ListParagraph"/>
              <w:numPr>
                <w:ilvl w:val="0"/>
                <w:numId w:val="5"/>
              </w:numPr>
              <w:spacing w:after="40"/>
            </w:pPr>
            <w:r>
              <w:rPr>
                <w:rFonts w:ascii="Arial" w:cs="Arial" w:eastAsia="Arial" w:hAnsi="Arial"/>
                <w:sz w:val="18"/>
                <w:szCs w:val="18"/>
              </w:rPr>
              <w:t xml:space="preserve">za zaposlene, lica ogranaka, volontere i saradnike: Izvršni direktor, a za lica ogranaka po pribavljenom mišljenju rukovodioca ogranka.</w:t>
            </w:r>
          </w:p>
          <w:p>
            <w:pPr>
              <w:spacing w:after="100"/>
            </w:pPr>
            <w:r>
              <w:rPr>
                <w:rFonts w:ascii="Arial" w:cs="Arial" w:eastAsia="Arial" w:hAnsi="Arial"/>
                <w:sz w:val="18"/>
                <w:szCs w:val="18"/>
              </w:rPr>
              <w:t xml:space="preserve">Odluka se unosi u zapisnik ili registar. Obveznik može tražiti da Upravni odbor preispita odluku iz tačaka 1, 3 i 5; odluka Upravnog odbora je konačna.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13. Who decides.</w:t>
            </w:r>
            <w:r>
              <w:rPr>
                <w:rFonts w:ascii="Arial" w:cs="Arial" w:eastAsia="Arial" w:hAnsi="Arial"/>
                <w:sz w:val="18"/>
                <w:szCs w:val="18"/>
              </w:rPr>
              <w:t xml:space="preserve"> For an Assembly member, the President of the Assembly; for a Board member, the Board without that member; for a Committee member, the Committee without them, or the Board if disputed; for the Director, the Board President, or the Board if disputed; for employees, chapter officers, volunteers and contractors, the Director, after the chapter lead's opinion for chapter officers. Decisions are minuted or registered; the Board's review is final.</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14 — Sukob interesa nakon odluke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14. Conflicts discovered afterwards.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Ako se nakon odluke utvrdi da je u njenom donošenju učestvovalo lice u neprijavljenom sukobu interesa, organ koji je odluku donio ponovo o njoj odlučuje bez tog lica u roku od 30 dana. Ako je odluka već sprovedena, organ utvrđuje da li je udruženju nastala šteta i primjenjuje član 19.</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14. Conflicts discovered afterwards.</w:t>
            </w:r>
            <w:r>
              <w:rPr>
                <w:rFonts w:ascii="Arial" w:cs="Arial" w:eastAsia="Arial" w:hAnsi="Arial"/>
                <w:sz w:val="18"/>
                <w:szCs w:val="18"/>
              </w:rPr>
              <w:t xml:space="preserve"> If someone with an undeclared conflict took part, the body re-decides without them within 30 days; if already implemented, the body establishes whether the association suffered loss and applies Article 19.</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V. ZARADE, NAKNADE I IMOVINA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PAY, REMUNERATION AND ASSETS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15 — Načelo</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15. Principle.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Imovina udruženja koristi se samo za ostvarivanje njegovih ciljeva, naknadu opravdanih troškova, zarade i naknade zaposlenih po osnovu stvarno obavljenog rada i druge namjene dopuštene članom 30 Zakona o nevladinim organizacijama. Imovina se ne može raspodijeliti osnivačima, članovima, članovima organa ni zaposlenima.</w:t>
            </w:r>
          </w:p>
          <w:p>
            <w:pPr>
              <w:spacing w:after="100"/>
            </w:pPr>
            <w:r>
              <w:rPr>
                <w:rFonts w:ascii="Arial" w:cs="Arial" w:eastAsia="Arial" w:hAnsi="Arial"/>
                <w:sz w:val="18"/>
                <w:szCs w:val="18"/>
              </w:rPr>
              <w:t xml:space="preserve">Isplata zarade za obavljeni rad nije raspodjela imovine. Razlika mora biti očigledna i dokumentovana. Zato:</w:t>
            </w:r>
          </w:p>
          <w:p>
            <w:pPr>
              <w:pStyle w:val="ListParagraph"/>
              <w:numPr>
                <w:ilvl w:val="0"/>
                <w:numId w:val="6"/>
              </w:numPr>
              <w:spacing w:after="40"/>
            </w:pPr>
            <w:r>
              <w:rPr>
                <w:rFonts w:ascii="Arial" w:cs="Arial" w:eastAsia="Arial" w:hAnsi="Arial"/>
                <w:b/>
                <w:bCs/>
                <w:sz w:val="18"/>
                <w:szCs w:val="18"/>
              </w:rPr>
              <w:t xml:space="preserve">Ugovor, ne transfer.</w:t>
            </w:r>
            <w:r>
              <w:rPr>
                <w:rFonts w:ascii="Arial" w:cs="Arial" w:eastAsia="Arial" w:hAnsi="Arial"/>
                <w:sz w:val="18"/>
                <w:szCs w:val="18"/>
              </w:rPr>
              <w:t xml:space="preserve"> Svako lice koje prima naknadu ima pisani ugovor, opis posla, evidenciju radnog vremena ili isporučenog rada i isplatu preko obračuna zarada sa plaćenim porezima i doprinosima. Bez izuzetka, ni za osnivače.</w:t>
            </w:r>
          </w:p>
          <w:p>
            <w:pPr>
              <w:pStyle w:val="ListParagraph"/>
              <w:numPr>
                <w:ilvl w:val="0"/>
                <w:numId w:val="6"/>
              </w:numPr>
              <w:spacing w:after="40"/>
            </w:pPr>
            <w:r>
              <w:rPr>
                <w:rFonts w:ascii="Arial" w:cs="Arial" w:eastAsia="Arial" w:hAnsi="Arial"/>
                <w:b/>
                <w:bCs/>
                <w:sz w:val="18"/>
                <w:szCs w:val="18"/>
              </w:rPr>
              <w:t xml:space="preserve">Onaj ko plaća nije onaj ko prima.</w:t>
            </w:r>
            <w:r>
              <w:rPr>
                <w:rFonts w:ascii="Arial" w:cs="Arial" w:eastAsia="Arial" w:hAnsi="Arial"/>
                <w:sz w:val="18"/>
                <w:szCs w:val="18"/>
              </w:rPr>
              <w:t xml:space="preserve"> O zaradi, naknadi i njihovim promjenama odlučuju samo nezavisni članovi Upravnog odbora (Statut, član 34 stav 3). Lice koje prima naknadu ne učestvuje u odluci o svojoj ni o tuđoj naknadi ako je u istom lancu odlučivanja.</w:t>
            </w:r>
          </w:p>
          <w:p>
            <w:pPr>
              <w:pStyle w:val="ListParagraph"/>
              <w:numPr>
                <w:ilvl w:val="0"/>
                <w:numId w:val="6"/>
              </w:numPr>
              <w:spacing w:after="40"/>
            </w:pPr>
            <w:r>
              <w:rPr>
                <w:rFonts w:ascii="Arial" w:cs="Arial" w:eastAsia="Arial" w:hAnsi="Arial"/>
                <w:b/>
                <w:bCs/>
                <w:sz w:val="18"/>
                <w:szCs w:val="18"/>
              </w:rPr>
              <w:t xml:space="preserve">Objavljeni rasponi.</w:t>
            </w:r>
            <w:r>
              <w:rPr>
                <w:rFonts w:ascii="Arial" w:cs="Arial" w:eastAsia="Arial" w:hAnsi="Arial"/>
                <w:sz w:val="18"/>
                <w:szCs w:val="18"/>
              </w:rPr>
              <w:t xml:space="preserve"> Rasponi zarada po radnom mjestu objavljuju se u godišnjem izvještaju, a uporedni podaci na osnovu kojih su utvrđeni unose se u zapisnik Upravnog odbora.</w:t>
            </w:r>
          </w:p>
          <w:p>
            <w:pPr>
              <w:pStyle w:val="ListParagraph"/>
              <w:numPr>
                <w:ilvl w:val="0"/>
                <w:numId w:val="6"/>
              </w:numPr>
              <w:spacing w:after="40"/>
            </w:pPr>
            <w:r>
              <w:rPr>
                <w:rFonts w:ascii="Arial" w:cs="Arial" w:eastAsia="Arial" w:hAnsi="Arial"/>
                <w:b/>
                <w:bCs/>
                <w:sz w:val="18"/>
                <w:szCs w:val="18"/>
              </w:rPr>
              <w:t xml:space="preserve">Bez srodnika na platnom spisku</w:t>
            </w:r>
            <w:r>
              <w:rPr>
                <w:rFonts w:ascii="Arial" w:cs="Arial" w:eastAsia="Arial" w:hAnsi="Arial"/>
                <w:sz w:val="18"/>
                <w:szCs w:val="18"/>
              </w:rPr>
              <w:t xml:space="preserve"> u periodu iz člana 8.</w:t>
            </w:r>
          </w:p>
          <w:p>
            <w:pPr>
              <w:pStyle w:val="ListParagraph"/>
              <w:numPr>
                <w:ilvl w:val="0"/>
                <w:numId w:val="6"/>
              </w:numPr>
              <w:spacing w:after="40"/>
            </w:pPr>
            <w:r>
              <w:rPr>
                <w:rFonts w:ascii="Arial" w:cs="Arial" w:eastAsia="Arial" w:hAnsi="Arial"/>
                <w:b/>
                <w:bCs/>
                <w:sz w:val="18"/>
                <w:szCs w:val="18"/>
              </w:rPr>
              <w:t xml:space="preserve">Pisano mišljenje prije prve isplate.</w:t>
            </w:r>
            <w:r>
              <w:rPr>
                <w:rFonts w:ascii="Arial" w:cs="Arial" w:eastAsia="Arial" w:hAnsi="Arial"/>
                <w:sz w:val="18"/>
                <w:szCs w:val="18"/>
              </w:rPr>
              <w:t xml:space="preserve"> Prije prve isplate zarade ili honorara bilo kom obvezniku, Upravni odbor pribavlja pisano mišljenje računovođe ili pravnika u Crnoj Gori o usklađenosti sa Zakonom o nevladinim organizacijama i poreskim propisima, i čuva ga u registru.</w:t>
            </w:r>
          </w:p>
          <w:p>
            <w:pPr>
              <w:pStyle w:val="ListParagraph"/>
              <w:numPr>
                <w:ilvl w:val="0"/>
                <w:numId w:val="6"/>
              </w:numPr>
              <w:spacing w:after="40"/>
            </w:pPr>
            <w:r>
              <w:rPr>
                <w:rFonts w:ascii="Arial" w:cs="Arial" w:eastAsia="Arial" w:hAnsi="Arial"/>
                <w:b/>
                <w:bCs/>
                <w:sz w:val="18"/>
                <w:szCs w:val="18"/>
              </w:rPr>
              <w:t xml:space="preserve">Bez nagrada iz priloga.</w:t>
            </w:r>
            <w:r>
              <w:rPr>
                <w:rFonts w:ascii="Arial" w:cs="Arial" w:eastAsia="Arial" w:hAnsi="Arial"/>
                <w:sz w:val="18"/>
                <w:szCs w:val="18"/>
              </w:rPr>
              <w:t xml:space="preserve"> Zarade, naknade i nagrade ne isplaćuju se iz priloga i donacija prikupljenih za korisnike (Statut, član 34 stav 2).</w:t>
            </w:r>
          </w:p>
          <w:p>
            <w:pPr>
              <w:spacing w:after="100"/>
            </w:pPr>
            <w:r>
              <w:rPr>
                <w:rFonts w:ascii="Arial" w:cs="Arial" w:eastAsia="Arial" w:hAnsi="Arial"/>
                <w:sz w:val="18"/>
                <w:szCs w:val="18"/>
              </w:rPr>
              <w:t xml:space="preserve">Naknada opravdanih troškova (putni troškovi, materijal, oprema kupljena za udruženje) isplaćuje se uz račun i odobrenje, po pravilima o troškovima, i nije naknada za rad.</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15. Principle.</w:t>
            </w:r>
            <w:r>
              <w:rPr>
                <w:rFonts w:ascii="Arial" w:cs="Arial" w:eastAsia="Arial" w:hAnsi="Arial"/>
                <w:sz w:val="18"/>
                <w:szCs w:val="18"/>
              </w:rPr>
              <w:t xml:space="preserve"> Assets are used only for the goals, justified costs, pay for work actually done and other purposes Article 30 of the Law allows; never distributed to founders, members, officers or employees. Paying for work is not distribution, and the difference must be obvious and documented: a written contract, job description, time or deliverable records and payroll with taxes paid, for everyone including founders; only independent Board members decide pay (Statute Art. 34); pay bands published in the annual report with benchmarks minuted; no relatives on payroll for the Article 8 period; a written opinion from a Montenegrin accountant or lawyer before the first payroll or fee to any covered person, kept in the register; and no pay or awards out of donations collected for beneficiaries. Reimbursement of justified costs against receipts is not pay.</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VI. POKLONI I GOSTOPRIMSTVO</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GIFTS AND HOSPITALITY</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16 — Pokloni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16. Gifts.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Obveznik ne prima novac, vaučere ni ekvivalent novca ni od koga u vezi sa radom udruženja, u bilo kom iznosu.</w:t>
            </w:r>
          </w:p>
          <w:p>
            <w:pPr>
              <w:spacing w:after="100"/>
            </w:pPr>
            <w:r>
              <w:rPr>
                <w:rFonts w:ascii="Arial" w:cs="Arial" w:eastAsia="Arial" w:hAnsi="Arial"/>
                <w:sz w:val="18"/>
                <w:szCs w:val="18"/>
              </w:rPr>
              <w:t xml:space="preserve">Obveznik može primiti poklon simbolične vrijednosti do [[PLACEHOLDER: iznos, npr. 30]] EUR (promotivni predmeti, hrana i piće na događaju, zahvalnica). Poklon veće vrijednosti odbija se ili, ako odbijanje nije moguće bez uvrede, predaje udruženju i evidentira u registru poklona sa datumom, davaocem, opisom i procijenjenom vrijednošću; o njegovoj upotrebi odlučuje Izvršni direktor.</w:t>
            </w:r>
          </w:p>
          <w:p>
            <w:pPr>
              <w:spacing w:after="100"/>
            </w:pPr>
            <w:r>
              <w:rPr>
                <w:rFonts w:ascii="Arial" w:cs="Arial" w:eastAsia="Arial" w:hAnsi="Arial"/>
                <w:sz w:val="18"/>
                <w:szCs w:val="18"/>
              </w:rPr>
              <w:t xml:space="preserve">Poklon od korisnika, podnosioca prijave ili dobavljača u toku postupka odbija se bez obzira na vrijednost.</w:t>
            </w:r>
          </w:p>
          <w:p>
            <w:pPr>
              <w:spacing w:after="100"/>
            </w:pPr>
            <w:r>
              <w:rPr>
                <w:rFonts w:ascii="Arial" w:cs="Arial" w:eastAsia="Arial" w:hAnsi="Arial"/>
                <w:sz w:val="18"/>
                <w:szCs w:val="18"/>
              </w:rPr>
              <w:t xml:space="preserve">Više poklona od istog davaoca u godini sabira se.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16. Gifts.</w:t>
            </w:r>
            <w:r>
              <w:rPr>
                <w:rFonts w:ascii="Arial" w:cs="Arial" w:eastAsia="Arial" w:hAnsi="Arial"/>
                <w:sz w:val="18"/>
                <w:szCs w:val="18"/>
              </w:rPr>
              <w:t xml:space="preserve"> No cash, vouchers or cash equivalents from anyone in connection with the association's work, in any amount. Token gifts up to [30] EUR are fine (promotional items, food and drink at an event, a thank-you). Anything larger is declined or, where declining would offend, handed to the association and entered in the gifts register with date, giver, description and estimated value; the Director decides its use. Gifts from a beneficiary, applicant or supplier during a procedure are declined regardless of value. Gifts from the same giver in a year are added together.</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17 — Gostoprimstvo i putovanja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17. Hospitality and travel.</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Gostoprimstvo sponzora ili partnera (ručak, ulaznica, smještaj) prihvata se samo ako je vezano za posao udruženja, srazmjerno prilici i evidentirano u registru poklona kada prelazi [[PLACEHOLDER: iznos]] EUR po prilici. Putovanja i smještaj koje plaća treće lice odobrava unaprijed Izvršni direktor, a za Izvršnog direktora predsjednik Upravnog odbora.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17. Hospitality and travel.</w:t>
            </w:r>
            <w:r>
              <w:rPr>
                <w:rFonts w:ascii="Arial" w:cs="Arial" w:eastAsia="Arial" w:hAnsi="Arial"/>
                <w:sz w:val="18"/>
                <w:szCs w:val="18"/>
              </w:rPr>
              <w:t xml:space="preserve"> Sponsor or partner hospitality is accepted only when tied to the association's business, proportionate, and registered when above [amount] EUR per occasion. Third-party-paid travel and accommodation is approved in advance by the Director, and for the Director by the Board President.</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VII. PRIJAVLJIVANJE POVREDA I MJERE</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REPORTING BREACHES AND MEASURES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18 — Prijavljivanje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18. Reporting.</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Svako, uključujući članove, volontere, donatore i korisnike, može prijaviti sumnju na povredu ovih pravila predsjedniku Upravnog odbora ili, ako se prijava tiče njega, predsjedniku Komisije za dodjelu sredstava, na adresu objavljenu na internet stranici udruženja. Prijava može biti anonimna.</w:t>
            </w:r>
          </w:p>
          <w:p>
            <w:pPr>
              <w:spacing w:after="100"/>
            </w:pPr>
            <w:r>
              <w:rPr>
                <w:rFonts w:ascii="Arial" w:cs="Arial" w:eastAsia="Arial" w:hAnsi="Arial"/>
                <w:sz w:val="18"/>
                <w:szCs w:val="18"/>
              </w:rPr>
              <w:t xml:space="preserve">Lice koje u dobroj vjeri prijavi sumnju ne smije zbog toga trpjeti nikakve posljedice; svaka mjera protiv njega zbog prijave je sama povreda ovih pravila.</w:t>
            </w:r>
          </w:p>
          <w:p>
            <w:pPr>
              <w:spacing w:after="100"/>
            </w:pPr>
            <w:r>
              <w:rPr>
                <w:rFonts w:ascii="Arial" w:cs="Arial" w:eastAsia="Arial" w:hAnsi="Arial"/>
                <w:sz w:val="18"/>
                <w:szCs w:val="18"/>
              </w:rPr>
              <w:t xml:space="preserve">Primalac prijave u roku od 15 dana provjerava navode, pribavlja izjavu lica na koje se prijava odnosi i podnosi nalaz Upravnom odboru, koji odlučuje bez članova na koje se prijava odnosi.</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18. Reporting.</w:t>
            </w:r>
            <w:r>
              <w:rPr>
                <w:rFonts w:ascii="Arial" w:cs="Arial" w:eastAsia="Arial" w:hAnsi="Arial"/>
                <w:sz w:val="18"/>
                <w:szCs w:val="18"/>
              </w:rPr>
              <w:t xml:space="preserve"> Anyone, including members, volunteers, donors and beneficiaries, may report a suspected breach to the Board President or, if it concerns the President, to the Committee chair, at the address published on the website; anonymously if they wish. No one suffers any consequence for a good-faith report; retaliation is itself a breach. The recipient checks the allegation within 15 days, hears the person concerned, and reports to the Board, which decides without any member concerned.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19 — Mjere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19. Measures.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Za povredu ovih pravila, srazmjerno težini, mogu se izreći: pisana opomena; ponovno odlučivanje bez tog lica (član 14); poništenje ili raskid ugovora zaključenog u sukobu interesa, kada je to moguće; zahtjev za povraćaj koristi ili naknadu štete; razrješenje sa funkcije po Statutu; prestanak radnog odnosa ili angažmana po ugovoru i zakonu; prestanak članstva (Statut, član 37).</w:t>
            </w:r>
          </w:p>
          <w:p>
            <w:pPr>
              <w:spacing w:after="100"/>
            </w:pPr>
            <w:r>
              <w:rPr>
                <w:rFonts w:ascii="Arial" w:cs="Arial" w:eastAsia="Arial" w:hAnsi="Arial"/>
                <w:sz w:val="18"/>
                <w:szCs w:val="18"/>
              </w:rPr>
              <w:t xml:space="preserve">Namjerno prikrivanje sukoba interesa u vezi sa dodjelom sredstava korisnicima ili sa ugovorom povlači razrješenje.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19. Measures.</w:t>
            </w:r>
            <w:r>
              <w:rPr>
                <w:rFonts w:ascii="Arial" w:cs="Arial" w:eastAsia="Arial" w:hAnsi="Arial"/>
                <w:sz w:val="18"/>
                <w:szCs w:val="18"/>
              </w:rPr>
              <w:t xml:space="preserve"> Proportionate to the breach: written warning; re-decision without the person; annulment or termination of a contract made under a conflict, where possible; recovery of the benefit or damages; dismissal under the Statute; termination of employment or engagement under contract and law; termination of membership (Statute Art. 37). Deliberately concealing a conflict over an allocation to beneficiaries or a contract leads to dismissal.</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VIII. OBJAVLJIVANJE I ZAVRŠNE ODREDBE</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PUBLICATION AND FINAL PROVISIONS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20 — Objavljivanje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20. Publication.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Udruženje objavljuje ova pravila na svojoj internet stranici. Godišnji izvještaj o radu sadrži: broj primljenih izjava o interesima; broj prijavljenih sukoba i izuzeća po organu; svaki ugovor sa povezanim licem (druga strana, predmet, iznos); raspone zarada; sažetak registra poklona; broj prijava povreda i ishod.</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20. Publication.</w:t>
            </w:r>
            <w:r>
              <w:rPr>
                <w:rFonts w:ascii="Arial" w:cs="Arial" w:eastAsia="Arial" w:hAnsi="Arial"/>
                <w:sz w:val="18"/>
                <w:szCs w:val="18"/>
              </w:rPr>
              <w:t xml:space="preserve"> The rules are on the website. The annual report states the number of declarations received; conflicts declared and recusals per body; every related-party contract (counterparty, subject, amount); pay bands; a summary of the gifts register; reports of breaches and outcomes.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21 — Obuka i preispitivanje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21. Training and review.</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Svaki obveznik prolazi kratko upoznavanje sa ovim pravilima pri stupanju na funkciju, a članovi organa jednom godišnje. Upravni odbor preispituje pravila najmanje jednom godišnje i po svakom slučaju iz člana 18.</w:t>
            </w:r>
          </w:p>
          <w:p>
            <w:pPr>
              <w:spacing w:after="100"/>
            </w:pPr>
            <w:r>
              <w:rPr>
                <w:rFonts w:ascii="Arial" w:cs="Arial" w:eastAsia="Arial" w:hAnsi="Arial"/>
                <w:sz w:val="18"/>
                <w:szCs w:val="18"/>
              </w:rPr>
              <w:t xml:space="preserve">Pravila stupaju na snagu danom usvajanja na Upravnom odboru. Do izbora Upravnog odbora, ovlašćenja Upravnog odbora iz ovih pravila vrši Skupština, a ovlašćenja predsjednika Upravnog odbora Predsjednik Skupštine.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21. Training and review.</w:t>
            </w:r>
            <w:r>
              <w:rPr>
                <w:rFonts w:ascii="Arial" w:cs="Arial" w:eastAsia="Arial" w:hAnsi="Arial"/>
                <w:sz w:val="18"/>
                <w:szCs w:val="18"/>
              </w:rPr>
              <w:t xml:space="preserve"> A short induction for every covered person on taking office, yearly for officers. The Board reviews the rules at least yearly and after every Article 18 case. In force on adoption; until the Board is elected, the Assembly exercises the Board's powers here and the President of the Assembly those of the Board President.</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IX. Parametri za Upravni odbor i provjere</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Parameters for the Board and checks</w:t>
            </w:r>
          </w:p>
        </w:tc>
      </w:tr>
      <w:tr>
        <w:tc>
          <w:tcPr>
            <w:tcW w:type="dxa" w:w="9906"/>
            <w:gridSpan w:val="2"/>
            <w:tcMar>
              <w:top w:type="dxa" w:w="80"/>
              <w:left w:type="dxa" w:w="100"/>
              <w:bottom w:type="dxa" w:w="80"/>
              <w:right w:type="dxa" w:w="100"/>
            </w:tcMar>
          </w:tcPr>
          <w:p>
            <w:pPr>
              <w:spacing w:after="100"/>
            </w:pPr>
            <w:r>
              <w:rPr>
                <w:rFonts w:ascii="Arial" w:cs="Arial" w:eastAsia="Arial" w:hAnsi="Arial"/>
                <w:sz w:val="18"/>
                <w:szCs w:val="18"/>
              </w:rPr>
              <w:t xml:space="preserve">Suggested starting values, each a single line to change:</w:t>
            </w:r>
          </w:p>
        </w:tc>
      </w:tr>
      <w:tr>
        <w:tc>
          <w:tcPr>
            <w:tcW w:type="dxa" w:w="9906"/>
            <w:gridSpan w:val="2"/>
            <w:tcMar>
              <w:top w:type="dxa" w:w="80"/>
              <w:left w:type="dxa" w:w="100"/>
              <w:bottom w:type="dxa" w:w="80"/>
              <w:right w:type="dxa" w:w="100"/>
            </w:tcMar>
          </w:tcPr>
          <w:tbl>
            <w:tblPr>
              <w:tblW w:type="dxa" w:w="9706"/>
              <w:tblBorders>
                <w:top w:val="single" w:color="C9D3D7" w:sz="4"/>
                <w:left w:val="single" w:color="C9D3D7" w:sz="4"/>
                <w:bottom w:val="single" w:color="C9D3D7" w:sz="4"/>
                <w:right w:val="single" w:color="C9D3D7" w:sz="4"/>
                <w:insideH w:val="single" w:color="C9D3D7" w:sz="4"/>
                <w:insideV w:val="single" w:color="C9D3D7" w:sz="4"/>
              </w:tblBorders>
            </w:tblPr>
            <w:tblGrid>
              <w:gridCol w:w="3235"/>
              <w:gridCol w:w="3235"/>
              <w:gridCol w:w="3235"/>
            </w:tblGrid>
            <w:tr>
              <w:trPr>
                <w:tblHeader/>
              </w:trPr>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Parameter</w:t>
                  </w:r>
                </w:p>
              </w:tc>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Suggested</w:t>
                  </w:r>
                </w:p>
              </w:tc>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Where</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Ownership stake that makes an entity a connected person / Udio</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10 percent</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3</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Related-party procurement needing two outside quotes / Nabavka uz dvije ponude</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300 EUR</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6</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No relatives on payroll / Bez srodnika na platnom spisku</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3 years from registration</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8</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Annual declaration deadline / Rok za godišnju izjavu</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31 January</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10</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Retention of register data / Čuvanje registra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5 years after the function ends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10</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Token gift ceiling / Poklon simbolične vrijednosti</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30 EUR</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16</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Hospitality to register / Gostoprimstvo za evidenciju</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50 EUR per occasion</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17</w:t>
                  </w:r>
                </w:p>
              </w:tc>
            </w:tr>
          </w:tbl>
          <w:p/>
        </w:tc>
      </w:tr>
      <w:tr>
        <w:tc>
          <w:tcPr>
            <w:tcW w:type="dxa" w:w="9906"/>
            <w:gridSpan w:val="2"/>
            <w:tcMar>
              <w:top w:type="dxa" w:w="80"/>
              <w:left w:type="dxa" w:w="100"/>
              <w:bottom w:type="dxa" w:w="80"/>
              <w:right w:type="dxa" w:w="100"/>
            </w:tcMar>
          </w:tcPr>
          <w:p>
            <w:pPr>
              <w:spacing w:after="100"/>
            </w:pPr>
            <w:r>
              <w:rPr>
                <w:rFonts w:ascii="Arial" w:cs="Arial" w:eastAsia="Arial" w:hAnsi="Arial"/>
                <w:b/>
                <w:bCs/>
                <w:sz w:val="18"/>
                <w:szCs w:val="18"/>
              </w:rPr>
              <w:t xml:space="preserve">CHECK with the lawyer:</w:t>
            </w:r>
            <w:r>
              <w:rPr>
                <w:rFonts w:ascii="Arial" w:cs="Arial" w:eastAsia="Arial" w:hAnsi="Arial"/>
                <w:sz w:val="18"/>
                <w:szCs w:val="18"/>
              </w:rPr>
              <w:t xml:space="preserve"> Part V against Article 30 of the Law on NGOs and the Labour Law, in particular whether a suspended mandate during an election candidacy (Art. 9) and dismissal as a measure (Art. 19) are consistent with the Statute's dismissal articles; the register of interests against the Law on Personal Data Protection (lawful basis, access rights, retention). </w:t>
            </w:r>
            <w:r>
              <w:rPr>
                <w:rFonts w:ascii="Arial" w:cs="Arial" w:eastAsia="Arial" w:hAnsi="Arial"/>
                <w:b/>
                <w:bCs/>
                <w:sz w:val="18"/>
                <w:szCs w:val="18"/>
              </w:rPr>
              <w:t xml:space="preserve">CHECK with the accountant:</w:t>
            </w:r>
            <w:r>
              <w:rPr>
                <w:rFonts w:ascii="Arial" w:cs="Arial" w:eastAsia="Arial" w:hAnsi="Arial"/>
                <w:sz w:val="18"/>
                <w:szCs w:val="18"/>
              </w:rPr>
              <w:t xml:space="preserve"> the form of the written opinion in Article 15 point 5 and whether reimbursements to covered persons need any additional documentation for the books.</w:t>
            </w:r>
          </w:p>
          <w:p>
            <w:pPr>
              <w:spacing w:after="100"/>
            </w:pPr>
            <w:r>
              <w:rPr>
                <w:rFonts w:ascii="Arial" w:cs="Arial" w:eastAsia="Arial" w:hAnsi="Arial"/>
                <w:b/>
                <w:bCs/>
                <w:sz w:val="18"/>
                <w:szCs w:val="18"/>
              </w:rPr>
              <w:t xml:space="preserve">Platform notes.</w:t>
            </w:r>
            <w:r>
              <w:rPr>
                <w:rFonts w:ascii="Arial" w:cs="Arial" w:eastAsia="Arial" w:hAnsi="Arial"/>
                <w:sz w:val="18"/>
                <w:szCs w:val="18"/>
              </w:rPr>
              <w:t xml:space="preserve"> The declarations, the register of interests and the gifts register can live as documents in Supabase Storage behind staff access for now; the annual report figures in Article 20 are counts the Director compiles by hand until a workflow exists. No code change is needed to adopt the policy.</w:t>
            </w:r>
          </w:p>
        </w:tc>
      </w:tr>
    </w:tbl>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400" w:hanging="28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Arial" w:cs="Arial" w:eastAsia="Arial" w:hAnsi="Arial"/>
      <w:b/>
      <w:bCs/>
      <w:color w:val="0E3A46"/>
      <w:sz w:val="30"/>
      <w:szCs w:val="30"/>
    </w:rPr>
  </w:style>
  <w:style w:type="paragraph" w:styleId="Heading1">
    <w:name w:val="Heading 1"/>
    <w:basedOn w:val="Normal"/>
    <w:next w:val="Normal"/>
    <w:qFormat/>
    <w:pPr>
      <w:spacing w:after="100" w:before="200"/>
      <w:outlineLvl w:val="0"/>
    </w:pPr>
    <w:rPr>
      <w:rFonts w:ascii="Arial" w:cs="Arial" w:eastAsia="Arial" w:hAnsi="Arial"/>
      <w:b/>
      <w:bCs/>
      <w:color w:val="0E3A46"/>
      <w:sz w:val="24"/>
      <w:szCs w:val="24"/>
    </w:rPr>
  </w:style>
  <w:style w:type="paragraph" w:styleId="Heading2">
    <w:name w:val="Heading 2"/>
    <w:basedOn w:val="Normal"/>
    <w:next w:val="Normal"/>
    <w:qFormat/>
    <w:pPr>
      <w:spacing w:after="60" w:before="120"/>
      <w:outlineLvl w:val="1"/>
    </w:pPr>
    <w:rPr>
      <w:rFonts w:ascii="Arial" w:cs="Arial" w:eastAsia="Arial" w:hAnsi="Arial"/>
      <w:b/>
      <w:b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2026-09-21T20:00:31.657Z</dcterms:created>
  <dcterms:modified xsi:type="dcterms:W3CDTF">2026-09-21T20:00:31.657Z</dcterms:modified>
</cp:coreProperties>
</file>

<file path=docProps/custom.xml><?xml version="1.0" encoding="utf-8"?>
<Properties xmlns="http://schemas.openxmlformats.org/officeDocument/2006/custom-properties" xmlns:vt="http://schemas.openxmlformats.org/officeDocument/2006/docPropsVTypes"/>
</file>