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Ugovor o sponzorstvu i pravila o sponzorstvima / Sponsorship Agreement and Sponsorship Rules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Draft of the agreement the association signs with every sponsor and of the internal rules behind it. Sponsorship funds the Operations Fund and, per the team guide, "pays our salaries so donations don't have to"; it is a contract with deliverables, never a donation, which is why the Donation policy (Art. 10), the conflict-of-interest policy (Art. 7), the Chapter Rules (Art. 15) and the Grants criteria all keep it apart from gifts. Part A is the agreement template with its three annexes; Part B is the internal rules (packages, who negotiates and signs, ethics screening, delivery, invoicing, records); Part C lists checks, parameters and platform notes. Montenegrin is the operative text; the English under each article is a translation. Drafted 2026-09-21 from the team guide (tier sheet, the four things every sponsor gets back, the tax and VAT points), the brief and the sponsors table. </w:t>
            </w:r>
            <w:r>
              <w:rPr>
                <w:rFonts w:ascii="Arial" w:cs="Arial" w:eastAsia="Arial" w:hAnsi="Arial"/>
                <w:b/>
                <w:bCs/>
                <w:color w:val="5A6A72"/>
                <w:sz w:val="16"/>
                <w:szCs w:val="16"/>
              </w:rPr>
              <w:t xml:space="preserve">The lawyer and the accountant review before the first signature</w:t>
            </w:r>
            <w:r>
              <w:rPr>
                <w:rFonts w:ascii="Arial" w:cs="Arial" w:eastAsia="Arial" w:hAnsi="Arial"/>
                <w:color w:val="5A6A72"/>
                <w:sz w:val="16"/>
                <w:szCs w:val="16"/>
              </w:rPr>
              <w:t xml:space="preserve">, in particular VAT and invoicing (Articles 5 and 15) and the tax-deduction claim (Article 16). Bracketed values are parameters; the tier amounts are the team guide's own sheet, shown as its proposal and not as adopted prices.</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team guide and the policies:</w:t>
            </w:r>
            <w:r>
              <w:rPr>
                <w:rFonts w:ascii="Arial" w:cs="Arial" w:eastAsia="Arial" w:hAnsi="Arial"/>
                <w:color w:val="5A6A72"/>
                <w:sz w:val="16"/>
                <w:szCs w:val="16"/>
              </w:rPr>
              <w:t xml:space="preserve"> sponsorship goes to the Operations Fund and is published in the ledger; a sponsor never influences who receives funds; every package includes a report within 30 days, an employee team slot and an invitation to the handover; in-kind sponsorship is valued and recognised like cash; the Executive Director signs; the Board sets the packages and the excluded industries.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UGOVOR O SPONZORSTVU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SPONSORSHIP AGREEMENT</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UGOVOR O SPONZORSTVU broj [[PLACEHOLDER]]</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zaključen dana [datum] u Tivtu između:</w:t>
            </w:r>
          </w:p>
          <w:p>
            <w:pPr>
              <w:spacing w:after="100"/>
            </w:pPr>
            <w:r>
              <w:rPr>
                <w:rFonts w:ascii="Arial" w:cs="Arial" w:eastAsia="Arial" w:hAnsi="Arial"/>
                <w:sz w:val="18"/>
                <w:szCs w:val="18"/>
              </w:rPr>
              <w:t xml:space="preserve">Nevladinog udruženja „Santamore“, [[PLACEHOLDER: adresa, Tivat]], registarski broj [[PLACEHOLDER]], PIB [[PLACEHOLDER]], [[PLACEHOLDER: PDV broj ili „nije obveznik PDV-a“]], račun [[PLACEHOLDER: IBAN]], koje zastupa [ime i prezime], Izvršni direktor (u daljem tekstu: udruženje), i</w:t>
            </w:r>
          </w:p>
          <w:p>
            <w:pPr>
              <w:spacing w:after="100"/>
            </w:pPr>
            <w:r>
              <w:rPr>
                <w:rFonts w:ascii="Arial" w:cs="Arial" w:eastAsia="Arial" w:hAnsi="Arial"/>
                <w:sz w:val="18"/>
                <w:szCs w:val="18"/>
              </w:rPr>
              <w:t xml:space="preserve">[naziv privrednog društva ili lica], [adresa], registarski broj [broj], PIB [broj], PDV broj [broj], koje zastupa [ime i prezime, funkcija] (u daljem tekstu: sponzor).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Predmet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Subject.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 se obavezuje da udruženju plati sponzorski iznos, odnosno pruži robu ili usluge iz člana 4, a udruženje se obavezuje da sponzoru pruži protivusluge promotivne prirode iz Priloga 1 (paket), u vezi sa [naziv događaja i datum / programom udruženja za godinu / kampanjom], u skladu sa ovim ugovorom.</w:t>
            </w:r>
          </w:p>
          <w:p>
            <w:pPr>
              <w:spacing w:after="100"/>
            </w:pPr>
            <w:r>
              <w:rPr>
                <w:rFonts w:ascii="Arial" w:cs="Arial" w:eastAsia="Arial" w:hAnsi="Arial"/>
                <w:sz w:val="18"/>
                <w:szCs w:val="18"/>
              </w:rPr>
              <w:t xml:space="preserve">Sponzorstvo je ugovor sa protivuslugom i nije donacija. Sponzorski iznos ulazi u Operativni fond udruženja i koristi se za organizaciju događaja i rad udruženja; ne ulazi u Fond za pomoć i ne isplaćuje se korisnicima. Udruženje sponzorstvo objavljuje u javnom registru sa nazivom sponzora, iznosom ili vrijednošću i namjenom.</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Subject.</w:t>
            </w:r>
            <w:r>
              <w:rPr>
                <w:rFonts w:ascii="Arial" w:cs="Arial" w:eastAsia="Arial" w:hAnsi="Arial"/>
                <w:sz w:val="18"/>
                <w:szCs w:val="18"/>
              </w:rPr>
              <w:t xml:space="preserve"> The sponsor pays the sponsorship sum or provides the goods or services in Article 4; the association provides the promotional consideration in Annex 1 (the package) for the named event, annual programme or campaign. Sponsorship is a contract with consideration, not a donation; it goes to the Operations Fund for organising and running the association, never to the Impact Fund or beneficiaries; it is published in the ledger with the sponsor's name, amount or value and purpose.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Paket i protivusluge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Package and consideration.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Protivusluge udruženja utvrđene su u Prilogu 1 po nivou paketa [Core Cost Partner / Title Partner / Gold / Silver / Local Business / Match Partner / In kind]. Svaki paket obuhvata najmanje: izvještaj sponzoru u roku od 30 dana od događaja (fotografije sa ljudima sponzora, broj učesnika, medijska pokrivenost, prikupljena sredstva i gdje su otišla); mjesto za tim zaposlenih sponzora na platformi udruženja; poziv na javnu predaju sredstava korisnicima.</w:t>
            </w:r>
          </w:p>
          <w:p>
            <w:pPr>
              <w:spacing w:after="100"/>
            </w:pPr>
            <w:r>
              <w:rPr>
                <w:rFonts w:ascii="Arial" w:cs="Arial" w:eastAsia="Arial" w:hAnsi="Arial"/>
                <w:sz w:val="18"/>
                <w:szCs w:val="18"/>
              </w:rPr>
              <w:t xml:space="preserve">Udruženje protivusluge pruža u dogovorenom obliku, na dogovorenim mjestima i u dogovorenom periodu, sa dužnom pažnjom, i evidentira izvršenje svake stavke. Ako neku stavku ne može pružiti (na primjer zbog otkazivanja događaja), primjenjuje se član 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Package and consideration.</w:t>
            </w:r>
            <w:r>
              <w:rPr>
                <w:rFonts w:ascii="Arial" w:cs="Arial" w:eastAsia="Arial" w:hAnsi="Arial"/>
                <w:sz w:val="18"/>
                <w:szCs w:val="18"/>
              </w:rPr>
              <w:t xml:space="preserve"> Consideration is set in Annex 1 by tier; every package includes at least a report within 30 days of the event (photos with the sponsor's people, participation numbers, media coverage, funds raised and where they went), an employee team slot on the platform, and an invitation to the public handover. Delivery in the agreed form, places and period, with each item logged; Article 9 applies where an item cannot be delivered.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Šta sponzorstvo ne daje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What sponsorship does not buy.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Sponzorstvo ne daje sponzoru: uticaj na to ko dobija sredstva udruženja, što odlučuje isključivo Komisija za dodjelu sredstava po objavljenim kriterijumima; uticaj na izbor korisnika, zaposlenih, članova organa ni dobavljača; pristup podacima o donatorima, učesnicima, korisnicima ni volonterima; pravo da udruženje promoviše proizvode ili poruke suprotne ciljevima udruženja, Kodeksu ponašanja ili Politici zaštite djece; ekskluzivnost, osim ako je izričito ugovorena u Prilogu 1; pravo da naziv, znak ili materijale udruženja koristi van člana 6.</w:t>
            </w:r>
          </w:p>
          <w:p>
            <w:pPr>
              <w:spacing w:after="100"/>
            </w:pPr>
            <w:r>
              <w:rPr>
                <w:rFonts w:ascii="Arial" w:cs="Arial" w:eastAsia="Arial" w:hAnsi="Arial"/>
                <w:sz w:val="18"/>
                <w:szCs w:val="18"/>
              </w:rPr>
              <w:t xml:space="preserve">Udruženje zadržava pravo da odbije ili prekine prikazivanje sponzorskog materijala koji je nezakonit, uvredljiv, usmjeren na djecu na neprimjeren način, ili u suprotnosti sa članom 12.</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What sponsorship does not buy.</w:t>
            </w:r>
            <w:r>
              <w:rPr>
                <w:rFonts w:ascii="Arial" w:cs="Arial" w:eastAsia="Arial" w:hAnsi="Arial"/>
                <w:sz w:val="18"/>
                <w:szCs w:val="18"/>
              </w:rPr>
              <w:t xml:space="preserve"> No influence over who receives funds (the Grants Committee alone, under published criteria), over beneficiaries, staff, officers or suppliers; no access to donor, participant, beneficiary or volunteer data; no promotion of products or messages contrary to the association's goals, Code of conduct or safeguarding policy; no exclusivity unless expressly agreed in Annex 1; no use of the name, mark or materials beyond Article 6. The association may refuse or stop sponsor material that is unlawful, offensive, inappropriately aimed at children or contrary to Article 12.</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Sponzorski iznos, roba i usluge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Sum, goods and services.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Sponzorski iznos je [iznos] EUR [[PLACEHOLDER: bez PDV-a / sa PDV-om, prema mišljenju računovođe]], plativ [jednokratno / u ratama: datumi] na račun udruženja iz zaglavlja, na osnovu računa udruženja, u roku od [[PLACEHOLDER: broj, npr. 15]] dana od prijema računa. Za Match Partner: sponzor uplaćuje iznos jednak donacijama prikupljenim u periodu [datum i vrijeme od–do], najviše do [iznos] EUR, u roku od 15 dana od dostavljanja obračuna iz javnog registra.</w:t>
            </w:r>
          </w:p>
          <w:p>
            <w:pPr>
              <w:spacing w:after="100"/>
            </w:pPr>
            <w:r>
              <w:rPr>
                <w:rFonts w:ascii="Arial" w:cs="Arial" w:eastAsia="Arial" w:hAnsi="Arial"/>
                <w:sz w:val="18"/>
                <w:szCs w:val="18"/>
              </w:rPr>
              <w:t xml:space="preserve">Sponzorstvo u naturi: sponzor isporučuje [opis robe ili usluga, količina, rok, mjesto]. Strane saglasno utvrđuju vrijednost sponzorstva u naturi na [iznos] EUR radi paketa, evidencije i objave; ta vrijednost se ne fakturiše novčano, osim ako računovođa utvrdi da propisi traže drugačije. Roba mora biti ispravna i bezbjedna; usluge se pružaju sa pažnjom dobrog stručnjaka; za hranu, piće, medicinsku službu i mjerenje vremena sponzor obezbjeđuje propisane dozvole i osiguranje.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Sum, goods and services.</w:t>
            </w:r>
            <w:r>
              <w:rPr>
                <w:rFonts w:ascii="Arial" w:cs="Arial" w:eastAsia="Arial" w:hAnsi="Arial"/>
                <w:sz w:val="18"/>
                <w:szCs w:val="18"/>
              </w:rPr>
              <w:t xml:space="preserve"> The sum, VAT treatment per the accountant, payment schedule against the association's invoice within a set number of days; Match Partner terms (equal to donations in a window, capped, paid on the ledger statement); in-kind sponsorship described with quantity, deadline and place, valued by agreement for the package, records and publication, not invoiced in money unless the accountant says otherwise, with quality, safety, permits and insurance duties on the sponsor for food, drink, medical, timing and similar services.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Porezi i računi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Taxes and invoices.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izdaje račun za sponzorstvo u skladu sa propisima Crne Gore. [[PLACEHOLDER: da li se na sponzorstvo obračunava PDV, da li je udruženje obveznik PDV-a i od kada, i da li prihod od sponzorstva podliježe porezu na dobit; potvrđuje računovođa, v. Dio C]]. Svaka strana snosi svoje poreze. Ako se propisi ili status udruženja promijene tako da utiču na PDV, strane usaglašavaju iznos tako da neto iznos za udruženje ostane isti, osim ako je drugačije ugovoreno.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Taxes and invoices.</w:t>
            </w:r>
            <w:r>
              <w:rPr>
                <w:rFonts w:ascii="Arial" w:cs="Arial" w:eastAsia="Arial" w:hAnsi="Arial"/>
                <w:sz w:val="18"/>
                <w:szCs w:val="18"/>
              </w:rPr>
              <w:t xml:space="preserve"> The association invoices under Montenegrin rules; VAT treatment, VAT registration status and profit-tax exposure are the accountant's to confirm; each side bears its own taxes; a change in rules or status affecting VAT leads to a net-neutral adjustment unless agreed otherwise.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Upotreba naziva i znaka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Names and marks.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ima pravo da naziv i znak sponzora koristi za protivusluge iz Priloga 1, u obliku koji sponzor dostavi, bez izmjena, za vrijeme trajanja ugovora i u izvještajima i arhivi nakon toga. Sponzor ima pravo da za vrijeme trajanja ugovora navodi da je sponzor udruženja ili događaja i da koristi znak udruženja i oznaku iz Priloga 2 (na primjer „Zvanični partner Santamore Santa Run 2026“), u obliku i uz pravila iz Priloga 2, bez izmjena i bez utiska da udruženje preporučuje proizvode sponzora. Svaka druga upotreba naziva, znaka, fotografija ili materijala udruženja traži prethodno pisano odobrenje. Po prestanku ugovora sponzor prestaje sa novom upotrebom, a već objavljeni materijali mogu ostati.</w:t>
            </w:r>
          </w:p>
          <w:p>
            <w:pPr>
              <w:spacing w:after="100"/>
            </w:pPr>
            <w:r>
              <w:rPr>
                <w:rFonts w:ascii="Arial" w:cs="Arial" w:eastAsia="Arial" w:hAnsi="Arial"/>
                <w:sz w:val="18"/>
                <w:szCs w:val="18"/>
              </w:rPr>
              <w:t xml:space="preserve">Fotografije sa događaja koje udruženje dostavi sponzoru za izvještaj i objave sponzor koristi samo uz navođenje udruženja, samo za nekomercijalnu komunikaciju o sponzorstvu, i samo one za koje postoji saglasnost prikazanih lica; fotografije djece sponzor ne objavljuje bez posebnog pisanog odobrenja udruženja.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Names and marks.</w:t>
            </w:r>
            <w:r>
              <w:rPr>
                <w:rFonts w:ascii="Arial" w:cs="Arial" w:eastAsia="Arial" w:hAnsi="Arial"/>
                <w:sz w:val="18"/>
                <w:szCs w:val="18"/>
              </w:rPr>
              <w:t xml:space="preserve"> The association uses the sponsor's name and mark for Annex 1 items, unaltered, during the term and in reports and archives after; the sponsor may state the sponsorship and use the mark and designation in Annex 2, unaltered, without implying product endorsement; anything else needs written consent; after termination no new use, existing material may remain. Event photos supplied to the sponsor are used with credit, non-commercially, only where the people shown consented, and children's photos never without the association's specific written approval.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Trajanje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Term.</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Ugovor stupa na snagu potpisivanjem i traje [do izvršenja svih obaveza u vezi sa događajem, najkasnije do datuma / do 31. decembra godine za godišnje partnerstvo]. Strane će najkasnije [[PLACEHOLDER: broj, npr. 60]] dana prije isteka razgovarati o obnovi; obnova nije automatska.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Term.</w:t>
            </w:r>
            <w:r>
              <w:rPr>
                <w:rFonts w:ascii="Arial" w:cs="Arial" w:eastAsia="Arial" w:hAnsi="Arial"/>
                <w:sz w:val="18"/>
                <w:szCs w:val="18"/>
              </w:rPr>
              <w:t xml:space="preserve"> From signature until all obligations for the event are performed or year-end for annual partnerships; a renewal conversation a set number of days before expiry; no automatic renewal.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Obaveze sponzora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Sponsor's duties.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 plaća sponzorski iznos i isporučuje robu ili usluge u rokovima; dostavlja logotip, tekstove i materijale u traženom formatu najkasnije [[PLACEHOLDER: broj, npr. 21]] dana prije događaja, jer kasnije dostavljeni materijali možda neće stići na štampu; određuje kontakt osobu; poštuje Kodeks ponašanja i Politiku zaštite djece za svoje predstavnike i promotere na događaju, uključujući pravilo da promoteri ne kontaktiraju djecu bez roditelja; ne prikuplja podatke učesnika na događaju bez saglasnosti učesnika i bez odobrenja udruženja; ne organizuje aktivnosti na događaju van dogovorenih; obavještava udruženje o svakoj promjeni koja može uticati na ugovor ili ugled događaja.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Sponsor's duties.</w:t>
            </w:r>
            <w:r>
              <w:rPr>
                <w:rFonts w:ascii="Arial" w:cs="Arial" w:eastAsia="Arial" w:hAnsi="Arial"/>
                <w:sz w:val="18"/>
                <w:szCs w:val="18"/>
              </w:rPr>
              <w:t xml:space="preserve"> Pay and deliver on time; supply artwork and materials in the required format a set number of days before the event; name a contact; ensure its representatives and promoters follow the Code of conduct and safeguarding policy, including no contact with children without parents; collect no participant data without consent and approval; no undisclosed activities at the event; inform the association of any change affecting the contract or the event's reputation.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Otkazivanje, odlaganje i izmjena događaja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Cancellation, postponement and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udruženje događaj odloži, protivusluge se pružaju na novom terminu; ako ga otkaže iz razloga van svoje kontrole (vrijeme, odluka nadležnog organa, viša sila), udruženje pruža protivusluge koje su i dalje moguće (objave, izvještaj, tim na platformi) i sa sponzorom dogovara: prenos sponzorstva na sljedeći događaj, srazmjerno umanjenje za nepružene stavke, ili pretvaranje u donaciju Fondu za pomoć po izboru sponzora. Ako udruženje otkaže događaj iz razloga koji su u njegovoj kontroli, vraća sponzoru srazmjerni dio iznosa za nepružene stavke u roku od 30 dana. Ako sponzor odustane nakon potpisivanja, plaća troškove koje je udruženje već imalo u vezi sa njegovim paketom (štampa, proizvodnja), a najviše [[PLACEHOLDER: procenat]] procenata iznosa.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Cancellation, postponement and changes.</w:t>
            </w:r>
            <w:r>
              <w:rPr>
                <w:rFonts w:ascii="Arial" w:cs="Arial" w:eastAsia="Arial" w:hAnsi="Arial"/>
                <w:sz w:val="18"/>
                <w:szCs w:val="18"/>
              </w:rPr>
              <w:t xml:space="preserve"> Postponement carries the package over; cancellation beyond our control keeps what can still be delivered and offers carry-over, proportional reduction or conversion to a donation at the sponsor's choice; cancellation within our control refunds the proportional part within 30 days; a sponsor withdrawing after signature covers costs already incurred for its package up to a capped share.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strana odgovara drugoj za štetu koju prouzrokuje povredom ugovora, do visine sponzorskog iznosa, osim za štetu prouzrokovanu namjerno ili krajnjom nepažnjom. Udruženje ne odgovara za poslovne rezultate sponzora ni za obim medijske pokrivenosti. Sponzor odgovara za robu i usluge koje isporučuje i za ponašanje svojih ljudi na događaju. Ništa u ovom članu ne isključuje odgovornost koju po zakonu nije moguće isključiti.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Liability.</w:t>
            </w:r>
            <w:r>
              <w:rPr>
                <w:rFonts w:ascii="Arial" w:cs="Arial" w:eastAsia="Arial" w:hAnsi="Arial"/>
                <w:sz w:val="18"/>
                <w:szCs w:val="18"/>
              </w:rPr>
              <w:t xml:space="preserve"> Each side liable for breach up to the sponsorship sum, except for intent or gross negligence; no liability for the sponsor's business results or media reach; the sponsor liable for its goods, services and people; statutory carve-outs preserved.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Povjerljivost 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Confidentiality and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Uslovi ovog ugovora su povjerljivi, osim naziva sponzora, nivoa paketa i iznosa ili vrijednosti, koje udruženje objavljuje u javnom registru i godišnjem izvještaju u skladu sa svojom politikom transparentnosti, na šta sponzor pristaje. Udruženje sponzoru ne dostavlja lične podatke donatora, učesnika, korisnika ni volontera; tim zaposlenih sponzora na platformi vidi samo ono što vide svi članovi tima. Ako sponzor u vezi sa događajem prikuplja lične podatke (nagradna igra, prijave), on je rukovalac tih podataka i obavještava lica o tome.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Confidentiality and data.</w:t>
            </w:r>
            <w:r>
              <w:rPr>
                <w:rFonts w:ascii="Arial" w:cs="Arial" w:eastAsia="Arial" w:hAnsi="Arial"/>
                <w:sz w:val="18"/>
                <w:szCs w:val="18"/>
              </w:rPr>
              <w:t xml:space="preserve"> Contract terms confidential except the sponsor's name, tier and amount or value, published under the transparency policy with the sponsor's consent; no personal data of donors, participants, beneficiaries or volunteers is shared; an employee team sees only what any team sees; a sponsor collecting data for its own activity is the controller for it.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Etika i raskid</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Ethics and termination.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može raskinuti ugovor bez otkaznog roka, uz zadržavanje već plaćenog dijela za pružene stavke i povraćaj ostatka, ako: sponzor ili njegovi predstavnici prekrše član 3, 8 ili Kodeks ponašanja; protiv sponzora bude pokrenut postupak ili objavljena okolnost koja bi nastavak saradnje činila štetnim po ugled udruženja; sponzor pokuša da utiče na izbor korisnika ili na odluke organa; sponzor ne plati iznos ni u naknadnom roku od 15 dana. Sponzor može raskinuti ugovor bez otkaznog roka ako udruženje bitno prekrši član 2 i ne ispravi povredu u roku od 15 dana od pisane opomene, uz povraćaj srazmjernog dijela iznosa. Svaka strana može raskinuti ugovor uz otkazni rok od [[PLACEHOLDER: broj, npr. 30]] dana ako je događaj trajno otkazan.</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Ethics and termination.</w:t>
            </w:r>
            <w:r>
              <w:rPr>
                <w:rFonts w:ascii="Arial" w:cs="Arial" w:eastAsia="Arial" w:hAnsi="Arial"/>
                <w:sz w:val="18"/>
                <w:szCs w:val="18"/>
              </w:rPr>
              <w:t xml:space="preserve"> The association may terminate without notice, keeping payment for delivered items and refunding the rest, for breaches of Articles 3 or 8 or the Code, for proceedings or facts that would make continued association reputationally harmful, for attempts to influence beneficiaries or bodies, or for non-payment after a 15-day grace; the sponsor may terminate for a material uncured breach of Article 2 with a proportional refund; either side on notice if the event is permanently cancelled.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Ostalo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Final.</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ugovor se primjenjuje pravo Crne Gore. Sporove strane rješavaju dogovorom, a ako to ne uspije nadležan je [[PLACEHOLDER: sud]]. Izmjene ugovora važe samo u pisanom obliku. Prilozi 1 (paket i protivusluge), 2 (pravila upotrebe naziva i znaka) i 3 (izvještaj sponzoru) čine dio ugovora. Ugovor je sačinjen u dva istovjetna primjerka.</w:t>
            </w:r>
          </w:p>
          <w:p>
            <w:pPr>
              <w:spacing w:after="100"/>
            </w:pPr>
            <w:r>
              <w:rPr>
                <w:rFonts w:ascii="Arial" w:cs="Arial" w:eastAsia="Arial" w:hAnsi="Arial"/>
                <w:sz w:val="18"/>
                <w:szCs w:val="18"/>
              </w:rPr>
              <w:t xml:space="preserve">Za udruženje: ____________________ Izvršni direktor. Za sponzora: ____________________ [ime, funkcija].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Final.</w:t>
            </w:r>
            <w:r>
              <w:rPr>
                <w:rFonts w:ascii="Arial" w:cs="Arial" w:eastAsia="Arial" w:hAnsi="Arial"/>
                <w:sz w:val="18"/>
                <w:szCs w:val="18"/>
              </w:rPr>
              <w:t xml:space="preserve"> Montenegrin law; disputes by agreement, else the competent court (placeholder); amendments in writing only; Annexes 1 to 3 form part of the agreement; two originals.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1 — Paket i protivusluge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1: Package and deliverables</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Nivo paketa: [ ]. Iznos ili vrijednost: [ ] EUR. Događaj ili period: [ ]. Ekskluzivnost: [nema / kategorija: ______, samo za ovaj događaj].</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1941"/>
              <w:gridCol w:w="1941"/>
              <w:gridCol w:w="1941"/>
              <w:gridCol w:w="1941"/>
              <w:gridCol w:w="1941"/>
            </w:tblGrid>
            <w:tr>
              <w:trPr>
                <w:tblHeader/>
              </w:trPr>
              <w:tc>
                <w:tcPr>
                  <w:tcW w:type="dxa" w:w="1941"/>
                  <w:shd w:fill="E3EBED" w:color="auto" w:val="clear"/>
                  <w:tcMar>
                    <w:top w:type="dxa" w:w="40"/>
                    <w:left w:type="dxa" w:w="60"/>
                    <w:bottom w:type="dxa" w:w="40"/>
                    <w:right w:type="dxa" w:w="60"/>
                  </w:tcMar>
                </w:tcPr>
                <w:p>
                  <w:r>
                    <w:rPr>
                      <w:rFonts w:ascii="Arial" w:cs="Arial" w:eastAsia="Arial" w:hAnsi="Arial"/>
                      <w:b/>
                      <w:bCs/>
                      <w:sz w:val="16"/>
                      <w:szCs w:val="16"/>
                    </w:rPr>
                    <w:t xml:space="preserve">Stavka / Item</w:t>
                  </w:r>
                </w:p>
              </w:tc>
              <w:tc>
                <w:tcPr>
                  <w:tcW w:type="dxa" w:w="1941"/>
                  <w:shd w:fill="E3EBED" w:color="auto" w:val="clear"/>
                  <w:tcMar>
                    <w:top w:type="dxa" w:w="40"/>
                    <w:left w:type="dxa" w:w="60"/>
                    <w:bottom w:type="dxa" w:w="40"/>
                    <w:right w:type="dxa" w:w="60"/>
                  </w:tcMar>
                </w:tcPr>
                <w:p>
                  <w:r>
                    <w:rPr>
                      <w:rFonts w:ascii="Arial" w:cs="Arial" w:eastAsia="Arial" w:hAnsi="Arial"/>
                      <w:b/>
                      <w:bCs/>
                      <w:sz w:val="16"/>
                      <w:szCs w:val="16"/>
                    </w:rPr>
                    <w:t xml:space="preserve">Opis / Description</w:t>
                  </w:r>
                </w:p>
              </w:tc>
              <w:tc>
                <w:tcPr>
                  <w:tcW w:type="dxa" w:w="1941"/>
                  <w:shd w:fill="E3EBED" w:color="auto" w:val="clear"/>
                  <w:tcMar>
                    <w:top w:type="dxa" w:w="40"/>
                    <w:left w:type="dxa" w:w="60"/>
                    <w:bottom w:type="dxa" w:w="40"/>
                    <w:right w:type="dxa" w:w="60"/>
                  </w:tcMar>
                </w:tcPr>
                <w:p>
                  <w:r>
                    <w:rPr>
                      <w:rFonts w:ascii="Arial" w:cs="Arial" w:eastAsia="Arial" w:hAnsi="Arial"/>
                      <w:b/>
                      <w:bCs/>
                      <w:sz w:val="16"/>
                      <w:szCs w:val="16"/>
                    </w:rPr>
                    <w:t xml:space="preserve">Rok ili mjesto / When or where</w:t>
                  </w:r>
                </w:p>
              </w:tc>
              <w:tc>
                <w:tcPr>
                  <w:tcW w:type="dxa" w:w="1941"/>
                  <w:shd w:fill="E3EBED" w:color="auto" w:val="clear"/>
                  <w:tcMar>
                    <w:top w:type="dxa" w:w="40"/>
                    <w:left w:type="dxa" w:w="60"/>
                    <w:bottom w:type="dxa" w:w="40"/>
                    <w:right w:type="dxa" w:w="60"/>
                  </w:tcMar>
                </w:tcPr>
                <w:p>
                  <w:r>
                    <w:rPr>
                      <w:rFonts w:ascii="Arial" w:cs="Arial" w:eastAsia="Arial" w:hAnsi="Arial"/>
                      <w:b/>
                      <w:bCs/>
                      <w:sz w:val="16"/>
                      <w:szCs w:val="16"/>
                    </w:rPr>
                    <w:t xml:space="preserve">Odgovoran / Owner</w:t>
                  </w:r>
                </w:p>
              </w:tc>
              <w:tc>
                <w:tcPr>
                  <w:tcW w:type="dxa" w:w="1941"/>
                  <w:shd w:fill="E3EBED" w:color="auto" w:val="clear"/>
                  <w:tcMar>
                    <w:top w:type="dxa" w:w="40"/>
                    <w:left w:type="dxa" w:w="60"/>
                    <w:bottom w:type="dxa" w:w="40"/>
                    <w:right w:type="dxa" w:w="60"/>
                  </w:tcMar>
                </w:tcPr>
                <w:p>
                  <w:r>
                    <w:rPr>
                      <w:rFonts w:ascii="Arial" w:cs="Arial" w:eastAsia="Arial" w:hAnsi="Arial"/>
                      <w:b/>
                      <w:bCs/>
                      <w:sz w:val="16"/>
                      <w:szCs w:val="16"/>
                    </w:rPr>
                    <w:t xml:space="preserve">Izvršeno / Done</w:t>
                  </w: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Naziv u asocijaciji / Naming</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[npr. „Santa Run 2026, u partnerstvu sa X“]</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sve objave od potpisivanja / all posts from signature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Logotip na startnim brojevima i kostimima / Logo on bibs and suits</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[veličina, pozicija]</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proizvodnja do [datum] / production by</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Brendiranje starta, staze, prostora / Start, course and venue branding</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[broj i vrsta elemenata]</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dan događaja / event day</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sponzor dostavlja, udruženje postavlja</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Vrijeme na bini / Stage time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[minuta, ko govori]</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program / programme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Prijave za zaposlene / Employee entries</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[broj]</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do zatvaranja prijava / until close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Tim zaposlenih na platformi / Employee team page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stranica tima sa logotipom / team page with logo</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od objave prijava / from registration opening</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Objave na društvenim mrežama / Social posts</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[broj, kanali]</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[period]</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Stanica na stazi / Branded station</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[lokacija, sadržaj]</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dan događaja</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sponzor</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Poziv na predaju sredstava / Handover invitation</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[broj gostiju]</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Impact Day</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Izvještaj sponzoru / Sponsor report</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Prilog 3</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 roku od 30 dana / within 30 days</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Za Core Cost Partner: „Rad Santamorea finansira X, pa 100% donacija stiže do korisnika“ na svakoj stranici / Core Cost Partner line on every page</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tekst i logotip u podnožju / footer line and logo</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trajanje partnerstva / term</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udruženje</w:t>
                  </w:r>
                </w:p>
              </w:tc>
              <w:tc>
                <w:tcPr>
                  <w:tcW w:type="dxa" w:w="1941"/>
                  <w:tcMar>
                    <w:top w:type="dxa" w:w="40"/>
                    <w:left w:type="dxa" w:w="60"/>
                    <w:bottom w:type="dxa" w:w="40"/>
                    <w:right w:type="dxa" w:w="60"/>
                  </w:tcMar>
                </w:tcPr>
                <w:p/>
              </w:tc>
            </w:tr>
            <w:tr>
              <w:trPr>
                <w:tblHeader w:val="false"/>
              </w:trPr>
              <w:tc>
                <w:tcPr>
                  <w:tcW w:type="dxa" w:w="1941"/>
                  <w:tcMar>
                    <w:top w:type="dxa" w:w="40"/>
                    <w:left w:type="dxa" w:w="60"/>
                    <w:bottom w:type="dxa" w:w="40"/>
                    <w:right w:type="dxa" w:w="60"/>
                  </w:tcMar>
                </w:tcPr>
                <w:p>
                  <w:r>
                    <w:rPr>
                      <w:rFonts w:ascii="Arial" w:cs="Arial" w:eastAsia="Arial" w:hAnsi="Arial"/>
                      <w:b w:val="false"/>
                      <w:bCs w:val="false"/>
                      <w:sz w:val="16"/>
                      <w:szCs w:val="16"/>
                    </w:rPr>
                    <w:t xml:space="preserve">Za Match Partner: prozor uparivanja / Matching window</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[datum, vrijeme od–do, gornja granica]</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[datum]</w:t>
                  </w:r>
                </w:p>
              </w:tc>
              <w:tc>
                <w:tcPr>
                  <w:tcW w:type="dxa" w:w="1941"/>
                  <w:tcMar>
                    <w:top w:type="dxa" w:w="40"/>
                    <w:left w:type="dxa" w:w="60"/>
                    <w:bottom w:type="dxa" w:w="40"/>
                    <w:right w:type="dxa" w:w="60"/>
                  </w:tcMar>
                </w:tcPr>
                <w:p>
                  <w:r>
                    <w:rPr>
                      <w:rFonts w:ascii="Arial" w:cs="Arial" w:eastAsia="Arial" w:hAnsi="Arial"/>
                      <w:b w:val="false"/>
                      <w:bCs w:val="false"/>
                      <w:sz w:val="16"/>
                      <w:szCs w:val="16"/>
                    </w:rPr>
                    <w:t xml:space="preserve">oba / both</w:t>
                  </w:r>
                </w:p>
              </w:tc>
              <w:tc>
                <w:tcPr>
                  <w:tcW w:type="dxa" w:w="1941"/>
                  <w:tcMar>
                    <w:top w:type="dxa" w:w="40"/>
                    <w:left w:type="dxa" w:w="60"/>
                    <w:bottom w:type="dxa" w:w="40"/>
                    <w:right w:type="dxa" w:w="60"/>
                  </w:tcMar>
                </w:tcPr>
                <w:p/>
              </w:tc>
            </w:tr>
          </w:tbl>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2 — Pravila upotrebe naziva i znaka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2: Name and mark usage rules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Sponzor može koristiti: znak udruženja i naziv događaja u obliku iz priručnika za brend koji udruženje dostavi, bez izmjena boja, proporcija i teksta, sa zaštitnim prostorom; oznaku „[Zvanični partner / Title partner / Partner] [naziv događaja i godina]“; fotografije koje udruženje dostavi po članu 6. Sponzor ne može: mijenjati znak, kombinovati ga sa svojim u jedan znak, koristiti ga na proizvodima za prodaju, u političkim porukama, ni na način koji sugeriše da udruženje preporučuje proizvode sponzora ili da je sponzor odlučivao o korisnicima. Svaki materijal sa znakom udruženja sponzor dostavlja udruženju na odobrenje najmanje [[PLACEHOLDER: broj, npr. 5]] radnih dana prije objave; udruženje odgovara u roku od tri radna dana.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Annex 2.</w:t>
            </w:r>
            <w:r>
              <w:rPr>
                <w:rFonts w:ascii="Arial" w:cs="Arial" w:eastAsia="Arial" w:hAnsi="Arial"/>
                <w:sz w:val="18"/>
                <w:szCs w:val="18"/>
              </w:rPr>
              <w:t xml:space="preserve"> Permitted: the mark and event name per the brand manual, unaltered with clear space; the agreed partner designation; supplied photos under Article 6. Not permitted: altering or merging the mark, use on products for sale, political messaging, or anything implying product endorsement or a say over beneficiaries. Material carrying the mark goes to the association for approval a set number of working days before publication, answered within three.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Prilog 3 — Izvještaj sponzoru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Annex 3: Sponsor report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sponzoru u roku od 30 dana od događaja, bez podsjećanja, dostavlja izvještaj sa: fotografijama na kojima su ljudi sponzora i njegovo brendiranje, uz evidenciju saglasnosti; brojem učesnika, volontera i posjetilaca; pregledom medijske pokrivenosti i objava; iznosom prikupljenih sredstava po izvoru; korisnicima kojima su sredstva dodijeljena, u obliku koji dopušta politika privatnosti, sa vezom na javni registar; pregledom izvršenja svake stavke iz Priloga 1; datumom razgovora o obnovi.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Annex 3.</w:t>
            </w:r>
            <w:r>
              <w:rPr>
                <w:rFonts w:ascii="Arial" w:cs="Arial" w:eastAsia="Arial" w:hAnsi="Arial"/>
                <w:sz w:val="18"/>
                <w:szCs w:val="18"/>
              </w:rPr>
              <w:t xml:space="preserve"> Within 30 days, unprompted: photos featuring the sponsor's people and branding with consent records; participation numbers; media and social coverage; funds raised by source; beneficiaries in the form the privacy policy allows with a ledger link; delivery status of every Annex 1 item; the renewal conversation date.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PRAVILA O SPONZORSTVIMA (INTERNA)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SPONSORSHIP RULES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Paketi i cjenovnik</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Packages and price list.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Upravni odbor usvaja pakete i cjenovnik sponzorstava za godinu, na predlog Izvršnog direktora. Polazni predlog je lista iz vodiča tima: Core Cost Partner [[PLACEHOLDER: iznos, vodič tima: 10.000 EUR i više godišnje]]; Title Partner [[PLACEHOLDER: 5.000 EUR po događaju]]; Gold [[PLACEHOLDER: 2.500 EUR]]; Silver [[PLACEHOLDER: 1.000 EUR]]; Local Business [[PLACEHOLDER: 250 do 500 EUR]]; Match Partner (bilo koji iznos, uparivanje u prozoru); In kind (vrednovano, evidentirano i priznato kao novac). Svaki paket obavezno sadrži tri stavke iz člana 2. Ogranci prodaju sponzorstva samo po ovim paketima, a Izvršni direktor može odobriti odstupanje do [[PLACEHOLDER: procenat]] procenata cijene uz obrazloženje.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Packages and price list.</w:t>
            </w:r>
            <w:r>
              <w:rPr>
                <w:rFonts w:ascii="Arial" w:cs="Arial" w:eastAsia="Arial" w:hAnsi="Arial"/>
                <w:sz w:val="18"/>
                <w:szCs w:val="18"/>
              </w:rPr>
              <w:t xml:space="preserve"> Adopted yearly by the Board on the Director's proposal, starting from the team guide's sheet (amounts as placeholders); every package carries the three Article 2 items; chapters sell only these packages; the Director may approve a capped discount with reasons.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Ko pregovara, ko potpisuje, kako se fakturiše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Negotiation, signature, invoicing.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Pregovore vode Izvršni direktor, lice zaduženo za partnerstva i, u okviru paketa, rukovodioci ogranaka. Ugovor potpisuje isključivo Izvršni direktor; ugovor preko [[PLACEHOLDER: iznos]] EUR ili sa ekskluzivnošću prethodno odobrava Upravni odbor. Račun izdaje udruženje po uputstvu računovođe, sa oznakom „sponzorstvo“ i nazivom događaja; uplata ide isključivo na račun udruženja i knjiži se u Operativni fond, a dio koji pripada ogranku po objavljenoj formuli evidentira se za taj ogranak. Sponzorstvo u naturi se evidentira sa vrijednošću i objavljuje kao poklon u naturi sa oznakom sponzora.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Negotiation, signature, invoicing.</w:t>
            </w:r>
            <w:r>
              <w:rPr>
                <w:rFonts w:ascii="Arial" w:cs="Arial" w:eastAsia="Arial" w:hAnsi="Arial"/>
                <w:sz w:val="18"/>
                <w:szCs w:val="18"/>
              </w:rPr>
              <w:t xml:space="preserve"> The Director, the partnerships lead and chapter leads within packages negotiate; only the Director signs; above a threshold or with exclusivity the Board approves first; invoices per the accountant marked sponsorship with the event; payment only to the association's account, booked to the Operations Fund with the chapter share recorded; in-kind valued and published as in-kind with the sponsor named.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Provjera sponzora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Screening.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Prije potpisivanja Izvršni direktor provjerava: da sponzor nije u djelatnosti koju je Upravni odbor isključio [[PLACEHOLDER: lista, npr. duvan, kockanje, oružje; odlučuje Upravni odbor, v. Pravila donacija čl. 18]]; da nema javno poznatih okolnosti koje bi sponzorstvo činile štetnim po ugled; da sponzor nije povezano lice nekog obveznika po Pravilima o sukobu interesa, a ako jeste, da je sukob prijavljen i da to lice ne učestvuje u odlučivanju; da sponzor prihvata član 3. Sponzorstvo od političke partije, kandidata ili vjerske zajednice se ne prima. Sponzorstvo alkoholnih brendova prihvata se samo za događaje za odrasle i bez brendiranja dječijih zona i materijala za djecu.</w:t>
            </w:r>
          </w:p>
          <w:p>
            <w:pPr>
              <w:spacing w:after="100"/>
            </w:pPr>
            <w:r>
              <w:rPr>
                <w:rFonts w:ascii="Arial" w:cs="Arial" w:eastAsia="Arial" w:hAnsi="Arial"/>
                <w:sz w:val="18"/>
                <w:szCs w:val="18"/>
              </w:rPr>
              <w:t xml:space="preserve">Poreska olakšica koju vodič tima navodi kao prodajni argument (odbitak do 3,5 procenata bruto prihoda za humanitarna, sportska, zdravstvena, kulturna i ekološka davanja) koristi se u razgovorima sa sponzorima tek kada je računovođa potvrdi u pisanom obliku i kada je jasno da li se odnosi na sponzorstvo ili samo na donacije; do tada se ne navodi.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Screening.</w:t>
            </w:r>
            <w:r>
              <w:rPr>
                <w:rFonts w:ascii="Arial" w:cs="Arial" w:eastAsia="Arial" w:hAnsi="Arial"/>
                <w:sz w:val="18"/>
                <w:szCs w:val="18"/>
              </w:rPr>
              <w:t xml:space="preserve"> Before signing: not in a Board-excluded industry (list a Board placeholder, per Donation policy Art. 18); no public facts making the sponsorship reputationally harmful; not a connected person of a covered person unless declared and recused; acceptance of Article 3; no political or religious sponsors; alcohol brands only for adult events and never on children's zones or materials. The tax-deduction argument from the team guide is used only once the accountant confirms it in writing and whether it applies to sponsorship or only to donations.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Isporuka i evidencija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Delivery and records.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zaduženo za partnerstva, ili do njegovog imenovanja Izvršni direktor, odgovara za isporuku svake stavke iz Priloga 1 i vodi evidenciju sponzora na platformi (naziv, nivo, iznos ili vrijednost, u naturi, ogranak, ugovor, stavke i status izvršenja, status: potencijalni, u pregovorima, potpisan, aktivan, završen). Izvještaj iz Priloga 3 šalje se u roku od 30 dana bez podsjećanja; nepravovremen izvještaj se bilježi kao propust. Razgovor o obnovi zakazuje se prije isteka. Sponzori se objavljuju na stranici partnera i u godišnjem izvještaju po nivou.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Delivery and records.</w:t>
            </w:r>
            <w:r>
              <w:rPr>
                <w:rFonts w:ascii="Arial" w:cs="Arial" w:eastAsia="Arial" w:hAnsi="Arial"/>
                <w:sz w:val="18"/>
                <w:szCs w:val="18"/>
              </w:rPr>
              <w:t xml:space="preserve"> The partnerships lead, or the Director until appointed, owns delivery of every Annex 1 item and keeps the sponsor record on the platform (name, tier, amount or value, in-kind, chapter, contract, deliverables with status, lifecycle status); the report goes out within 30 days unprompted and a late one is logged as a failure; renewal is scheduled before expiry; sponsors are published on the partners page and in the annual report by tier.</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accountant:</w:t>
            </w:r>
            <w:r>
              <w:rPr>
                <w:rFonts w:ascii="Arial" w:cs="Arial" w:eastAsia="Arial" w:hAnsi="Arial"/>
                <w:sz w:val="18"/>
                <w:szCs w:val="18"/>
              </w:rPr>
              <w:t xml:space="preserve"> whether sponsorship is a taxable supply for VAT, the association's VAT registration status and the threshold the team guide cites, how to invoice sponsorship and value in-kind sponsorship, whether sponsorship income is income from economic activity for profit tax and the threshold the team guide cites, whether that makes CRPS registration of an economic activity necessary (registration pack, completion guide row O), and the exact scope of the 3.5 percent deduction the team guide relies on. </w:t>
            </w:r>
            <w:r>
              <w:rPr>
                <w:rFonts w:ascii="Arial" w:cs="Arial" w:eastAsia="Arial" w:hAnsi="Arial"/>
                <w:b/>
                <w:bCs/>
                <w:sz w:val="18"/>
                <w:szCs w:val="18"/>
              </w:rPr>
              <w:t xml:space="preserve">CHECK with the lawyer:</w:t>
            </w:r>
            <w:r>
              <w:rPr>
                <w:rFonts w:ascii="Arial" w:cs="Arial" w:eastAsia="Arial" w:hAnsi="Arial"/>
                <w:sz w:val="18"/>
                <w:szCs w:val="18"/>
              </w:rPr>
              <w:t xml:space="preserve"> the liability cap in Article 10, the confidentiality carve-out for publication in Article 11, the withdrawal charge in Article 9, the termination grounds in Article 12, the competent court, and whether a sponsorship with an employee team and entries creates any consumer-contract element. </w:t>
            </w:r>
            <w:r>
              <w:rPr>
                <w:rFonts w:ascii="Arial" w:cs="Arial" w:eastAsia="Arial" w:hAnsi="Arial"/>
                <w:b/>
                <w:bCs/>
                <w:sz w:val="18"/>
                <w:szCs w:val="18"/>
              </w:rPr>
              <w:t xml:space="preserve">CHECK with the Board:</w:t>
            </w:r>
            <w:r>
              <w:rPr>
                <w:rFonts w:ascii="Arial" w:cs="Arial" w:eastAsia="Arial" w:hAnsi="Arial"/>
                <w:sz w:val="18"/>
                <w:szCs w:val="18"/>
              </w:rPr>
              <w:t xml:space="preserve"> the excluded-industries list, the package sheet and the approval threshold.</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Payment term / Rok plaćanja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 from invoice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Artwork deadline before the event / Rok za materijale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21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Renewal conversation before expiry / Razgovor o obnovi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60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Sponsor withdrawal charge cap / Naknada pri odustanku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percent of the sum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9</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Termination notice for a permanently cancelled event / Otkazni rok</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Approval of sponsor material / Odobrenje materijala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working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Annex 2</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Board approval threshold / Prag za Upravni odbor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5,000 EUR or any exclusivity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15</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Director's discount authority / Popust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percent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14</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sponsors table already stores name, tier, chapter, amount, in-kind flag, logo, website, contract path, deliverables as JSON and the lifecycle status this document uses; the deliverables JSON should hold the Annex 1 rows with owner, deadline and done flag so the phase-two deliverables tracker can render them and flag late reports. The partners page publishes sponsors by tier; the ledger publishes sponsorship as Operations Fund income with the sponsor named. Tier values in the price list belong in a Board-adopted document, not in code.</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2026-09-21T20:00:32.870Z</dcterms:created>
  <dcterms:modified xsi:type="dcterms:W3CDTF">2026-09-21T20:00:32.870Z</dcterms:modified>
</cp:coreProperties>
</file>

<file path=docProps/custom.xml><?xml version="1.0" encoding="utf-8"?>
<Properties xmlns="http://schemas.openxmlformats.org/officeDocument/2006/custom-properties" xmlns:vt="http://schemas.openxmlformats.org/officeDocument/2006/docPropsVTypes"/>
</file>