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Organizacija i uloge / Organisation and roles</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SVRHA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PURPOSE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Šta ovaj dokument uređuje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What this document covers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Ovaj dokument opisuje kako je Santamore organizovan: organe, ko koga bira, ko o čemu odlučuje, kako se donosi odluka kada je broj glasova jednak, šta svaka uloga u timu podrazumijeva i šta članstvo donosi. Prati Statut i dopune statuta i napisan je da ga čita svaki član.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This document describes how Santamore is organised: its bodies, who elects whom, who decides what, how a decision is reached when the votes are tied, what every role on the team involves, and what membership brings. It follows the Statute and the statute additions and is written for every member to read.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Gdje se ovaj dokument i Statut razlikuju, primjenjuje se Statut. Brojevi ljudi navedeni za svaku ulogu su planski ciljevi iz vodiča za tim, a ne ograničenja.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Where this document and the Statute differ, the Statute applies. The numbers of people given for each role are planning targets from the team guide, not limits.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ORGANI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THE BODIES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Organigram</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The organisation chart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Organigram prikazan uz ovaj dokument čita se odozgo nadolje. Skupština, odnosno svi članovi, bira i razrješava svaki organ. Ispod nje su Upravni odbor, Komisija za dodjelu sredstava i Izvršni direktor. Ispod Izvršnog direktora su rukovodioci timova, timovi ogranaka i osoblje. Ispod njih su volonterske uloge: volonteri na događajima, prikupljači i veze sa klubovima.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chart shown with this document reads from the top down. The Assembly, meaning every member, elects and recalls every body. Under it sit the Board, the Grants Committee and the Executive Director. Under the Executive Director sit the team leads, the chapter teams and the staff. Under them sit the volunteer roles: event-day volunteers, fundraisers and club connectors.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Dva polja su označena kao plaćena: Izvršni direktor i osoblje. Svi ostali su neplaćeni. Zarade se isplaćuju samo iz sponzorstava, kotizacija, grantova i članarina, nikada iz donacija prikupljenih za korisnike.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Two boxes are marked as paid: the Executive Director and the staff. Everyone else is unpaid. Pay comes only from sponsorship, entry fees, grants and membership fees, never from donations collected for beneficiaries.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Skupština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The Assembly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Skupština je najviši organ. Čine je svi članovi, svaki sa jednim glasom, i sastaje se najmanje jednom godišnje. Član koji ne može prisustvovati može dati pisano punomoćje drugom članu.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 is the highest body. It consists of all members, each with one vote, and meets at least once a year. A member who cannot attend may give a written proxy to another member.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Skupština: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Assembly:</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donosi i mijenja Statut, dvotrećinskom većinom prisutnih ili predstavljenih članova;</w:t>
            </w:r>
          </w:p>
          <w:p>
            <w:pPr>
              <w:pStyle w:val="ListParagraph"/>
              <w:numPr>
                <w:ilvl w:val="0"/>
                <w:numId w:val="2"/>
              </w:numPr>
              <w:spacing w:after="40"/>
            </w:pPr>
            <w:r>
              <w:rPr>
                <w:rFonts w:ascii="Arial" w:cs="Arial" w:eastAsia="Arial" w:hAnsi="Arial"/>
                <w:sz w:val="18"/>
                <w:szCs w:val="18"/>
              </w:rPr>
              <w:t xml:space="preserve">usvaja godišnji plan, budžet, finansijski izvještaj i izvještaj o radu;</w:t>
            </w:r>
          </w:p>
          <w:p>
            <w:pPr>
              <w:pStyle w:val="ListParagraph"/>
              <w:numPr>
                <w:ilvl w:val="0"/>
                <w:numId w:val="2"/>
              </w:numPr>
              <w:spacing w:after="40"/>
            </w:pPr>
            <w:r>
              <w:rPr>
                <w:rFonts w:ascii="Arial" w:cs="Arial" w:eastAsia="Arial" w:hAnsi="Arial"/>
                <w:sz w:val="18"/>
                <w:szCs w:val="18"/>
              </w:rPr>
              <w:t xml:space="preserve">bira i razrješava članove Upravnog odbora i Komisije za dodjelu sredstava, i Izvršnog direktora;</w:t>
            </w:r>
          </w:p>
          <w:p>
            <w:pPr>
              <w:pStyle w:val="ListParagraph"/>
              <w:numPr>
                <w:ilvl w:val="0"/>
                <w:numId w:val="2"/>
              </w:numPr>
              <w:spacing w:after="40"/>
            </w:pPr>
            <w:r>
              <w:rPr>
                <w:rFonts w:ascii="Arial" w:cs="Arial" w:eastAsia="Arial" w:hAnsi="Arial"/>
                <w:sz w:val="18"/>
                <w:szCs w:val="18"/>
              </w:rPr>
              <w:t xml:space="preserve">prima i isključuje članove.</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adopts and amends the Statute, by a two-thirds majority of the members present or represented;</w:t>
            </w:r>
          </w:p>
          <w:p>
            <w:pPr>
              <w:pStyle w:val="ListParagraph"/>
              <w:numPr>
                <w:ilvl w:val="0"/>
                <w:numId w:val="2"/>
              </w:numPr>
              <w:spacing w:after="40"/>
            </w:pPr>
            <w:r>
              <w:rPr>
                <w:rFonts w:ascii="Arial" w:cs="Arial" w:eastAsia="Arial" w:hAnsi="Arial"/>
                <w:sz w:val="18"/>
                <w:szCs w:val="18"/>
              </w:rPr>
              <w:t xml:space="preserve">adopts the annual plan, the budget, the financial report and the work report;</w:t>
            </w:r>
          </w:p>
          <w:p>
            <w:pPr>
              <w:pStyle w:val="ListParagraph"/>
              <w:numPr>
                <w:ilvl w:val="0"/>
                <w:numId w:val="2"/>
              </w:numPr>
              <w:spacing w:after="40"/>
            </w:pPr>
            <w:r>
              <w:rPr>
                <w:rFonts w:ascii="Arial" w:cs="Arial" w:eastAsia="Arial" w:hAnsi="Arial"/>
                <w:sz w:val="18"/>
                <w:szCs w:val="18"/>
              </w:rPr>
              <w:t xml:space="preserve">elects and dismisses the members of the Board and of the Grants Committee, and the Executive Director;</w:t>
            </w:r>
          </w:p>
          <w:p>
            <w:pPr>
              <w:pStyle w:val="ListParagraph"/>
              <w:numPr>
                <w:ilvl w:val="0"/>
                <w:numId w:val="2"/>
              </w:numPr>
              <w:spacing w:after="40"/>
            </w:pPr>
            <w:r>
              <w:rPr>
                <w:rFonts w:ascii="Arial" w:cs="Arial" w:eastAsia="Arial" w:hAnsi="Arial"/>
                <w:sz w:val="18"/>
                <w:szCs w:val="18"/>
              </w:rPr>
              <w:t xml:space="preserve">admits and expels members.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Upravni odbor</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The Board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upravlja između dvije sjednice Skupštine. Ima pet do sedam članova koje Skupština bira na četiri godine, sa nezavisnom većinom: ljudima koji nijesu zaposleni ni plaćeni u udruženju i nijesu bliski srodnici zaposlenog. Upravni odbor bira svog predsjednika, a Izvršni direktor ne može biti taj predsjednik.</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governs between two Assemblies. It has five to seven members elected by the Assembly for four years, with an independent majority: people not employed or paid by the association and not close relatives of an employee. The Board elects its own President, and the Executive Director cannot be that President.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utvrđuje strategiju i priprema godišnji plan i budžet za Skupštinu;</w:t>
            </w:r>
          </w:p>
          <w:p>
            <w:pPr>
              <w:pStyle w:val="ListParagraph"/>
              <w:numPr>
                <w:ilvl w:val="0"/>
                <w:numId w:val="2"/>
              </w:numPr>
              <w:spacing w:after="40"/>
            </w:pPr>
            <w:r>
              <w:rPr>
                <w:rFonts w:ascii="Arial" w:cs="Arial" w:eastAsia="Arial" w:hAnsi="Arial"/>
                <w:sz w:val="18"/>
                <w:szCs w:val="18"/>
              </w:rPr>
              <w:t xml:space="preserve">nadzire budžet i pregleda novac najmanje tromjesečno;</w:t>
            </w:r>
          </w:p>
          <w:p>
            <w:pPr>
              <w:pStyle w:val="ListParagraph"/>
              <w:numPr>
                <w:ilvl w:val="0"/>
                <w:numId w:val="2"/>
              </w:numPr>
              <w:spacing w:after="40"/>
            </w:pPr>
            <w:r>
              <w:rPr>
                <w:rFonts w:ascii="Arial" w:cs="Arial" w:eastAsia="Arial" w:hAnsi="Arial"/>
                <w:sz w:val="18"/>
                <w:szCs w:val="18"/>
              </w:rPr>
              <w:t xml:space="preserve">donosi akt o sistematizaciji, zapošljava i otpušta osoblje i utvrđuje zarade, pri čemu o zaradama glasaju samo nezavisni članovi;</w:t>
            </w:r>
          </w:p>
          <w:p>
            <w:pPr>
              <w:pStyle w:val="ListParagraph"/>
              <w:numPr>
                <w:ilvl w:val="0"/>
                <w:numId w:val="2"/>
              </w:numPr>
              <w:spacing w:after="40"/>
            </w:pPr>
            <w:r>
              <w:rPr>
                <w:rFonts w:ascii="Arial" w:cs="Arial" w:eastAsia="Arial" w:hAnsi="Arial"/>
                <w:sz w:val="18"/>
                <w:szCs w:val="18"/>
              </w:rPr>
              <w:t xml:space="preserve">usvaja i objavljuje kriterijume za dodjelu sredstava koje predlaže Komisija;</w:t>
            </w:r>
          </w:p>
          <w:p>
            <w:pPr>
              <w:pStyle w:val="ListParagraph"/>
              <w:numPr>
                <w:ilvl w:val="0"/>
                <w:numId w:val="2"/>
              </w:numPr>
              <w:spacing w:after="40"/>
            </w:pPr>
            <w:r>
              <w:rPr>
                <w:rFonts w:ascii="Arial" w:cs="Arial" w:eastAsia="Arial" w:hAnsi="Arial"/>
                <w:sz w:val="18"/>
                <w:szCs w:val="18"/>
              </w:rPr>
              <w:t xml:space="preserve">osniva i ukida ogranke, imenuje njihove funkcionere i donosi Pravila o ograncima i interne politike.</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sets strategy and prepares the annual plan and budget for the Assembly;</w:t>
            </w:r>
          </w:p>
          <w:p>
            <w:pPr>
              <w:pStyle w:val="ListParagraph"/>
              <w:numPr>
                <w:ilvl w:val="0"/>
                <w:numId w:val="2"/>
              </w:numPr>
              <w:spacing w:after="40"/>
            </w:pPr>
            <w:r>
              <w:rPr>
                <w:rFonts w:ascii="Arial" w:cs="Arial" w:eastAsia="Arial" w:hAnsi="Arial"/>
                <w:sz w:val="18"/>
                <w:szCs w:val="18"/>
              </w:rPr>
              <w:t xml:space="preserve">supervises the budget and reviews the money at least quarterly;</w:t>
            </w:r>
          </w:p>
          <w:p>
            <w:pPr>
              <w:pStyle w:val="ListParagraph"/>
              <w:numPr>
                <w:ilvl w:val="0"/>
                <w:numId w:val="2"/>
              </w:numPr>
              <w:spacing w:after="40"/>
            </w:pPr>
            <w:r>
              <w:rPr>
                <w:rFonts w:ascii="Arial" w:cs="Arial" w:eastAsia="Arial" w:hAnsi="Arial"/>
                <w:sz w:val="18"/>
                <w:szCs w:val="18"/>
              </w:rPr>
              <w:t xml:space="preserve">adopts the staffing act, hires and dismisses staff and sets pay, where only independent members vote on pay;</w:t>
            </w:r>
          </w:p>
          <w:p>
            <w:pPr>
              <w:pStyle w:val="ListParagraph"/>
              <w:numPr>
                <w:ilvl w:val="0"/>
                <w:numId w:val="2"/>
              </w:numPr>
              <w:spacing w:after="40"/>
            </w:pPr>
            <w:r>
              <w:rPr>
                <w:rFonts w:ascii="Arial" w:cs="Arial" w:eastAsia="Arial" w:hAnsi="Arial"/>
                <w:sz w:val="18"/>
                <w:szCs w:val="18"/>
              </w:rPr>
              <w:t xml:space="preserve">adopts and publishes the grant criteria the Grants Committee proposes;</w:t>
            </w:r>
          </w:p>
          <w:p>
            <w:pPr>
              <w:pStyle w:val="ListParagraph"/>
              <w:numPr>
                <w:ilvl w:val="0"/>
                <w:numId w:val="2"/>
              </w:numPr>
              <w:spacing w:after="40"/>
            </w:pPr>
            <w:r>
              <w:rPr>
                <w:rFonts w:ascii="Arial" w:cs="Arial" w:eastAsia="Arial" w:hAnsi="Arial"/>
                <w:sz w:val="18"/>
                <w:szCs w:val="18"/>
              </w:rPr>
              <w:t xml:space="preserve">founds and dissolves chapters, appoints their officers and adopts the Chapter Rules and the internal policies.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nikada ne odlučuje o tome koji korisnik dobija sredstva.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never decides which beneficiary receives funds.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Komisija za dodjelu sredstava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The Grants Committee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za dodjelu sredstava je jedini organ koji odlučuje ko dobija novac prikupljen za korisnike, koliko i za šta, prema kriterijumima objavljenim prije primjene. Ima tri do pet članova koje Skupština bira na predlog Upravnog odbora, na mandat od tri godine, pri čemu se trećina mjesta mijenja svake godine.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Grants Committee is the only body that decides who receives the money collected for beneficiaries, how much and for what, against criteria published before they are applied. It has three to five members elected by the Assembly on the Board's proposal, for three-year terms with one third of the seats renewed every year.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Osnivači, Izvršni direktor i zaposleni ne mogu biti njeni članovi. Njene odluke su konačne; Upravni odbor može odluku vratiti jednom, uz pisano obrazloženje, samo ako je donesena suprotno objavljenim kriterijumima ili Statutu.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Founders, the Executive Director and employees cannot sit on it. Its decisions are final; the Board may send a decision back once, with written reasons, only if it breached the published criteria or the Statute.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Izvršni direktor</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The Executive Director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je lice ovlašćeno za zastupanje udruženja. Direktor potpisuje ugovore, odgovoran je za zakonitost rada, vodi događaje, ogranke, partnerstva i osoblje, sprovodi odluke Upravnog odbora i Komisije i odgovara Skupštini i Upravnom odboru. Direktor nikada ne odlučuje o tome koji korisnik dobija sredstva.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is the person authorised to represent the association. The Director signs contracts, is responsible for the legality of the work, runs events, chapters, partnerships and staff, implements the decisions of the Board and the Grants Committee, and reports to the Assembly and the Board. The Director never decides which beneficiary receives funds.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Prvi Izvršni direktor je osnivač Santamorea, [[PLACEHOLDER: ime osnivača kojeg bira osnivačka skupština]], kojeg bira osnivačka skupština. Prema izmjenama predloženim u odjeljku 6 dopuna statuta mandat traje pet godina, sa ponovnim izborom bez ograničenja, a prijevremeno razrješenje moguće je samo iz razloga navedenog u Statutu, dvotrećinskom većinom svih članova. Dok Skupština ne usvoji te izmjene, primjenjuje se Statut kakav je podnesen.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first Executive Director is the founder of Santamore, [[PLACEHOLDER: name of the founder elected by the founding assembly]], elected by the founding assembly. Under the amendments proposed in section 6 of the statute additions the term is five years, renewable without limit, and early dismissal is possible only for a reason stated in the Statute, by a two-thirds majority of all members. Until the Assembly adopts those amendments, the Statute as filed applies.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Izvršni direktor odlučuje o svakom pitanju koje zakon, Statut ili odluka Skupštine ne stavlja u nadležnost drugog organa, u okviru usvojenog budžeta i ograničenja potrošnje koja utvrdi Upravni odbor.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Executive Director decides every matter that the law, the Statute or a decision of the Assembly does not reserve to another body, within the adopted budget and the spending limits the Board sets.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Ogranci, timovi i osoblje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Chapters, teams and staff</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Ogranak je Santamore u jednom gradu: unutrašnji tim, ne pravno lice, sa rukovodiocem ogranka, blagajnikom ogranka i koordinatorom volontera koje Upravni odbor imenuje na dvije godine. Rukovodilac ogranka vodi grad, izvještava Izvršnog direktora najmanje tromjesečno i ne može potpisivati ugovore bez pisanog ovlašćenja direktora.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chapter is Santamore in one town: an internal team, not a legal person, with a chapter lead, a chapter treasurer and a volunteer coordinator appointed by the Board for two years. The chapter lead runs the town, reports to the Executive Director at least quarterly and cannot sign contracts without the Director's written authorisation.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tima vodi jednu funkciju tokom cijele godine: volontere, logistiku, komunikacije, fotografiju ili partnerstva. Osoblje zapošljava Upravni odbor prema aktu o sistematizaciji. Rukovodioci timova, funkcioneri ogranaka i osoblje odgovaraju Izvršnom direktoru.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team lead owns one function across the year: volunteers, logistics, communications, photography or partnerships. Staff are employed by the Board under the staffing act. Team leads, chapter officers and staff report to the Executive Director.</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KO O ČEMU ODLUČUJE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WHO DECIDES WHAT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Nadležnosti za odlučivanje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Decision rights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Tabela navodi svaku odluku koja se ponavlja i organ koji je donosi. „Odlučuje“ znači posljednju riječ; „predlaže“ i „priprema“ znače rad prije 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table lists every recurring decision and the body that owns it. "Decides" means the final word; "proposes" and "prepares" mean the work before it.</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950"/>
              <w:gridCol w:w="950"/>
              <w:gridCol w:w="950"/>
              <w:gridCol w:w="950"/>
              <w:gridCol w:w="950"/>
            </w:tblGrid>
            <w:tr>
              <w:trPr>
                <w:tblHeader/>
              </w:trPr>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Odluka</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Skupština</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Upravni odbor</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Komisija</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Izvršni direktor</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Statut i njegove izmjene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Odlučuje, dvotrećinski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Predlaže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Predlaže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Godišnji plan, budžet i izvještaji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Usvaja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Priprema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Izrađuje nacrt</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Izbor Upravnog odbora i Komisije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Bira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Predlaže Komisiju</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Izbor i razrješenje Izvršnog direktora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Odlučuje; dvije trećine svih članova za razrješenje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Predlaže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Koji korisnik dobija sredstva, koliko, za šta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Može jednom vratiti odluku</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Odlučuje, konačno</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Sprovodi i objavljuje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Kriterijumi za dodjelu</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Usvaja i objavljuje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Predlaže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Akt o sistematizaciji, zapošljavanje, otpuštanje i zarade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Odlučuje; o zaradama nezavisni članovi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Predlaže, vodi svakodnevno</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Ugovori, događaji, partnerstva, potrošnja u okviru limita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Utvrđuje limite potrošnje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Odlučuje i potpisuje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Osnivanje i ukidanje ogranaka, njihovi funkcioneri, Pravila o ograncima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Odlučuje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Predlaže i rukovodi</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Prijem i isključenje članova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Odlučuje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Interne politike: sukob interesa, zaštita djece, ogranci</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Usvaja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Sprovodi</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Sve što gore nije navedeno</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Odlučuje u okviru budžeta</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950"/>
              <w:gridCol w:w="950"/>
              <w:gridCol w:w="950"/>
              <w:gridCol w:w="950"/>
              <w:gridCol w:w="950"/>
            </w:tblGrid>
            <w:tr>
              <w:trPr>
                <w:tblHeader/>
              </w:trPr>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Decision</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Assembly</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Board</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Grants Committee</w:t>
                  </w:r>
                </w:p>
              </w:tc>
              <w:tc>
                <w:tcPr>
                  <w:tcW w:type="dxa" w:w="950"/>
                  <w:shd w:fill="E3EBED" w:color="auto" w:val="clear"/>
                  <w:tcMar>
                    <w:top w:type="dxa" w:w="40"/>
                    <w:left w:type="dxa" w:w="60"/>
                    <w:bottom w:type="dxa" w:w="40"/>
                    <w:right w:type="dxa" w:w="60"/>
                  </w:tcMar>
                </w:tcPr>
                <w:p>
                  <w:r>
                    <w:rPr>
                      <w:rFonts w:ascii="Arial" w:cs="Arial" w:eastAsia="Arial" w:hAnsi="Arial"/>
                      <w:b/>
                      <w:bCs/>
                      <w:sz w:val="16"/>
                      <w:szCs w:val="16"/>
                    </w:rPr>
                    <w:t xml:space="preserve">Executive Director</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The Statute and its amendments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Decides, two-thirds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Proposes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Proposes</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Annual plan, budget and reports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Adopts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Prepares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Drafts</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Election of the Board and the Grants Committee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Elects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Proposes the Committee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Election and dismissal of the Executive Director</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Decides; two-thirds of all members to dismiss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Proposes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Which beneficiary receives funds, how much, for what</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May return a decision once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Decides, final</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Implements and publishes</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Grant criteria</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Adopts and publishes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Proposes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Staffing act, hiring, dismissal and pay</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Decides; independent members on pay</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Proposes, runs day to day</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Contracts, events, partnerships, spending within limits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Sets the spending limits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Decides and signs</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Founding and dissolving chapters, their officers, the Chapter Rules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Decides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Proposes and directs</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Admission and expulsion of members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Decides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Internal policies: conflict of interest, safeguarding, chapters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Adopts</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Implements</w:t>
                  </w:r>
                </w:p>
              </w:tc>
            </w:tr>
            <w:tr>
              <w:trPr>
                <w:tblHeader w:val="off"/>
              </w:trPr>
              <w:tc>
                <w:tcPr>
                  <w:tcW w:type="dxa" w:w="950"/>
                  <w:tcMar>
                    <w:top w:type="dxa" w:w="40"/>
                    <w:left w:type="dxa" w:w="60"/>
                    <w:bottom w:type="dxa" w:w="40"/>
                    <w:right w:type="dxa" w:w="60"/>
                  </w:tcMar>
                </w:tcPr>
                <w:p>
                  <w:r>
                    <w:rPr>
                      <w:rFonts w:ascii="Arial" w:cs="Arial" w:eastAsia="Arial" w:hAnsi="Arial"/>
                      <w:b w:val="false"/>
                      <w:bCs w:val="false"/>
                      <w:sz w:val="16"/>
                      <w:szCs w:val="16"/>
                    </w:rPr>
                    <w:t xml:space="preserve">Everything not listed above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w:t>
                  </w:r>
                </w:p>
              </w:tc>
              <w:tc>
                <w:tcPr>
                  <w:tcW w:type="dxa" w:w="950"/>
                  <w:tcMar>
                    <w:top w:type="dxa" w:w="40"/>
                    <w:left w:type="dxa" w:w="60"/>
                    <w:bottom w:type="dxa" w:w="40"/>
                    <w:right w:type="dxa" w:w="60"/>
                  </w:tcMar>
                </w:tcPr>
                <w:p>
                  <w:r>
                    <w:rPr>
                      <w:rFonts w:ascii="Arial" w:cs="Arial" w:eastAsia="Arial" w:hAnsi="Arial"/>
                      <w:b w:val="false"/>
                      <w:bCs w:val="false"/>
                      <w:sz w:val="16"/>
                      <w:szCs w:val="16"/>
                    </w:rPr>
                    <w:t xml:space="preserve">Decides within the budget</w:t>
                  </w:r>
                </w:p>
              </w:tc>
            </w:tr>
          </w:tbl>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Hijerarhija i nadjačavanje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Hierarchy and override</w:t>
            </w:r>
          </w:p>
        </w:tc>
      </w:tr>
      <w:tr>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sz w:val="18"/>
                <w:szCs w:val="18"/>
              </w:rPr>
              <w:t xml:space="preserve">Zakon i Statut stoje iznad svake odluke svakog organa.</w:t>
            </w:r>
          </w:p>
          <w:p>
            <w:pPr>
              <w:pStyle w:val="ListParagraph"/>
              <w:numPr>
                <w:ilvl w:val="0"/>
                <w:numId w:val="3"/>
              </w:numPr>
              <w:spacing w:after="40"/>
            </w:pPr>
            <w:r>
              <w:rPr>
                <w:rFonts w:ascii="Arial" w:cs="Arial" w:eastAsia="Arial" w:hAnsi="Arial"/>
                <w:sz w:val="18"/>
                <w:szCs w:val="18"/>
              </w:rPr>
              <w:t xml:space="preserve">Odluka Skupštine obavezuje Upravni odbor, Izvršnog direktora i sve u timu.</w:t>
            </w:r>
          </w:p>
          <w:p>
            <w:pPr>
              <w:pStyle w:val="ListParagraph"/>
              <w:numPr>
                <w:ilvl w:val="0"/>
                <w:numId w:val="3"/>
              </w:numPr>
              <w:spacing w:after="40"/>
            </w:pPr>
            <w:r>
              <w:rPr>
                <w:rFonts w:ascii="Arial" w:cs="Arial" w:eastAsia="Arial" w:hAnsi="Arial"/>
                <w:sz w:val="18"/>
                <w:szCs w:val="18"/>
              </w:rPr>
              <w:t xml:space="preserve">Odluka Upravnog odbora obavezuje Izvršnog direktora i tim, osim gdje Statut pitanje stavlja u nadležnost Komisije ili Izvršnog direktora.</w:t>
            </w:r>
          </w:p>
          <w:p>
            <w:pPr>
              <w:pStyle w:val="ListParagraph"/>
              <w:numPr>
                <w:ilvl w:val="0"/>
                <w:numId w:val="3"/>
              </w:numPr>
              <w:spacing w:after="40"/>
            </w:pPr>
            <w:r>
              <w:rPr>
                <w:rFonts w:ascii="Arial" w:cs="Arial" w:eastAsia="Arial" w:hAnsi="Arial"/>
                <w:sz w:val="18"/>
                <w:szCs w:val="18"/>
              </w:rPr>
              <w:t xml:space="preserve">Odluka Komisije o dodjeli je konačna; Upravni odbor može je jednom vratiti uz pisano obrazloženje, a druga odluka Komisije ostaje.</w:t>
            </w:r>
          </w:p>
          <w:p>
            <w:pPr>
              <w:pStyle w:val="ListParagraph"/>
              <w:numPr>
                <w:ilvl w:val="0"/>
                <w:numId w:val="3"/>
              </w:numPr>
              <w:spacing w:after="40"/>
            </w:pPr>
            <w:r>
              <w:rPr>
                <w:rFonts w:ascii="Arial" w:cs="Arial" w:eastAsia="Arial" w:hAnsi="Arial"/>
                <w:sz w:val="18"/>
                <w:szCs w:val="18"/>
              </w:rPr>
              <w:t xml:space="preserve">Odluka Izvršnog direktora obavezuje rukovodioce timova, timove ogranaka, osoblje i volontere.</w:t>
            </w:r>
          </w:p>
        </w:tc>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The law and the Statute stand above every decision of every body.</w:t>
            </w:r>
          </w:p>
          <w:p>
            <w:pPr>
              <w:pStyle w:val="ListParagraph"/>
              <w:numPr>
                <w:ilvl w:val="0"/>
                <w:numId w:val="4"/>
              </w:numPr>
              <w:spacing w:after="40"/>
            </w:pPr>
            <w:r>
              <w:rPr>
                <w:rFonts w:ascii="Arial" w:cs="Arial" w:eastAsia="Arial" w:hAnsi="Arial"/>
                <w:sz w:val="18"/>
                <w:szCs w:val="18"/>
              </w:rPr>
              <w:t xml:space="preserve">A decision of the Assembly binds the Board, the Executive Director and everyone on the team.</w:t>
            </w:r>
          </w:p>
          <w:p>
            <w:pPr>
              <w:pStyle w:val="ListParagraph"/>
              <w:numPr>
                <w:ilvl w:val="0"/>
                <w:numId w:val="4"/>
              </w:numPr>
              <w:spacing w:after="40"/>
            </w:pPr>
            <w:r>
              <w:rPr>
                <w:rFonts w:ascii="Arial" w:cs="Arial" w:eastAsia="Arial" w:hAnsi="Arial"/>
                <w:sz w:val="18"/>
                <w:szCs w:val="18"/>
              </w:rPr>
              <w:t xml:space="preserve">A decision of the Board binds the Executive Director and the team, except where the Statute reserves the matter to the Grants Committee or to the Executive Director.</w:t>
            </w:r>
          </w:p>
          <w:p>
            <w:pPr>
              <w:pStyle w:val="ListParagraph"/>
              <w:numPr>
                <w:ilvl w:val="0"/>
                <w:numId w:val="4"/>
              </w:numPr>
              <w:spacing w:after="40"/>
            </w:pPr>
            <w:r>
              <w:rPr>
                <w:rFonts w:ascii="Arial" w:cs="Arial" w:eastAsia="Arial" w:hAnsi="Arial"/>
                <w:sz w:val="18"/>
                <w:szCs w:val="18"/>
              </w:rPr>
              <w:t xml:space="preserve">A decision of the Grants Committee on an allocation is final; the Board may return it once with written reasons, and the Committee's second decision stands.</w:t>
            </w:r>
          </w:p>
          <w:p>
            <w:pPr>
              <w:pStyle w:val="ListParagraph"/>
              <w:numPr>
                <w:ilvl w:val="0"/>
                <w:numId w:val="4"/>
              </w:numPr>
              <w:spacing w:after="40"/>
            </w:pPr>
            <w:r>
              <w:rPr>
                <w:rFonts w:ascii="Arial" w:cs="Arial" w:eastAsia="Arial" w:hAnsi="Arial"/>
                <w:sz w:val="18"/>
                <w:szCs w:val="18"/>
              </w:rPr>
              <w:t xml:space="preserve">A decision of the Executive Director binds the team leads, the chapter teams, the staff and the volunteers.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Kada je broj glasova jednak</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When the votes are tied</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U Skupštini se o neriješenom pitanju ponovo glasa na istoj sjednici poslije dodatne rasprave; ako je ponovo neriješeno, odlučuje glas Predsjednika Skupštine.</w:t>
            </w:r>
          </w:p>
          <w:p>
            <w:pPr>
              <w:pStyle w:val="ListParagraph"/>
              <w:numPr>
                <w:ilvl w:val="0"/>
                <w:numId w:val="2"/>
              </w:numPr>
              <w:spacing w:after="40"/>
            </w:pPr>
            <w:r>
              <w:rPr>
                <w:rFonts w:ascii="Arial" w:cs="Arial" w:eastAsia="Arial" w:hAnsi="Arial"/>
                <w:sz w:val="18"/>
                <w:szCs w:val="18"/>
              </w:rPr>
              <w:t xml:space="preserve">U Upravnom odboru odlučuje glas predsjednika Upravnog odbora, osim o nečijoj zaradi, o predlogu za razrješenje Izvršnog direktora ili člana organa i o izvještaju direktora, gdje neriješeno znači da predlog nije usvojen.</w:t>
            </w:r>
          </w:p>
          <w:p>
            <w:pPr>
              <w:pStyle w:val="ListParagraph"/>
              <w:numPr>
                <w:ilvl w:val="0"/>
                <w:numId w:val="2"/>
              </w:numPr>
              <w:spacing w:after="40"/>
            </w:pPr>
            <w:r>
              <w:rPr>
                <w:rFonts w:ascii="Arial" w:cs="Arial" w:eastAsia="Arial" w:hAnsi="Arial"/>
                <w:sz w:val="18"/>
                <w:szCs w:val="18"/>
              </w:rPr>
              <w:t xml:space="preserve">Ako Upravni odbor ne odluči o operativnom pitanju koje je Izvršni direktor podnio, zbog nedostatka kvoruma na dvije uzastopne sjednice ili jednakog broja glasova, Izvršni direktor može postupiti u okviru usvojenog budžeta i izvještava na narednoj sjednici Upravnog odbora.</w:t>
            </w:r>
          </w:p>
          <w:p>
            <w:pPr>
              <w:pStyle w:val="ListParagraph"/>
              <w:numPr>
                <w:ilvl w:val="0"/>
                <w:numId w:val="2"/>
              </w:numPr>
              <w:spacing w:after="40"/>
            </w:pPr>
            <w:r>
              <w:rPr>
                <w:rFonts w:ascii="Arial" w:cs="Arial" w:eastAsia="Arial" w:hAnsi="Arial"/>
                <w:sz w:val="18"/>
                <w:szCs w:val="18"/>
              </w:rPr>
              <w:t xml:space="preserve">U Komisiji je za odluku potrebna većina svih članova, pa neriješeno znači da dodjele nema; prijava se ponovo razmatra na narednoj sjednici sa dodatnim podacima koje Komisija zatraži.</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In the Assembly, a tied vote is put to a second vote at the same session after further discussion; if it is tied again, the vote of the President of the Assembly decides.</w:t>
            </w:r>
          </w:p>
          <w:p>
            <w:pPr>
              <w:pStyle w:val="ListParagraph"/>
              <w:numPr>
                <w:ilvl w:val="0"/>
                <w:numId w:val="2"/>
              </w:numPr>
              <w:spacing w:after="40"/>
            </w:pPr>
            <w:r>
              <w:rPr>
                <w:rFonts w:ascii="Arial" w:cs="Arial" w:eastAsia="Arial" w:hAnsi="Arial"/>
                <w:sz w:val="18"/>
                <w:szCs w:val="18"/>
              </w:rPr>
              <w:t xml:space="preserve">In the Board, the vote of the President of the Board decides, except on anyone's pay, on a proposal to dismiss the Executive Director or a member of a body, and on the Director's report, where a tie means the proposal is not adopted.</w:t>
            </w:r>
          </w:p>
          <w:p>
            <w:pPr>
              <w:pStyle w:val="ListParagraph"/>
              <w:numPr>
                <w:ilvl w:val="0"/>
                <w:numId w:val="2"/>
              </w:numPr>
              <w:spacing w:after="40"/>
            </w:pPr>
            <w:r>
              <w:rPr>
                <w:rFonts w:ascii="Arial" w:cs="Arial" w:eastAsia="Arial" w:hAnsi="Arial"/>
                <w:sz w:val="18"/>
                <w:szCs w:val="18"/>
              </w:rPr>
              <w:t xml:space="preserve">Where the Board does not decide on an operational matter the Executive Director submitted, because it lacked a quorum at two consecutive sessions or the vote was tied, the Executive Director may act within the adopted budget and reports at the Board's next session.</w:t>
            </w:r>
          </w:p>
          <w:p>
            <w:pPr>
              <w:pStyle w:val="ListParagraph"/>
              <w:numPr>
                <w:ilvl w:val="0"/>
                <w:numId w:val="2"/>
              </w:numPr>
              <w:spacing w:after="40"/>
            </w:pPr>
            <w:r>
              <w:rPr>
                <w:rFonts w:ascii="Arial" w:cs="Arial" w:eastAsia="Arial" w:hAnsi="Arial"/>
                <w:sz w:val="18"/>
                <w:szCs w:val="18"/>
              </w:rPr>
              <w:t xml:space="preserve">In the Grants Committee a decision needs a majority of all members, so a tie means no allocation; the application is re-examined at the next sitting with the additional information the Committee asks for.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 pravila stupaju na snagu kada Skupština usvoji izmjene iz odjeljka 6 dopuna statuta. Do tada se primjenjuje Statut kakav je podnesen, po kojem neriješeno glasanje znači da predlog nije usvojen.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rules take effect when the Assembly adopts the amendments in section 6 of the statute additions. Until then the Statute as filed applies, under which a tied vote means the proposal is not adopted.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ULOGE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ROLES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Osnivači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Founders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Osnivači su lica koja su potpisala odluku o osnivanju i Statut. Kada je udruženje registrovano, osnivač je član sa jednim glasom, kao i svaki kasnije primljeni član. Osnivač ne može biti član Komisije za dodjelu sredstava. Prema predloženim izmjenama članstvo osnivača može prestati samo njegovim istupanjem ili dvotrećinskom većinom svih članova.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founders are the people who signed the founding decision and the Statute. Once the association is registered, a founder is a member with one vote, like every member admitted later. A founder cannot sit on the Grants Committee. Under the proposed amendments a founder's membership can end only by the founder's own withdrawal or by a two-thirds majority of all members.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Ono što osnivači nose jeste priča, kultura i dužnost da pronađu prvi nezavisni Upravni odbor i Komisiju. Osnivač koji je pokrenuo Santamore vodi ga kao Izvršni direktor; ostali osnivači preuzimaju uloge u nastavku kao i svako drugi.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What the founders carry is the story, the culture and the duty to recruit the first independent Board and Grants Committee. The founder who started Santamore leads it as Executive Director; the other founders take the roles below like anyone else.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Uloge u timu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Roles on the team</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188"/>
              <w:gridCol w:w="1188"/>
              <w:gridCol w:w="1188"/>
              <w:gridCol w:w="1188"/>
            </w:tblGrid>
            <w:tr>
              <w:trPr>
                <w:tblHeader/>
              </w:trPr>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Uloga</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Vrijeme</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Šta podrazumijeva</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Plaćeno</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Volonter na događaju</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1 dan</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Redar na stazi, prijavni pult, stanica za vodu, fotograf, podjela odijela. Brifing sedmicu prije.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Ne</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Prikupljač</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Oko 3 sata ukupno</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Stranica, tri rečenice, petnaest zamoljenih ljudi.</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Ne</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Veza sa klubom</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Nekoliko poziva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Upoznaje nas sa klubom, školom ili firmom i ostaje u prepisci.</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Ne</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Rukovodilac tima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4–6 sati mjesečno</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Vodi jednu funkciju tokom godine sa spiskom zadataka i malom grupom.</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Ne</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Rukovodilac ogranka, blagajnik, koordinator volontera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Oko 1 dan mjesečno</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Vodi Santamore u jednom gradu uz „Ogranak u kutiji“; jedan javni događaj godišnje.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Ne; rukovodilac dijelom plaćen kad ogranak sazri</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Član Upravnog odbora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4 sjednice godišnje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Strategija, budžet, zapošljavanje i odluke o zaradama.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Ne</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Član Komisije za dodjelu sredstava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4 sjednice godišnje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Odlučuje ko dobija sredstva prema objavljenim kriterijumima.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Ne</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Izvršni direktor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Puno radno vrijeme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Zastupa udruženje, prodaje firmama, vodi događaje i tim.</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Da, kada Operativni fond postoji</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Osoblje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Po ugovoru</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Događaji i ogranci, partnerstva, komunikacije, tim redom zapošljavanja.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Da, iz sponzorstava i grantova</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188"/>
              <w:gridCol w:w="1188"/>
              <w:gridCol w:w="1188"/>
              <w:gridCol w:w="1188"/>
            </w:tblGrid>
            <w:tr>
              <w:trPr>
                <w:tblHeader/>
              </w:trPr>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Role</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Time</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What it involves</w:t>
                  </w:r>
                </w:p>
              </w:tc>
              <w:tc>
                <w:tcPr>
                  <w:tcW w:type="dxa" w:w="1188"/>
                  <w:shd w:fill="E3EBED" w:color="auto" w:val="clear"/>
                  <w:tcMar>
                    <w:top w:type="dxa" w:w="40"/>
                    <w:left w:type="dxa" w:w="60"/>
                    <w:bottom w:type="dxa" w:w="40"/>
                    <w:right w:type="dxa" w:w="60"/>
                  </w:tcMar>
                </w:tcPr>
                <w:p>
                  <w:r>
                    <w:rPr>
                      <w:rFonts w:ascii="Arial" w:cs="Arial" w:eastAsia="Arial" w:hAnsi="Arial"/>
                      <w:b/>
                      <w:bCs/>
                      <w:sz w:val="16"/>
                      <w:szCs w:val="16"/>
                    </w:rPr>
                    <w:t xml:space="preserve">Paid</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Event-day volunteer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1 day</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Course marshal, registration desk, water station, photographer, suit distribution. Briefed the week before.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No</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Champion fundraiser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About 3 hours in total</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A page, three sentences, fifteen people asked.</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No</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Club connector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A few calls</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Introduces us to a club, school or company and stays on the thread.</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No</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Team lead</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4–6 hours a month</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Owns one function across the year with a checklist and a small group.</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No</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Chapter lead, treasurer, volunteer coordinator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About 1 day a month</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Runs Santamore in one town with the Chapter in a Box; one public event a year.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No; the lead part-paid as the chapter matures</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Board member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4 meetings a year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Strategy, budget, hiring and pay decisions.</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No</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Grants Committee member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4 sittings a year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Decides who receives funds against the published criteria.</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No</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Executive Director</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Full time</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Represents the association, sells to businesses, runs events and the team.</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Yes, once the Operations Fund exists</w:t>
                  </w:r>
                </w:p>
              </w:tc>
            </w:tr>
            <w:tr>
              <w:trPr>
                <w:tblHeader w:val="off"/>
              </w:trPr>
              <w:tc>
                <w:tcPr>
                  <w:tcW w:type="dxa" w:w="1188"/>
                  <w:tcMar>
                    <w:top w:type="dxa" w:w="40"/>
                    <w:left w:type="dxa" w:w="60"/>
                    <w:bottom w:type="dxa" w:w="40"/>
                    <w:right w:type="dxa" w:w="60"/>
                  </w:tcMar>
                </w:tcPr>
                <w:p>
                  <w:r>
                    <w:rPr>
                      <w:rFonts w:ascii="Arial" w:cs="Arial" w:eastAsia="Arial" w:hAnsi="Arial"/>
                      <w:b w:val="false"/>
                      <w:bCs w:val="false"/>
                      <w:sz w:val="16"/>
                      <w:szCs w:val="16"/>
                    </w:rPr>
                    <w:t xml:space="preserve">Staff</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Per contract</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Events and chapters, partnerships, communications, in that order of hiring.</w:t>
                  </w:r>
                </w:p>
              </w:tc>
              <w:tc>
                <w:tcPr>
                  <w:tcW w:type="dxa" w:w="1188"/>
                  <w:tcMar>
                    <w:top w:type="dxa" w:w="40"/>
                    <w:left w:type="dxa" w:w="60"/>
                    <w:bottom w:type="dxa" w:w="40"/>
                    <w:right w:type="dxa" w:w="60"/>
                  </w:tcMar>
                </w:tcPr>
                <w:p>
                  <w:r>
                    <w:rPr>
                      <w:rFonts w:ascii="Arial" w:cs="Arial" w:eastAsia="Arial" w:hAnsi="Arial"/>
                      <w:b w:val="false"/>
                      <w:bCs w:val="false"/>
                      <w:sz w:val="16"/>
                      <w:szCs w:val="16"/>
                    </w:rPr>
                    <w:t xml:space="preserve">Yes, from sponsorship and grants</w:t>
                  </w:r>
                </w:p>
              </w:tc>
            </w:tr>
          </w:tbl>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Ko kome odgovara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Reporting lines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Izvršni direktor odgovara Skupštini i Upravnom odboru.</w:t>
            </w:r>
          </w:p>
          <w:p>
            <w:pPr>
              <w:pStyle w:val="ListParagraph"/>
              <w:numPr>
                <w:ilvl w:val="0"/>
                <w:numId w:val="2"/>
              </w:numPr>
              <w:spacing w:after="40"/>
            </w:pPr>
            <w:r>
              <w:rPr>
                <w:rFonts w:ascii="Arial" w:cs="Arial" w:eastAsia="Arial" w:hAnsi="Arial"/>
                <w:sz w:val="18"/>
                <w:szCs w:val="18"/>
              </w:rPr>
              <w:t xml:space="preserve">Komisija jednom godišnje izvještava Skupštinu i Upravni odbor, a za sadržinu svojih odluka ne odgovara nikome.</w:t>
            </w:r>
          </w:p>
          <w:p>
            <w:pPr>
              <w:pStyle w:val="ListParagraph"/>
              <w:numPr>
                <w:ilvl w:val="0"/>
                <w:numId w:val="2"/>
              </w:numPr>
              <w:spacing w:after="40"/>
            </w:pPr>
            <w:r>
              <w:rPr>
                <w:rFonts w:ascii="Arial" w:cs="Arial" w:eastAsia="Arial" w:hAnsi="Arial"/>
                <w:sz w:val="18"/>
                <w:szCs w:val="18"/>
              </w:rPr>
              <w:t xml:space="preserve">Rukovodioci timova, funkcioneri ogranaka i osoblje odgovaraju Izvršnom direktoru.</w:t>
            </w:r>
          </w:p>
          <w:p>
            <w:pPr>
              <w:pStyle w:val="ListParagraph"/>
              <w:numPr>
                <w:ilvl w:val="0"/>
                <w:numId w:val="2"/>
              </w:numPr>
              <w:spacing w:after="40"/>
            </w:pPr>
            <w:r>
              <w:rPr>
                <w:rFonts w:ascii="Arial" w:cs="Arial" w:eastAsia="Arial" w:hAnsi="Arial"/>
                <w:sz w:val="18"/>
                <w:szCs w:val="18"/>
              </w:rPr>
              <w:t xml:space="preserve">Volonteri na događaju odgovaraju rukovodiocu tima ili funkcioneru ogranka koji tog dana vodi njihovu funkciju.</w:t>
            </w:r>
          </w:p>
          <w:p>
            <w:pPr>
              <w:pStyle w:val="ListParagraph"/>
              <w:numPr>
                <w:ilvl w:val="0"/>
                <w:numId w:val="2"/>
              </w:numPr>
              <w:spacing w:after="40"/>
            </w:pPr>
            <w:r>
              <w:rPr>
                <w:rFonts w:ascii="Arial" w:cs="Arial" w:eastAsia="Arial" w:hAnsi="Arial"/>
                <w:sz w:val="18"/>
                <w:szCs w:val="18"/>
              </w:rPr>
              <w:t xml:space="preserve">Prikupljač ili veza sa klubom radi sa rukovodiocem tima za partnerstva ili komunikacije.</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The Executive Director reports to the Assembly and to the Board.</w:t>
            </w:r>
          </w:p>
          <w:p>
            <w:pPr>
              <w:pStyle w:val="ListParagraph"/>
              <w:numPr>
                <w:ilvl w:val="0"/>
                <w:numId w:val="2"/>
              </w:numPr>
              <w:spacing w:after="40"/>
            </w:pPr>
            <w:r>
              <w:rPr>
                <w:rFonts w:ascii="Arial" w:cs="Arial" w:eastAsia="Arial" w:hAnsi="Arial"/>
                <w:sz w:val="18"/>
                <w:szCs w:val="18"/>
              </w:rPr>
              <w:t xml:space="preserve">The Grants Committee reports once a year to the Assembly and the Board, and answers to no one for the content of its decisions.</w:t>
            </w:r>
          </w:p>
          <w:p>
            <w:pPr>
              <w:pStyle w:val="ListParagraph"/>
              <w:numPr>
                <w:ilvl w:val="0"/>
                <w:numId w:val="2"/>
              </w:numPr>
              <w:spacing w:after="40"/>
            </w:pPr>
            <w:r>
              <w:rPr>
                <w:rFonts w:ascii="Arial" w:cs="Arial" w:eastAsia="Arial" w:hAnsi="Arial"/>
                <w:sz w:val="18"/>
                <w:szCs w:val="18"/>
              </w:rPr>
              <w:t xml:space="preserve">Team leads, chapter officers and staff report to the Executive Director.</w:t>
            </w:r>
          </w:p>
          <w:p>
            <w:pPr>
              <w:pStyle w:val="ListParagraph"/>
              <w:numPr>
                <w:ilvl w:val="0"/>
                <w:numId w:val="2"/>
              </w:numPr>
              <w:spacing w:after="40"/>
            </w:pPr>
            <w:r>
              <w:rPr>
                <w:rFonts w:ascii="Arial" w:cs="Arial" w:eastAsia="Arial" w:hAnsi="Arial"/>
                <w:sz w:val="18"/>
                <w:szCs w:val="18"/>
              </w:rPr>
              <w:t xml:space="preserve">Event-day volunteers report to the team lead or chapter officer running their function on the day.</w:t>
            </w:r>
          </w:p>
          <w:p>
            <w:pPr>
              <w:pStyle w:val="ListParagraph"/>
              <w:numPr>
                <w:ilvl w:val="0"/>
                <w:numId w:val="2"/>
              </w:numPr>
              <w:spacing w:after="40"/>
            </w:pPr>
            <w:r>
              <w:rPr>
                <w:rFonts w:ascii="Arial" w:cs="Arial" w:eastAsia="Arial" w:hAnsi="Arial"/>
                <w:sz w:val="18"/>
                <w:szCs w:val="18"/>
              </w:rPr>
              <w:t xml:space="preserve">A fundraiser or club connector works with the partnerships or communications team lead.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Kako se preuzima uloga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How a role is taken up</w:t>
            </w:r>
          </w:p>
        </w:tc>
      </w:tr>
      <w:tr>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Recite to pisano, Izvršnom direktoru, sa satima koje zaista možete dati.</w:t>
            </w:r>
          </w:p>
          <w:p>
            <w:pPr>
              <w:pStyle w:val="ListParagraph"/>
              <w:numPr>
                <w:ilvl w:val="0"/>
                <w:numId w:val="5"/>
              </w:numPr>
              <w:spacing w:after="40"/>
            </w:pPr>
            <w:r>
              <w:rPr>
                <w:rFonts w:ascii="Arial" w:cs="Arial" w:eastAsia="Arial" w:hAnsi="Arial"/>
                <w:sz w:val="18"/>
                <w:szCs w:val="18"/>
              </w:rPr>
              <w:t xml:space="preserve">Dogovorite pisani opis: šta vodite, do kada i kome odgovarate.</w:t>
            </w:r>
          </w:p>
          <w:p>
            <w:pPr>
              <w:pStyle w:val="ListParagraph"/>
              <w:numPr>
                <w:ilvl w:val="0"/>
                <w:numId w:val="5"/>
              </w:numPr>
              <w:spacing w:after="40"/>
            </w:pPr>
            <w:r>
              <w:rPr>
                <w:rFonts w:ascii="Arial" w:cs="Arial" w:eastAsia="Arial" w:hAnsi="Arial"/>
                <w:sz w:val="18"/>
                <w:szCs w:val="18"/>
              </w:rPr>
              <w:t xml:space="preserve">Uradite jednu stvar dobro do narednog javnog događaja; tako tim saznaje u čemu je ko dobar.</w:t>
            </w:r>
          </w:p>
          <w:p>
            <w:pPr>
              <w:pStyle w:val="ListParagraph"/>
              <w:numPr>
                <w:ilvl w:val="0"/>
                <w:numId w:val="5"/>
              </w:numPr>
              <w:spacing w:after="40"/>
            </w:pPr>
            <w:r>
              <w:rPr>
                <w:rFonts w:ascii="Arial" w:cs="Arial" w:eastAsia="Arial" w:hAnsi="Arial"/>
                <w:sz w:val="18"/>
                <w:szCs w:val="18"/>
              </w:rPr>
              <w:t xml:space="preserve">Plaćena uloga se oglašava, upoređuje sa tržištem i odobrava u Upravnom odboru. Biti ovdje prvi je prednost, a ne pravo.</w:t>
            </w:r>
          </w:p>
        </w:tc>
        <w:tc>
          <w:tcPr>
            <w:tcW w:type="dxa" w:w="4953"/>
            <w:tcMar>
              <w:top w:type="dxa" w:w="80"/>
              <w:left w:type="dxa" w:w="100"/>
              <w:bottom w:type="dxa" w:w="80"/>
              <w:right w:type="dxa" w:w="100"/>
            </w:tcMar>
          </w:tcPr>
          <w:p>
            <w:pPr>
              <w:pStyle w:val="ListParagraph"/>
              <w:numPr>
                <w:ilvl w:val="0"/>
                <w:numId w:val="6"/>
              </w:numPr>
              <w:spacing w:after="40"/>
            </w:pPr>
            <w:r>
              <w:rPr>
                <w:rFonts w:ascii="Arial" w:cs="Arial" w:eastAsia="Arial" w:hAnsi="Arial"/>
                <w:sz w:val="18"/>
                <w:szCs w:val="18"/>
              </w:rPr>
              <w:t xml:space="preserve">Say it in writing, to the Executive Director, with the hours you can actually give.</w:t>
            </w:r>
          </w:p>
          <w:p>
            <w:pPr>
              <w:pStyle w:val="ListParagraph"/>
              <w:numPr>
                <w:ilvl w:val="0"/>
                <w:numId w:val="6"/>
              </w:numPr>
              <w:spacing w:after="40"/>
            </w:pPr>
            <w:r>
              <w:rPr>
                <w:rFonts w:ascii="Arial" w:cs="Arial" w:eastAsia="Arial" w:hAnsi="Arial"/>
                <w:sz w:val="18"/>
                <w:szCs w:val="18"/>
              </w:rPr>
              <w:t xml:space="preserve">Agree a written remit: what you own, until when, and who you report to.</w:t>
            </w:r>
          </w:p>
          <w:p>
            <w:pPr>
              <w:pStyle w:val="ListParagraph"/>
              <w:numPr>
                <w:ilvl w:val="0"/>
                <w:numId w:val="6"/>
              </w:numPr>
              <w:spacing w:after="40"/>
            </w:pPr>
            <w:r>
              <w:rPr>
                <w:rFonts w:ascii="Arial" w:cs="Arial" w:eastAsia="Arial" w:hAnsi="Arial"/>
                <w:sz w:val="18"/>
                <w:szCs w:val="18"/>
              </w:rPr>
              <w:t xml:space="preserve">Deliver one thing well through the next public event; that is how the team learns what each person is good at.</w:t>
            </w:r>
          </w:p>
          <w:p>
            <w:pPr>
              <w:pStyle w:val="ListParagraph"/>
              <w:numPr>
                <w:ilvl w:val="0"/>
                <w:numId w:val="6"/>
              </w:numPr>
              <w:spacing w:after="40"/>
            </w:pPr>
            <w:r>
              <w:rPr>
                <w:rFonts w:ascii="Arial" w:cs="Arial" w:eastAsia="Arial" w:hAnsi="Arial"/>
                <w:sz w:val="18"/>
                <w:szCs w:val="18"/>
              </w:rPr>
              <w:t xml:space="preserve">A paid role is advertised, benchmarked and approved by the Board. Being here first is an advantage, not an entitlement.</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 ČLANSTVO</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 MEMBERSHIP</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Kako se postaje član</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Becoming a member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Svako fizičko ili pravno lice koje prihvata ciljeve udruženja može se učlaniti na preporuku jednog postojećeg člana. Skupština prima nove članove većinom glasova; novi član potpisuje pristupnicu i upisuje se u registar članova.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Any person or legal entity who accepts the goals of the association can join on the recommendation of one existing member. The Assembly admits new members by majority vote; the new member signs the membership form and is entered in the register of members.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Članstvo prestaje pisanom izjavom o istupanju, ili odlukom Skupštine zbog kršenja Statuta ili nanošenja štete ugledu udruženja, pošto je članu data mogućnost da se izjasni.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Membership ends by a written statement of withdrawal, or by a decision of the Assembly for breaching the Statute or harming the association's reputation, after the member has had the opportunity to respond.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Prava i obaveze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Rights and duties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ima pravo da: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has the right to:</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ravnopravno sa svakim drugim članom učestvuje u ostvarivanju ciljeva udruženja;</w:t>
            </w:r>
          </w:p>
          <w:p>
            <w:pPr>
              <w:pStyle w:val="ListParagraph"/>
              <w:numPr>
                <w:ilvl w:val="0"/>
                <w:numId w:val="2"/>
              </w:numPr>
              <w:spacing w:after="40"/>
            </w:pPr>
            <w:r>
              <w:rPr>
                <w:rFonts w:ascii="Arial" w:cs="Arial" w:eastAsia="Arial" w:hAnsi="Arial"/>
                <w:sz w:val="18"/>
                <w:szCs w:val="18"/>
              </w:rPr>
              <w:t xml:space="preserve">glasa na Skupštini, lično ili preko punomoćnika;</w:t>
            </w:r>
          </w:p>
          <w:p>
            <w:pPr>
              <w:pStyle w:val="ListParagraph"/>
              <w:numPr>
                <w:ilvl w:val="0"/>
                <w:numId w:val="2"/>
              </w:numPr>
              <w:spacing w:after="40"/>
            </w:pPr>
            <w:r>
              <w:rPr>
                <w:rFonts w:ascii="Arial" w:cs="Arial" w:eastAsia="Arial" w:hAnsi="Arial"/>
                <w:sz w:val="18"/>
                <w:szCs w:val="18"/>
              </w:rPr>
              <w:t xml:space="preserve">bira i bude biran u svaki organ udruženja;</w:t>
            </w:r>
          </w:p>
          <w:p>
            <w:pPr>
              <w:pStyle w:val="ListParagraph"/>
              <w:numPr>
                <w:ilvl w:val="0"/>
                <w:numId w:val="2"/>
              </w:numPr>
              <w:spacing w:after="40"/>
            </w:pPr>
            <w:r>
              <w:rPr>
                <w:rFonts w:ascii="Arial" w:cs="Arial" w:eastAsia="Arial" w:hAnsi="Arial"/>
                <w:sz w:val="18"/>
                <w:szCs w:val="18"/>
              </w:rPr>
              <w:t xml:space="preserve">predlaže ciljeve za koje udruženje prikuplja sredstva i glasa o užem izboru ciljeva;</w:t>
            </w:r>
          </w:p>
          <w:p>
            <w:pPr>
              <w:pStyle w:val="ListParagraph"/>
              <w:numPr>
                <w:ilvl w:val="0"/>
                <w:numId w:val="2"/>
              </w:numPr>
              <w:spacing w:after="40"/>
            </w:pPr>
            <w:r>
              <w:rPr>
                <w:rFonts w:ascii="Arial" w:cs="Arial" w:eastAsia="Arial" w:hAnsi="Arial"/>
                <w:sz w:val="18"/>
                <w:szCs w:val="18"/>
              </w:rPr>
              <w:t xml:space="preserve">bude potpuno i blagovremeno obaviješten o radu i aktivnostima udruženja.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take part, on an equal footing with every other member, in achieving the goals of the association;</w:t>
            </w:r>
          </w:p>
          <w:p>
            <w:pPr>
              <w:pStyle w:val="ListParagraph"/>
              <w:numPr>
                <w:ilvl w:val="0"/>
                <w:numId w:val="2"/>
              </w:numPr>
              <w:spacing w:after="40"/>
            </w:pPr>
            <w:r>
              <w:rPr>
                <w:rFonts w:ascii="Arial" w:cs="Arial" w:eastAsia="Arial" w:hAnsi="Arial"/>
                <w:sz w:val="18"/>
                <w:szCs w:val="18"/>
              </w:rPr>
              <w:t xml:space="preserve">vote at the Assembly, in person or by proxy;</w:t>
            </w:r>
          </w:p>
          <w:p>
            <w:pPr>
              <w:pStyle w:val="ListParagraph"/>
              <w:numPr>
                <w:ilvl w:val="0"/>
                <w:numId w:val="2"/>
              </w:numPr>
              <w:spacing w:after="40"/>
            </w:pPr>
            <w:r>
              <w:rPr>
                <w:rFonts w:ascii="Arial" w:cs="Arial" w:eastAsia="Arial" w:hAnsi="Arial"/>
                <w:sz w:val="18"/>
                <w:szCs w:val="18"/>
              </w:rPr>
              <w:t xml:space="preserve">elect, and be elected to, every body of the association;</w:t>
            </w:r>
          </w:p>
          <w:p>
            <w:pPr>
              <w:pStyle w:val="ListParagraph"/>
              <w:numPr>
                <w:ilvl w:val="0"/>
                <w:numId w:val="2"/>
              </w:numPr>
              <w:spacing w:after="40"/>
            </w:pPr>
            <w:r>
              <w:rPr>
                <w:rFonts w:ascii="Arial" w:cs="Arial" w:eastAsia="Arial" w:hAnsi="Arial"/>
                <w:sz w:val="18"/>
                <w:szCs w:val="18"/>
              </w:rPr>
              <w:t xml:space="preserve">propose causes for which the association raises funds, and vote on the shortlist of causes;</w:t>
            </w:r>
          </w:p>
          <w:p>
            <w:pPr>
              <w:pStyle w:val="ListParagraph"/>
              <w:numPr>
                <w:ilvl w:val="0"/>
                <w:numId w:val="2"/>
              </w:numPr>
              <w:spacing w:after="40"/>
            </w:pPr>
            <w:r>
              <w:rPr>
                <w:rFonts w:ascii="Arial" w:cs="Arial" w:eastAsia="Arial" w:hAnsi="Arial"/>
                <w:sz w:val="18"/>
                <w:szCs w:val="18"/>
              </w:rPr>
              <w:t xml:space="preserve">be informed fully and in time about the work and activities of the association.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Od člana se očekuje da: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is expected to:</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aktivno doprinosi ostvarivanju ciljeva;</w:t>
            </w:r>
          </w:p>
          <w:p>
            <w:pPr>
              <w:pStyle w:val="ListParagraph"/>
              <w:numPr>
                <w:ilvl w:val="0"/>
                <w:numId w:val="2"/>
              </w:numPr>
              <w:spacing w:after="40"/>
            </w:pPr>
            <w:r>
              <w:rPr>
                <w:rFonts w:ascii="Arial" w:cs="Arial" w:eastAsia="Arial" w:hAnsi="Arial"/>
                <w:sz w:val="18"/>
                <w:szCs w:val="18"/>
              </w:rPr>
              <w:t xml:space="preserve">učestvuje u aktivnostima prema svojim interesovanjima;</w:t>
            </w:r>
          </w:p>
          <w:p>
            <w:pPr>
              <w:pStyle w:val="ListParagraph"/>
              <w:numPr>
                <w:ilvl w:val="0"/>
                <w:numId w:val="2"/>
              </w:numPr>
              <w:spacing w:after="40"/>
            </w:pPr>
            <w:r>
              <w:rPr>
                <w:rFonts w:ascii="Arial" w:cs="Arial" w:eastAsia="Arial" w:hAnsi="Arial"/>
                <w:sz w:val="18"/>
                <w:szCs w:val="18"/>
              </w:rPr>
              <w:t xml:space="preserve">plaća članarinu, ako ju je Skupština utvrdila za tu godinu;</w:t>
            </w:r>
          </w:p>
          <w:p>
            <w:pPr>
              <w:pStyle w:val="ListParagraph"/>
              <w:numPr>
                <w:ilvl w:val="0"/>
                <w:numId w:val="2"/>
              </w:numPr>
              <w:spacing w:after="40"/>
            </w:pPr>
            <w:r>
              <w:rPr>
                <w:rFonts w:ascii="Arial" w:cs="Arial" w:eastAsia="Arial" w:hAnsi="Arial"/>
                <w:sz w:val="18"/>
                <w:szCs w:val="18"/>
              </w:rPr>
              <w:t xml:space="preserve">izvršava zadatke koje mu povjeri Skupština.</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contribute actively to achieving the goals;</w:t>
            </w:r>
          </w:p>
          <w:p>
            <w:pPr>
              <w:pStyle w:val="ListParagraph"/>
              <w:numPr>
                <w:ilvl w:val="0"/>
                <w:numId w:val="2"/>
              </w:numPr>
              <w:spacing w:after="40"/>
            </w:pPr>
            <w:r>
              <w:rPr>
                <w:rFonts w:ascii="Arial" w:cs="Arial" w:eastAsia="Arial" w:hAnsi="Arial"/>
                <w:sz w:val="18"/>
                <w:szCs w:val="18"/>
              </w:rPr>
              <w:t xml:space="preserve">take part in activities according to their interests;</w:t>
            </w:r>
          </w:p>
          <w:p>
            <w:pPr>
              <w:pStyle w:val="ListParagraph"/>
              <w:numPr>
                <w:ilvl w:val="0"/>
                <w:numId w:val="2"/>
              </w:numPr>
              <w:spacing w:after="40"/>
            </w:pPr>
            <w:r>
              <w:rPr>
                <w:rFonts w:ascii="Arial" w:cs="Arial" w:eastAsia="Arial" w:hAnsi="Arial"/>
                <w:sz w:val="18"/>
                <w:szCs w:val="18"/>
              </w:rPr>
              <w:t xml:space="preserve">pay the membership fee, if the Assembly has set one for that year;</w:t>
            </w:r>
          </w:p>
          <w:p>
            <w:pPr>
              <w:pStyle w:val="ListParagraph"/>
              <w:numPr>
                <w:ilvl w:val="0"/>
                <w:numId w:val="2"/>
              </w:numPr>
              <w:spacing w:after="40"/>
            </w:pPr>
            <w:r>
              <w:rPr>
                <w:rFonts w:ascii="Arial" w:cs="Arial" w:eastAsia="Arial" w:hAnsi="Arial"/>
                <w:sz w:val="18"/>
                <w:szCs w:val="18"/>
              </w:rPr>
              <w:t xml:space="preserve">carry out the tasks the Assembly entrusts to them.</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Članarina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Membership fee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2026. godinu članarina se ne naplaćuje. Osnivači su to odlučili [[PLACEHOLDER: datum odluke]], a prva Skupština to bilježi kao odluku po Statutu.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No membership fee is charged for 2026. The founding members decided this on [[PLACEHOLDER: date of the decision]] and the first Assembly records it as a decision under the Statute.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2027. godinu Upravni odbor predlaže Skupštini, do [[PLACEHOLDER: mjesec predloga]], da li se članarina naplaćuje i u kom iznosu, zajedno sa spiskom pogodnosti iz člana 18. Skupština odlučuje svake godine; može odlučiti da se članarina ne naplaćuje.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2027 the Board proposes to the Assembly, by [[PLACEHOLDER: month of the proposal]], whether a fee is charged and in what amount, together with the list of benefits in Article 18. The Assembly decides every year; it may decide that no fee is charged.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Šta članstvo donosi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What membership brings</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Jedan glas na Skupštini i pravo da budete birani u svaki organ.</w:t>
            </w:r>
          </w:p>
          <w:p>
            <w:pPr>
              <w:pStyle w:val="ListParagraph"/>
              <w:numPr>
                <w:ilvl w:val="0"/>
                <w:numId w:val="2"/>
              </w:numPr>
              <w:spacing w:after="40"/>
            </w:pPr>
            <w:r>
              <w:rPr>
                <w:rFonts w:ascii="Arial" w:cs="Arial" w:eastAsia="Arial" w:hAnsi="Arial"/>
                <w:sz w:val="18"/>
                <w:szCs w:val="18"/>
              </w:rPr>
              <w:t xml:space="preserve">Pravo da predložite cilj i da glasate o užem izboru ciljeva za koje Santamore prikuplja te godine.</w:t>
            </w:r>
          </w:p>
          <w:p>
            <w:pPr>
              <w:pStyle w:val="ListParagraph"/>
              <w:numPr>
                <w:ilvl w:val="0"/>
                <w:numId w:val="2"/>
              </w:numPr>
              <w:spacing w:after="40"/>
            </w:pPr>
            <w:r>
              <w:rPr>
                <w:rFonts w:ascii="Arial" w:cs="Arial" w:eastAsia="Arial" w:hAnsi="Arial"/>
                <w:sz w:val="18"/>
                <w:szCs w:val="18"/>
              </w:rPr>
              <w:t xml:space="preserve">Godišnji izvještaj i predaju prikupljenog novca, uživo na Danu uticaja.</w:t>
            </w:r>
          </w:p>
          <w:p>
            <w:pPr>
              <w:pStyle w:val="ListParagraph"/>
              <w:numPr>
                <w:ilvl w:val="0"/>
                <w:numId w:val="2"/>
              </w:numPr>
              <w:spacing w:after="40"/>
            </w:pPr>
            <w:r>
              <w:rPr>
                <w:rFonts w:ascii="Arial" w:cs="Arial" w:eastAsia="Arial" w:hAnsi="Arial"/>
                <w:sz w:val="18"/>
                <w:szCs w:val="18"/>
              </w:rPr>
              <w:t xml:space="preserve">Prvu riječ kod volonterskih uloga i vođenja timova i ogranaka.</w:t>
            </w:r>
          </w:p>
          <w:p>
            <w:pPr>
              <w:pStyle w:val="ListParagraph"/>
              <w:numPr>
                <w:ilvl w:val="0"/>
                <w:numId w:val="2"/>
              </w:numPr>
              <w:spacing w:after="40"/>
            </w:pPr>
            <w:r>
              <w:rPr>
                <w:rFonts w:ascii="Arial" w:cs="Arial" w:eastAsia="Arial" w:hAnsi="Arial"/>
                <w:sz w:val="18"/>
                <w:szCs w:val="18"/>
              </w:rPr>
              <w:t xml:space="preserve">Članski period prijave na događaje udruženja prije nego što se prijave otvore javnosti [[PLACEHOLDER: potvrditi za 2027.]].</w:t>
            </w:r>
          </w:p>
          <w:p>
            <w:pPr>
              <w:pStyle w:val="ListParagraph"/>
              <w:numPr>
                <w:ilvl w:val="0"/>
                <w:numId w:val="2"/>
              </w:numPr>
              <w:spacing w:after="40"/>
            </w:pPr>
            <w:r>
              <w:rPr>
                <w:rFonts w:ascii="Arial" w:cs="Arial" w:eastAsia="Arial" w:hAnsi="Arial"/>
                <w:sz w:val="18"/>
                <w:szCs w:val="18"/>
              </w:rPr>
              <w:t xml:space="preserve">Komunikaciju za članove: plan za godinu, rezultate svakog događaja i poziv na svaku Skupštinu.</w:t>
            </w:r>
          </w:p>
          <w:p>
            <w:pPr>
              <w:pStyle w:val="ListParagraph"/>
              <w:numPr>
                <w:ilvl w:val="0"/>
                <w:numId w:val="2"/>
              </w:numPr>
              <w:spacing w:after="40"/>
            </w:pPr>
            <w:r>
              <w:rPr>
                <w:rFonts w:ascii="Arial" w:cs="Arial" w:eastAsia="Arial" w:hAnsi="Arial"/>
                <w:sz w:val="18"/>
                <w:szCs w:val="18"/>
              </w:rPr>
              <w:t xml:space="preserve">Riječ o samoj članarini: Skupština je utvrđuje svake godine i može je utvrditi na nulu.</w:t>
            </w:r>
          </w:p>
        </w:tc>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One vote at the Assembly, and the right to be elected to every body.</w:t>
            </w:r>
          </w:p>
          <w:p>
            <w:pPr>
              <w:pStyle w:val="ListParagraph"/>
              <w:numPr>
                <w:ilvl w:val="0"/>
                <w:numId w:val="2"/>
              </w:numPr>
              <w:spacing w:after="40"/>
            </w:pPr>
            <w:r>
              <w:rPr>
                <w:rFonts w:ascii="Arial" w:cs="Arial" w:eastAsia="Arial" w:hAnsi="Arial"/>
                <w:sz w:val="18"/>
                <w:szCs w:val="18"/>
              </w:rPr>
              <w:t xml:space="preserve">The right to propose a cause and to vote on the shortlist of causes Santamore raises for that year.</w:t>
            </w:r>
          </w:p>
          <w:p>
            <w:pPr>
              <w:pStyle w:val="ListParagraph"/>
              <w:numPr>
                <w:ilvl w:val="0"/>
                <w:numId w:val="2"/>
              </w:numPr>
              <w:spacing w:after="40"/>
            </w:pPr>
            <w:r>
              <w:rPr>
                <w:rFonts w:ascii="Arial" w:cs="Arial" w:eastAsia="Arial" w:hAnsi="Arial"/>
                <w:sz w:val="18"/>
                <w:szCs w:val="18"/>
              </w:rPr>
              <w:t xml:space="preserve">The annual report and the hand-over of the money raised, in person at the Impact Day.</w:t>
            </w:r>
          </w:p>
          <w:p>
            <w:pPr>
              <w:pStyle w:val="ListParagraph"/>
              <w:numPr>
                <w:ilvl w:val="0"/>
                <w:numId w:val="2"/>
              </w:numPr>
              <w:spacing w:after="40"/>
            </w:pPr>
            <w:r>
              <w:rPr>
                <w:rFonts w:ascii="Arial" w:cs="Arial" w:eastAsia="Arial" w:hAnsi="Arial"/>
                <w:sz w:val="18"/>
                <w:szCs w:val="18"/>
              </w:rPr>
              <w:t xml:space="preserve">First word on volunteer roles and on team and chapter leadership.</w:t>
            </w:r>
          </w:p>
          <w:p>
            <w:pPr>
              <w:pStyle w:val="ListParagraph"/>
              <w:numPr>
                <w:ilvl w:val="0"/>
                <w:numId w:val="2"/>
              </w:numPr>
              <w:spacing w:after="40"/>
            </w:pPr>
            <w:r>
              <w:rPr>
                <w:rFonts w:ascii="Arial" w:cs="Arial" w:eastAsia="Arial" w:hAnsi="Arial"/>
                <w:sz w:val="18"/>
                <w:szCs w:val="18"/>
              </w:rPr>
              <w:t xml:space="preserve">A members' registration window for the association's events before registration opens to the public [[PLACEHOLDER: confirm for 2027]].</w:t>
            </w:r>
          </w:p>
          <w:p>
            <w:pPr>
              <w:pStyle w:val="ListParagraph"/>
              <w:numPr>
                <w:ilvl w:val="0"/>
                <w:numId w:val="2"/>
              </w:numPr>
              <w:spacing w:after="40"/>
            </w:pPr>
            <w:r>
              <w:rPr>
                <w:rFonts w:ascii="Arial" w:cs="Arial" w:eastAsia="Arial" w:hAnsi="Arial"/>
                <w:sz w:val="18"/>
                <w:szCs w:val="18"/>
              </w:rPr>
              <w:t xml:space="preserve">Member communications: the plan for the year, the results of every event, and the invitation to each Assembly.</w:t>
            </w:r>
          </w:p>
          <w:p>
            <w:pPr>
              <w:pStyle w:val="ListParagraph"/>
              <w:numPr>
                <w:ilvl w:val="0"/>
                <w:numId w:val="2"/>
              </w:numPr>
              <w:spacing w:after="40"/>
            </w:pPr>
            <w:r>
              <w:rPr>
                <w:rFonts w:ascii="Arial" w:cs="Arial" w:eastAsia="Arial" w:hAnsi="Arial"/>
                <w:sz w:val="18"/>
                <w:szCs w:val="18"/>
              </w:rPr>
              <w:t xml:space="preserve">A say in the fee itself: the Assembly sets it every year, and may set it at zero.</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 ZAVRŠNE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 FINAL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19 — Pristup dokumentima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19 — Access to documents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Politike objavljene na sajtu su javne. Ovaj dokument i politike namijenjene članovima dostupni su svakom prijavljenom članu u članskom prostoru. Pravila koja donosi Upravni odbor, obrasci i registracioni paket dostupni su osoblju u konzoli. Politika zarada i zapošljavanja dostupna je samo Izvršnom direktoru i administratorima, jer sadrži iznose zarada i lične podatke.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policies published on the site are public. This document and the member-facing policies are available to every signed-in member in the member area. The rules the Board adopts, the templates and the registration pack are available to the staff in the console. The pay and staffing policy is available only to the Executive Director and the administrators, because it carries pay figures and personal data.</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20 — Izmjene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20 — Changes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održava ovaj dokument ažurnim. Preispituje se poslije svake Skupštine i kad god se promijeni Statut, sastav nekog organa ili plan zapošljavanja.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keeps this document current. It is reviewed after every Assembly and whenever the Statute, the membership of a body or the staffing plan changes.</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Organizacija i uloge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2026-10-21T07:54:04.177Z</dcterms:created>
  <dcterms:modified xsi:type="dcterms:W3CDTF">2026-10-21T07:54:04.177Z</dcterms:modified>
</cp:coreProperties>
</file>

<file path=docProps/custom.xml><?xml version="1.0" encoding="utf-8"?>
<Properties xmlns="http://schemas.openxmlformats.org/officeDocument/2006/custom-properties" xmlns:vt="http://schemas.openxmlformats.org/officeDocument/2006/docPropsVTypes"/>
</file>