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rFonts w:ascii="Arial" w:cs="Arial" w:eastAsia="Arial" w:hAnsi="Arial"/>
        </w:rPr>
        <w:t xml:space="preserve">Politika zarada i zapošljavanja / Pay and staffing policy</w:t>
      </w:r>
    </w:p>
    <w:tbl>
      <w:tblPr>
        <w:tblW w:type="dxa" w:w="9906"/>
        <w:tblBorders>
          <w:top w:val="single" w:color="C9D3D7" w:sz="4"/>
          <w:left w:val="single" w:color="C9D3D7" w:sz="4"/>
          <w:bottom w:val="single" w:color="C9D3D7" w:sz="4"/>
          <w:right w:val="single" w:color="C9D3D7" w:sz="4"/>
          <w:insideH w:val="single" w:color="C9D3D7" w:sz="4"/>
          <w:insideV w:val="single" w:color="C9D3D7" w:sz="4"/>
        </w:tblBorders>
      </w:tblPr>
      <w:tblGrid>
        <w:gridCol w:w="4953"/>
        <w:gridCol w:w="4953"/>
      </w:tblGrid>
      <w:tr>
        <w:trPr>
          <w:tblHeader/>
        </w:trPr>
        <w:tc>
          <w:tcPr>
            <w:tcW w:type="dxa" w:w="4953"/>
            <w:shd w:fill="F6F3EE" w:color="auto" w:val="clear"/>
            <w:tcMar>
              <w:top w:type="dxa" w:w="80"/>
              <w:left w:type="dxa" w:w="100"/>
              <w:bottom w:type="dxa" w:w="80"/>
              <w:right w:type="dxa" w:w="100"/>
            </w:tcMar>
          </w:tcPr>
          <w:p>
            <w:r>
              <w:rPr>
                <w:rFonts w:ascii="Arial" w:cs="Arial" w:eastAsia="Arial" w:hAnsi="Arial"/>
                <w:b/>
                <w:bCs/>
                <w:color w:val="36434B"/>
                <w:sz w:val="18"/>
                <w:szCs w:val="18"/>
              </w:rPr>
              <w:t xml:space="preserve">Crnogorski (mjerodavan tekst)</w:t>
            </w:r>
          </w:p>
        </w:tc>
        <w:tc>
          <w:tcPr>
            <w:tcW w:type="dxa" w:w="4953"/>
            <w:shd w:fill="F6F3EE" w:color="auto" w:val="clear"/>
            <w:tcMar>
              <w:top w:type="dxa" w:w="80"/>
              <w:left w:type="dxa" w:w="100"/>
              <w:bottom w:type="dxa" w:w="80"/>
              <w:right w:type="dxa" w:w="100"/>
            </w:tcMar>
          </w:tcPr>
          <w:p>
            <w:r>
              <w:rPr>
                <w:rFonts w:ascii="Arial" w:cs="Arial" w:eastAsia="Arial" w:hAnsi="Arial"/>
                <w:b/>
                <w:bCs/>
                <w:color w:val="36434B"/>
                <w:sz w:val="18"/>
                <w:szCs w:val="18"/>
              </w:rPr>
              <w:t xml:space="preserve">English (translation)</w:t>
            </w:r>
          </w:p>
        </w:tc>
      </w:tr>
      <w:tr>
        <w:tc>
          <w:tcPr>
            <w:tcW w:type="dxa" w:w="4953"/>
            <w:shd w:fill="E3EBED" w:color="auto" w:val="clear"/>
            <w:tcMar>
              <w:top w:type="dxa" w:w="80"/>
              <w:left w:type="dxa" w:w="100"/>
              <w:bottom w:type="dxa" w:w="80"/>
              <w:right w:type="dxa" w:w="100"/>
            </w:tcMar>
          </w:tcPr>
          <w:p>
            <w:r>
              <w:rPr>
                <w:rFonts w:ascii="Arial" w:cs="Arial" w:eastAsia="Arial" w:hAnsi="Arial"/>
                <w:b/>
                <w:bCs/>
                <w:color w:val="0E3A46"/>
                <w:sz w:val="22"/>
                <w:szCs w:val="22"/>
              </w:rPr>
              <w:t xml:space="preserve">I. SVRHA I PRISTUP</w:t>
            </w:r>
          </w:p>
        </w:tc>
        <w:tc>
          <w:tcPr>
            <w:tcW w:type="dxa" w:w="4953"/>
            <w:shd w:fill="E3EBED" w:color="auto" w:val="clear"/>
            <w:tcMar>
              <w:top w:type="dxa" w:w="80"/>
              <w:left w:type="dxa" w:w="100"/>
              <w:bottom w:type="dxa" w:w="80"/>
              <w:right w:type="dxa" w:w="100"/>
            </w:tcMar>
          </w:tcPr>
          <w:p>
            <w:r>
              <w:rPr>
                <w:rFonts w:ascii="Arial" w:cs="Arial" w:eastAsia="Arial" w:hAnsi="Arial"/>
                <w:b/>
                <w:bCs/>
                <w:color w:val="0E3A46"/>
                <w:sz w:val="22"/>
                <w:szCs w:val="22"/>
              </w:rPr>
              <w:t xml:space="preserve">I. PURPOSE AND ACCESS</w:t>
            </w:r>
          </w:p>
        </w:tc>
      </w:tr>
      <w:tr>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Član 1 — Svrha</w:t>
            </w:r>
          </w:p>
        </w:tc>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Article 1 — Purpose</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Ova politika utvrđuje kako Santamore odlučuje ko se zapošljava, kako se utvrđuje zarada, za šta osnivač može i ne može biti plaćen i kako tim treba da raste. Sadrži planske brojke i raspone zarada, pa je čitaju samo Izvršni direktor i administratori. Dokument o organizaciji, dostupan svakom članu, opisuje uloge bez brojki.</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This policy sets out how Santamore decides who is employed, how pay is set, what a founder may and may not be paid for, and how the team is meant to grow. It carries the planning figures and the pay bands, so it is read by the Executive Director and the administrators only. The organisation document, available to every member, describes the roles without the figures.</w:t>
            </w:r>
          </w:p>
        </w:tc>
      </w:tr>
      <w:tr>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Član 2 — Zakonski okvir</w:t>
            </w:r>
          </w:p>
        </w:tc>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Article 2 — Legal frame</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Član 30 Zakona o nevladinim organizacijama dozvoljava da se imovina udruženja koristi samo za ostvarivanje ciljeva, za naknadu opravdanih troškova nastalih u njihovom ostvarivanju, za isplatu zarada, naknada i drugih primanja zaposlenih po osnovu rada i za povremene nagrade u skladu sa statutom. Imovina se ne može dijeliti osnivačima, članovima, organima ni zaposlenima.</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Article 30 of the Law on Non-Governmental Organisations allows the association's assets to be used only to achieve its goals, to reimburse justified costs incurred in achieving them, to pay salaries, remuneration and other earnings of employees on the basis of work, and to give occasional awards in accordance with the statute. The assets may not be distributed among the founders, members, the bodies or the employees.</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To zabranjuje raspodjelu viška. Ne zabranjuje tržišnu zaradu za stvarno obavljeni rad. Pošto osnivači i zaposleni stoje u istoj odredbi, razlika mora biti očigledna i dokumentovana za svaku isplatu osnivaču.</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That prohibits distributing surplus. It does not prohibit a market salary for work actually done. Because founders and staff sit in the same clause, the difference must be obvious and documented for every payment to a founder.</w:t>
            </w:r>
          </w:p>
        </w:tc>
      </w:tr>
      <w:tr>
        <w:tc>
          <w:tcPr>
            <w:tcW w:type="dxa" w:w="4953"/>
            <w:shd w:fill="E3EBED" w:color="auto" w:val="clear"/>
            <w:tcMar>
              <w:top w:type="dxa" w:w="80"/>
              <w:left w:type="dxa" w:w="100"/>
              <w:bottom w:type="dxa" w:w="80"/>
              <w:right w:type="dxa" w:w="100"/>
            </w:tcMar>
          </w:tcPr>
          <w:p>
            <w:r>
              <w:rPr>
                <w:rFonts w:ascii="Arial" w:cs="Arial" w:eastAsia="Arial" w:hAnsi="Arial"/>
                <w:b/>
                <w:bCs/>
                <w:color w:val="0E3A46"/>
                <w:sz w:val="22"/>
                <w:szCs w:val="22"/>
              </w:rPr>
              <w:t xml:space="preserve">II. PRAVILA</w:t>
            </w:r>
          </w:p>
        </w:tc>
        <w:tc>
          <w:tcPr>
            <w:tcW w:type="dxa" w:w="4953"/>
            <w:shd w:fill="E3EBED" w:color="auto" w:val="clear"/>
            <w:tcMar>
              <w:top w:type="dxa" w:w="80"/>
              <w:left w:type="dxa" w:w="100"/>
              <w:bottom w:type="dxa" w:w="80"/>
              <w:right w:type="dxa" w:w="100"/>
            </w:tcMar>
          </w:tcPr>
          <w:p>
            <w:r>
              <w:rPr>
                <w:rFonts w:ascii="Arial" w:cs="Arial" w:eastAsia="Arial" w:hAnsi="Arial"/>
                <w:b/>
                <w:bCs/>
                <w:color w:val="0E3A46"/>
                <w:sz w:val="22"/>
                <w:szCs w:val="22"/>
              </w:rPr>
              <w:t xml:space="preserve">II. THE RULES</w:t>
            </w:r>
          </w:p>
        </w:tc>
      </w:tr>
      <w:tr>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Član 3 — Šest pravila</w:t>
            </w:r>
          </w:p>
        </w:tc>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Article 3 — Six rules</w:t>
            </w:r>
          </w:p>
        </w:tc>
      </w:tr>
      <w:tr>
        <w:tc>
          <w:tcPr>
            <w:tcW w:type="dxa" w:w="4953"/>
            <w:tcMar>
              <w:top w:type="dxa" w:w="80"/>
              <w:left w:type="dxa" w:w="100"/>
              <w:bottom w:type="dxa" w:w="80"/>
              <w:right w:type="dxa" w:w="100"/>
            </w:tcMar>
          </w:tcPr>
          <w:p>
            <w:pPr>
              <w:pStyle w:val="ListParagraph"/>
              <w:numPr>
                <w:ilvl w:val="0"/>
                <w:numId w:val="2"/>
              </w:numPr>
              <w:spacing w:after="40"/>
            </w:pPr>
            <w:r>
              <w:rPr>
                <w:rFonts w:ascii="Arial" w:cs="Arial" w:eastAsia="Arial" w:hAnsi="Arial"/>
                <w:sz w:val="18"/>
                <w:szCs w:val="18"/>
              </w:rPr>
              <w:t xml:space="preserve">Ugovori, a ne prenosi: svako plaćeno lice ima pisani ugovor, opis posla, evidentirane sate i obračun zarade sa plaćenim porezima. Bez izuzetaka, ni za osnivače.</w:t>
            </w:r>
          </w:p>
          <w:p>
            <w:pPr>
              <w:pStyle w:val="ListParagraph"/>
              <w:numPr>
                <w:ilvl w:val="0"/>
                <w:numId w:val="2"/>
              </w:numPr>
              <w:spacing w:after="40"/>
            </w:pPr>
            <w:r>
              <w:rPr>
                <w:rFonts w:ascii="Arial" w:cs="Arial" w:eastAsia="Arial" w:hAnsi="Arial"/>
                <w:sz w:val="18"/>
                <w:szCs w:val="18"/>
              </w:rPr>
              <w:t xml:space="preserve">Platilac nije primalac: niko ko prima zaradu ne može biti u većini Upravnog odbora koja je utvrđuje. Nezavisni članovi se pronalaze prije prvog zapošljavanja.</w:t>
            </w:r>
          </w:p>
          <w:p>
            <w:pPr>
              <w:pStyle w:val="ListParagraph"/>
              <w:numPr>
                <w:ilvl w:val="0"/>
                <w:numId w:val="2"/>
              </w:numPr>
              <w:spacing w:after="40"/>
            </w:pPr>
            <w:r>
              <w:rPr>
                <w:rFonts w:ascii="Arial" w:cs="Arial" w:eastAsia="Arial" w:hAnsi="Arial"/>
                <w:sz w:val="18"/>
                <w:szCs w:val="18"/>
              </w:rPr>
              <w:t xml:space="preserve">Objavljeni rasponi: rasponi zarada idu u godišnji izvještaj, a korišćeno poređenje u zapisnik.</w:t>
            </w:r>
          </w:p>
          <w:p>
            <w:pPr>
              <w:pStyle w:val="ListParagraph"/>
              <w:numPr>
                <w:ilvl w:val="0"/>
                <w:numId w:val="2"/>
              </w:numPr>
              <w:spacing w:after="40"/>
            </w:pPr>
            <w:r>
              <w:rPr>
                <w:rFonts w:ascii="Arial" w:cs="Arial" w:eastAsia="Arial" w:hAnsi="Arial"/>
                <w:sz w:val="18"/>
                <w:szCs w:val="18"/>
              </w:rPr>
              <w:t xml:space="preserve">Bez srodnika na platnom spisku u prvim godinama. I gdje je zakonito, to je prvo za šta kritičar posegne.</w:t>
            </w:r>
          </w:p>
          <w:p>
            <w:pPr>
              <w:pStyle w:val="ListParagraph"/>
              <w:numPr>
                <w:ilvl w:val="0"/>
                <w:numId w:val="2"/>
              </w:numPr>
              <w:spacing w:after="40"/>
            </w:pPr>
            <w:r>
              <w:rPr>
                <w:rFonts w:ascii="Arial" w:cs="Arial" w:eastAsia="Arial" w:hAnsi="Arial"/>
                <w:sz w:val="18"/>
                <w:szCs w:val="18"/>
              </w:rPr>
              <w:t xml:space="preserve">Prvo pisano mišljenje: crnogorskog računovođe, prije prvog obračuna zarada.</w:t>
            </w:r>
          </w:p>
          <w:p>
            <w:pPr>
              <w:pStyle w:val="ListParagraph"/>
              <w:numPr>
                <w:ilvl w:val="0"/>
                <w:numId w:val="2"/>
              </w:numPr>
              <w:spacing w:after="40"/>
            </w:pPr>
            <w:r>
              <w:rPr>
                <w:rFonts w:ascii="Arial" w:cs="Arial" w:eastAsia="Arial" w:hAnsi="Arial"/>
                <w:sz w:val="18"/>
                <w:szCs w:val="18"/>
              </w:rPr>
              <w:t xml:space="preserve">Osoblje na oko 35 odsto prihoda. Zapošljavamo iza Operativnog fonda, nikad ispred njega.</w:t>
            </w:r>
          </w:p>
        </w:tc>
        <w:tc>
          <w:tcPr>
            <w:tcW w:type="dxa" w:w="4953"/>
            <w:tcMar>
              <w:top w:type="dxa" w:w="80"/>
              <w:left w:type="dxa" w:w="100"/>
              <w:bottom w:type="dxa" w:w="80"/>
              <w:right w:type="dxa" w:w="100"/>
            </w:tcMar>
          </w:tcPr>
          <w:p>
            <w:pPr>
              <w:pStyle w:val="ListParagraph"/>
              <w:numPr>
                <w:ilvl w:val="0"/>
                <w:numId w:val="3"/>
              </w:numPr>
              <w:spacing w:after="40"/>
            </w:pPr>
            <w:r>
              <w:rPr>
                <w:rFonts w:ascii="Arial" w:cs="Arial" w:eastAsia="Arial" w:hAnsi="Arial"/>
                <w:sz w:val="18"/>
                <w:szCs w:val="18"/>
              </w:rPr>
              <w:t xml:space="preserve">Contracts, not transfers: every paid person has a written contract, a job description, documented hours and payroll with taxes paid. No exceptions, not even for founders.</w:t>
            </w:r>
          </w:p>
          <w:p>
            <w:pPr>
              <w:pStyle w:val="ListParagraph"/>
              <w:numPr>
                <w:ilvl w:val="0"/>
                <w:numId w:val="3"/>
              </w:numPr>
              <w:spacing w:after="40"/>
            </w:pPr>
            <w:r>
              <w:rPr>
                <w:rFonts w:ascii="Arial" w:cs="Arial" w:eastAsia="Arial" w:hAnsi="Arial"/>
                <w:sz w:val="18"/>
                <w:szCs w:val="18"/>
              </w:rPr>
              <w:t xml:space="preserve">The payer is not the payee: anyone taking pay cannot be in the Board majority that sets it. The independent members are recruited before the first hire.</w:t>
            </w:r>
          </w:p>
          <w:p>
            <w:pPr>
              <w:pStyle w:val="ListParagraph"/>
              <w:numPr>
                <w:ilvl w:val="0"/>
                <w:numId w:val="3"/>
              </w:numPr>
              <w:spacing w:after="40"/>
            </w:pPr>
            <w:r>
              <w:rPr>
                <w:rFonts w:ascii="Arial" w:cs="Arial" w:eastAsia="Arial" w:hAnsi="Arial"/>
                <w:sz w:val="18"/>
                <w:szCs w:val="18"/>
              </w:rPr>
              <w:t xml:space="preserve">Bands published: the pay bands go in the annual report, and the benchmark used goes in the minutes.</w:t>
            </w:r>
          </w:p>
          <w:p>
            <w:pPr>
              <w:pStyle w:val="ListParagraph"/>
              <w:numPr>
                <w:ilvl w:val="0"/>
                <w:numId w:val="3"/>
              </w:numPr>
              <w:spacing w:after="40"/>
            </w:pPr>
            <w:r>
              <w:rPr>
                <w:rFonts w:ascii="Arial" w:cs="Arial" w:eastAsia="Arial" w:hAnsi="Arial"/>
                <w:sz w:val="18"/>
                <w:szCs w:val="18"/>
              </w:rPr>
              <w:t xml:space="preserve">No relatives on the payroll in the early years. Even where legal, it is the first thing a critic reaches for.</w:t>
            </w:r>
          </w:p>
          <w:p>
            <w:pPr>
              <w:pStyle w:val="ListParagraph"/>
              <w:numPr>
                <w:ilvl w:val="0"/>
                <w:numId w:val="3"/>
              </w:numPr>
              <w:spacing w:after="40"/>
            </w:pPr>
            <w:r>
              <w:rPr>
                <w:rFonts w:ascii="Arial" w:cs="Arial" w:eastAsia="Arial" w:hAnsi="Arial"/>
                <w:sz w:val="18"/>
                <w:szCs w:val="18"/>
              </w:rPr>
              <w:t xml:space="preserve">A written opinion first: from a Montenegrin accountant, before the first payroll.</w:t>
            </w:r>
          </w:p>
          <w:p>
            <w:pPr>
              <w:pStyle w:val="ListParagraph"/>
              <w:numPr>
                <w:ilvl w:val="0"/>
                <w:numId w:val="3"/>
              </w:numPr>
              <w:spacing w:after="40"/>
            </w:pPr>
            <w:r>
              <w:rPr>
                <w:rFonts w:ascii="Arial" w:cs="Arial" w:eastAsia="Arial" w:hAnsi="Arial"/>
                <w:sz w:val="18"/>
                <w:szCs w:val="18"/>
              </w:rPr>
              <w:t xml:space="preserve">Staff at roughly 35 percent of revenue. We hire behind the Operations Fund, never ahead of it.</w:t>
            </w:r>
          </w:p>
        </w:tc>
      </w:tr>
      <w:tr>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Član 4 — Ko odlučuje o zaradi</w:t>
            </w:r>
          </w:p>
        </w:tc>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Article 4 — Who decides pay</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Upravni odbor donosi akt o sistematizaciji, odlučuje o svakom zapošljavanju i otpuštanju i utvrđuje zarade. O nečijoj zaradi glasaju samo nezavisni članovi Upravnog odbora; član kojeg udruženje plaća, ili čijeg srodnika plaća, napušta prostoriju za tu tačku.</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The Board adopts the staffing act, decides every hire and dismissal and sets pay. Only the independent members of the Board vote on anyone's pay; a member who is paid by the association, or whose relative is, leaves the room for that item.</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Izvršni direktor predlaže zarade osoblja uz pisano obrazloženje i podatke za poređenje, a nikada ne učestvuje u utvrđivanju sopstvene zarade. U godišnjem izvještaju objavljuju se rasponi zarada, a ne pojedinačni iznosi.</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The Executive Director proposes the pay of staff with a written justification and benchmark data, and never takes part in setting their own pay. Pay bands, not individual figures, are published in the annual report.</w:t>
            </w:r>
          </w:p>
        </w:tc>
      </w:tr>
      <w:tr>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Član 5 — Osnivači i zarada</w:t>
            </w:r>
          </w:p>
        </w:tc>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Article 5 — Founders and pay</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Osnivač može biti plaćen po istim pravilima kao i svako drugi, za stvarno obavljeni rad po ugovoru, na radnom mjestu koje je Upravni odbor utvrdio aktom o sistematizaciji. Zaradu osnivača koji je Izvršni direktor utvrđuju nezavisni članovi Upravnog odbora na osnovu pisanog poređenja.</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A founder may be paid under the same rules as anyone else, for work actually done under a contract, in a role the Board has created in the staffing act. The pay of a founder who is Executive Director is set by the independent members of the Board on a written benchmark.</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Vrijeme koje je osnivač dao prije nego što je Operativni fond postojao doprinos je udruženju, a ne potraživanje prema njemu. Novac koji je osnivač potrošio za račun udruženja nadoknađuje se kao opravdani trošak samo ako je dokumentovan, ako ga je Upravni odbor unaprijed odobrio ili naknadno pisano priznao, i isplaćuje se iz operativnih prihoda, nikada iz donacija. Zajam osnivača evidentira se kao zajam, sa uslovima u zapisniku, i vraća se samo odlukom Upravnog odbora.</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Time a founder gave before the Operations Fund existed is a contribution to the association and not a claim against it. Money a founder spent on the association's behalf is reimbursed as a justified cost only where it is documented, was approved by the Board in advance or recognised by the Board in writing afterwards, and is paid from operating income, never from donations. A loan from a founder is recorded as a loan, with its terms in the minutes, and repaid only by Board decision.</w:t>
            </w:r>
          </w:p>
        </w:tc>
      </w:tr>
      <w:tr>
        <w:tc>
          <w:tcPr>
            <w:tcW w:type="dxa" w:w="4953"/>
            <w:shd w:fill="E3EBED" w:color="auto" w:val="clear"/>
            <w:tcMar>
              <w:top w:type="dxa" w:w="80"/>
              <w:left w:type="dxa" w:w="100"/>
              <w:bottom w:type="dxa" w:w="80"/>
              <w:right w:type="dxa" w:w="100"/>
            </w:tcMar>
          </w:tcPr>
          <w:p>
            <w:r>
              <w:rPr>
                <w:rFonts w:ascii="Arial" w:cs="Arial" w:eastAsia="Arial" w:hAnsi="Arial"/>
                <w:b/>
                <w:bCs/>
                <w:color w:val="0E3A46"/>
                <w:sz w:val="22"/>
                <w:szCs w:val="22"/>
              </w:rPr>
              <w:t xml:space="preserve">III. PLAN</w:t>
            </w:r>
          </w:p>
        </w:tc>
        <w:tc>
          <w:tcPr>
            <w:tcW w:type="dxa" w:w="4953"/>
            <w:shd w:fill="E3EBED" w:color="auto" w:val="clear"/>
            <w:tcMar>
              <w:top w:type="dxa" w:w="80"/>
              <w:left w:type="dxa" w:w="100"/>
              <w:bottom w:type="dxa" w:w="80"/>
              <w:right w:type="dxa" w:w="100"/>
            </w:tcMar>
          </w:tcPr>
          <w:p>
            <w:r>
              <w:rPr>
                <w:rFonts w:ascii="Arial" w:cs="Arial" w:eastAsia="Arial" w:hAnsi="Arial"/>
                <w:b/>
                <w:bCs/>
                <w:color w:val="0E3A46"/>
                <w:sz w:val="22"/>
                <w:szCs w:val="22"/>
              </w:rPr>
              <w:t xml:space="preserve">III. THE PLAN</w:t>
            </w:r>
          </w:p>
        </w:tc>
      </w:tr>
      <w:tr>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Član 6 — Plan zapošljavanja</w:t>
            </w:r>
          </w:p>
        </w:tc>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Article 6 — Staffing plan</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Plan je iz vodiča za tim, fazu po fazu. Puni trošak je oko 1.200 do 1.600 eura mjesečno po radnom mjestu sa punim radnim vremenom, pa jednoj osobi treba oko 60.000 do 80.000 eura operativnih prihoda godišnje.</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The plan is the team guide's, phase by phase. Loaded cost is roughly €1,200 to €1,600 a month per full-time role, so one person needs about €60,000 to €80,000 of operating revenue a year behind them.</w:t>
            </w:r>
          </w:p>
        </w:tc>
      </w:tr>
      <w:tr>
        <w:tc>
          <w:tcPr>
            <w:tcW w:type="dxa" w:w="4953"/>
            <w:tcMar>
              <w:top w:type="dxa" w:w="80"/>
              <w:left w:type="dxa" w:w="100"/>
              <w:bottom w:type="dxa" w:w="80"/>
              <w:right w:type="dxa" w:w="100"/>
            </w:tcMar>
          </w:tcPr>
          <w:tbl>
            <w:tblPr>
              <w:tblW w:type="dxa" w:w="4753"/>
              <w:tblBorders>
                <w:top w:val="single" w:color="C9D3D7" w:sz="4"/>
                <w:left w:val="single" w:color="C9D3D7" w:sz="4"/>
                <w:bottom w:val="single" w:color="C9D3D7" w:sz="4"/>
                <w:right w:val="single" w:color="C9D3D7" w:sz="4"/>
                <w:insideH w:val="single" w:color="C9D3D7" w:sz="4"/>
                <w:insideV w:val="single" w:color="C9D3D7" w:sz="4"/>
              </w:tblBorders>
            </w:tblPr>
            <w:tblGrid>
              <w:gridCol w:w="1188"/>
              <w:gridCol w:w="1188"/>
              <w:gridCol w:w="1188"/>
              <w:gridCol w:w="1188"/>
            </w:tblGrid>
            <w:tr>
              <w:trPr>
                <w:tblHeader/>
              </w:trPr>
              <w:tc>
                <w:tcPr>
                  <w:tcW w:type="dxa" w:w="1188"/>
                  <w:shd w:fill="E3EBED" w:color="auto" w:val="clear"/>
                  <w:tcMar>
                    <w:top w:type="dxa" w:w="40"/>
                    <w:left w:type="dxa" w:w="60"/>
                    <w:bottom w:type="dxa" w:w="40"/>
                    <w:right w:type="dxa" w:w="60"/>
                  </w:tcMar>
                </w:tcPr>
                <w:p>
                  <w:r>
                    <w:rPr>
                      <w:rFonts w:ascii="Arial" w:cs="Arial" w:eastAsia="Arial" w:hAnsi="Arial"/>
                      <w:b/>
                      <w:bCs/>
                      <w:sz w:val="16"/>
                      <w:szCs w:val="16"/>
                    </w:rPr>
                    <w:t xml:space="preserve">Faza</w:t>
                  </w:r>
                </w:p>
              </w:tc>
              <w:tc>
                <w:tcPr>
                  <w:tcW w:type="dxa" w:w="1188"/>
                  <w:shd w:fill="E3EBED" w:color="auto" w:val="clear"/>
                  <w:tcMar>
                    <w:top w:type="dxa" w:w="40"/>
                    <w:left w:type="dxa" w:w="60"/>
                    <w:bottom w:type="dxa" w:w="40"/>
                    <w:right w:type="dxa" w:w="60"/>
                  </w:tcMar>
                </w:tcPr>
                <w:p>
                  <w:r>
                    <w:rPr>
                      <w:rFonts w:ascii="Arial" w:cs="Arial" w:eastAsia="Arial" w:hAnsi="Arial"/>
                      <w:b/>
                      <w:bCs/>
                      <w:sz w:val="16"/>
                      <w:szCs w:val="16"/>
                    </w:rPr>
                    <w:t xml:space="preserve">Kada</w:t>
                  </w:r>
                </w:p>
              </w:tc>
              <w:tc>
                <w:tcPr>
                  <w:tcW w:type="dxa" w:w="1188"/>
                  <w:shd w:fill="E3EBED" w:color="auto" w:val="clear"/>
                  <w:tcMar>
                    <w:top w:type="dxa" w:w="40"/>
                    <w:left w:type="dxa" w:w="60"/>
                    <w:bottom w:type="dxa" w:w="40"/>
                    <w:right w:type="dxa" w:w="60"/>
                  </w:tcMar>
                </w:tcPr>
                <w:p>
                  <w:r>
                    <w:rPr>
                      <w:rFonts w:ascii="Arial" w:cs="Arial" w:eastAsia="Arial" w:hAnsi="Arial"/>
                      <w:b/>
                      <w:bCs/>
                      <w:sz w:val="16"/>
                      <w:szCs w:val="16"/>
                    </w:rPr>
                    <w:t xml:space="preserve">Plaćene uloge</w:t>
                  </w:r>
                </w:p>
              </w:tc>
              <w:tc>
                <w:tcPr>
                  <w:tcW w:type="dxa" w:w="1188"/>
                  <w:shd w:fill="E3EBED" w:color="auto" w:val="clear"/>
                  <w:tcMar>
                    <w:top w:type="dxa" w:w="40"/>
                    <w:left w:type="dxa" w:w="60"/>
                    <w:bottom w:type="dxa" w:w="40"/>
                    <w:right w:type="dxa" w:w="60"/>
                  </w:tcMar>
                </w:tcPr>
                <w:p>
                  <w:r>
                    <w:rPr>
                      <w:rFonts w:ascii="Arial" w:cs="Arial" w:eastAsia="Arial" w:hAnsi="Arial"/>
                      <w:b/>
                      <w:bCs/>
                      <w:sz w:val="16"/>
                      <w:szCs w:val="16"/>
                    </w:rPr>
                    <w:t xml:space="preserve">Potrebni operativni prihodi</w:t>
                  </w:r>
                </w:p>
              </w:tc>
            </w:tr>
            <w:tr>
              <w:trPr>
                <w:tblHeader w:val="off"/>
              </w:trPr>
              <w:tc>
                <w:tcPr>
                  <w:tcW w:type="dxa" w:w="1188"/>
                  <w:tcMar>
                    <w:top w:type="dxa" w:w="40"/>
                    <w:left w:type="dxa" w:w="60"/>
                    <w:bottom w:type="dxa" w:w="40"/>
                    <w:right w:type="dxa" w:w="60"/>
                  </w:tcMar>
                </w:tcPr>
                <w:p>
                  <w:r>
                    <w:rPr>
                      <w:rFonts w:ascii="Arial" w:cs="Arial" w:eastAsia="Arial" w:hAnsi="Arial"/>
                      <w:b w:val="false"/>
                      <w:bCs w:val="false"/>
                      <w:sz w:val="16"/>
                      <w:szCs w:val="16"/>
                    </w:rPr>
                    <w:t xml:space="preserve">Dokazati</w:t>
                  </w:r>
                </w:p>
              </w:tc>
              <w:tc>
                <w:tcPr>
                  <w:tcW w:type="dxa" w:w="1188"/>
                  <w:tcMar>
                    <w:top w:type="dxa" w:w="40"/>
                    <w:left w:type="dxa" w:w="60"/>
                    <w:bottom w:type="dxa" w:w="40"/>
                    <w:right w:type="dxa" w:w="60"/>
                  </w:tcMar>
                </w:tcPr>
                <w:p>
                  <w:r>
                    <w:rPr>
                      <w:rFonts w:ascii="Arial" w:cs="Arial" w:eastAsia="Arial" w:hAnsi="Arial"/>
                      <w:b w:val="false"/>
                      <w:bCs w:val="false"/>
                      <w:sz w:val="16"/>
                      <w:szCs w:val="16"/>
                    </w:rPr>
                    <w:t xml:space="preserve">Sada do januara 2027.</w:t>
                  </w:r>
                </w:p>
              </w:tc>
              <w:tc>
                <w:tcPr>
                  <w:tcW w:type="dxa" w:w="1188"/>
                  <w:tcMar>
                    <w:top w:type="dxa" w:w="40"/>
                    <w:left w:type="dxa" w:w="60"/>
                    <w:bottom w:type="dxa" w:w="40"/>
                    <w:right w:type="dxa" w:w="60"/>
                  </w:tcMar>
                </w:tcPr>
                <w:p>
                  <w:r>
                    <w:rPr>
                      <w:rFonts w:ascii="Arial" w:cs="Arial" w:eastAsia="Arial" w:hAnsi="Arial"/>
                      <w:b w:val="false"/>
                      <w:bCs w:val="false"/>
                      <w:sz w:val="16"/>
                      <w:szCs w:val="16"/>
                    </w:rPr>
                    <w:t xml:space="preserve">Svi volonteri, plus jedan honorarni koordinator događaja plaćen iz sponzorstava, 500 do 800 eura mjesečno tokom tri mjeseca</w:t>
                  </w:r>
                </w:p>
              </w:tc>
              <w:tc>
                <w:tcPr>
                  <w:tcW w:type="dxa" w:w="1188"/>
                  <w:tcMar>
                    <w:top w:type="dxa" w:w="40"/>
                    <w:left w:type="dxa" w:w="60"/>
                    <w:bottom w:type="dxa" w:w="40"/>
                    <w:right w:type="dxa" w:w="60"/>
                  </w:tcMar>
                </w:tcPr>
                <w:p>
                  <w:r>
                    <w:rPr>
                      <w:rFonts w:ascii="Arial" w:cs="Arial" w:eastAsia="Arial" w:hAnsi="Arial"/>
                      <w:b w:val="false"/>
                      <w:bCs w:val="false"/>
                      <w:sz w:val="16"/>
                      <w:szCs w:val="16"/>
                    </w:rPr>
                    <w:t xml:space="preserve">35.000 do 60.000 eura</w:t>
                  </w:r>
                </w:p>
              </w:tc>
            </w:tr>
            <w:tr>
              <w:trPr>
                <w:tblHeader w:val="off"/>
              </w:trPr>
              <w:tc>
                <w:tcPr>
                  <w:tcW w:type="dxa" w:w="1188"/>
                  <w:tcMar>
                    <w:top w:type="dxa" w:w="40"/>
                    <w:left w:type="dxa" w:w="60"/>
                    <w:bottom w:type="dxa" w:w="40"/>
                    <w:right w:type="dxa" w:w="60"/>
                  </w:tcMar>
                </w:tcPr>
                <w:p>
                  <w:r>
                    <w:rPr>
                      <w:rFonts w:ascii="Arial" w:cs="Arial" w:eastAsia="Arial" w:hAnsi="Arial"/>
                      <w:b w:val="false"/>
                      <w:bCs w:val="false"/>
                      <w:sz w:val="16"/>
                      <w:szCs w:val="16"/>
                    </w:rPr>
                    <w:t xml:space="preserve">Institucionalizovati</w:t>
                  </w:r>
                </w:p>
              </w:tc>
              <w:tc>
                <w:tcPr>
                  <w:tcW w:type="dxa" w:w="1188"/>
                  <w:tcMar>
                    <w:top w:type="dxa" w:w="40"/>
                    <w:left w:type="dxa" w:w="60"/>
                    <w:bottom w:type="dxa" w:w="40"/>
                    <w:right w:type="dxa" w:w="60"/>
                  </w:tcMar>
                </w:tcPr>
                <w:p>
                  <w:r>
                    <w:rPr>
                      <w:rFonts w:ascii="Arial" w:cs="Arial" w:eastAsia="Arial" w:hAnsi="Arial"/>
                      <w:b w:val="false"/>
                      <w:bCs w:val="false"/>
                      <w:sz w:val="16"/>
                      <w:szCs w:val="16"/>
                    </w:rPr>
                    <w:t xml:space="preserve">2027.</w:t>
                  </w:r>
                </w:p>
              </w:tc>
              <w:tc>
                <w:tcPr>
                  <w:tcW w:type="dxa" w:w="1188"/>
                  <w:tcMar>
                    <w:top w:type="dxa" w:w="40"/>
                    <w:left w:type="dxa" w:w="60"/>
                    <w:bottom w:type="dxa" w:w="40"/>
                    <w:right w:type="dxa" w:w="60"/>
                  </w:tcMar>
                </w:tcPr>
                <w:p>
                  <w:r>
                    <w:rPr>
                      <w:rFonts w:ascii="Arial" w:cs="Arial" w:eastAsia="Arial" w:hAnsi="Arial"/>
                      <w:b w:val="false"/>
                      <w:bCs w:val="false"/>
                      <w:sz w:val="16"/>
                      <w:szCs w:val="16"/>
                    </w:rPr>
                    <w:t xml:space="preserve">Izvršni direktor (1,0), Događaji i ogranci (0,5 do 1,0)</w:t>
                  </w:r>
                </w:p>
              </w:tc>
              <w:tc>
                <w:tcPr>
                  <w:tcW w:type="dxa" w:w="1188"/>
                  <w:tcMar>
                    <w:top w:type="dxa" w:w="40"/>
                    <w:left w:type="dxa" w:w="60"/>
                    <w:bottom w:type="dxa" w:w="40"/>
                    <w:right w:type="dxa" w:w="60"/>
                  </w:tcMar>
                </w:tcPr>
                <w:p>
                  <w:r>
                    <w:rPr>
                      <w:rFonts w:ascii="Arial" w:cs="Arial" w:eastAsia="Arial" w:hAnsi="Arial"/>
                      <w:b w:val="false"/>
                      <w:bCs w:val="false"/>
                      <w:sz w:val="16"/>
                      <w:szCs w:val="16"/>
                    </w:rPr>
                    <w:t xml:space="preserve">90.000 do 130.000 eura</w:t>
                  </w:r>
                </w:p>
              </w:tc>
            </w:tr>
            <w:tr>
              <w:trPr>
                <w:tblHeader w:val="off"/>
              </w:trPr>
              <w:tc>
                <w:tcPr>
                  <w:tcW w:type="dxa" w:w="1188"/>
                  <w:tcMar>
                    <w:top w:type="dxa" w:w="40"/>
                    <w:left w:type="dxa" w:w="60"/>
                    <w:bottom w:type="dxa" w:w="40"/>
                    <w:right w:type="dxa" w:w="60"/>
                  </w:tcMar>
                </w:tcPr>
                <w:p>
                  <w:r>
                    <w:rPr>
                      <w:rFonts w:ascii="Arial" w:cs="Arial" w:eastAsia="Arial" w:hAnsi="Arial"/>
                      <w:b w:val="false"/>
                      <w:bCs w:val="false"/>
                      <w:sz w:val="16"/>
                      <w:szCs w:val="16"/>
                    </w:rPr>
                    <w:t xml:space="preserve">Rast</w:t>
                  </w:r>
                </w:p>
              </w:tc>
              <w:tc>
                <w:tcPr>
                  <w:tcW w:type="dxa" w:w="1188"/>
                  <w:tcMar>
                    <w:top w:type="dxa" w:w="40"/>
                    <w:left w:type="dxa" w:w="60"/>
                    <w:bottom w:type="dxa" w:w="40"/>
                    <w:right w:type="dxa" w:w="60"/>
                  </w:tcMar>
                </w:tcPr>
                <w:p>
                  <w:r>
                    <w:rPr>
                      <w:rFonts w:ascii="Arial" w:cs="Arial" w:eastAsia="Arial" w:hAnsi="Arial"/>
                      <w:b w:val="false"/>
                      <w:bCs w:val="false"/>
                      <w:sz w:val="16"/>
                      <w:szCs w:val="16"/>
                    </w:rPr>
                    <w:t xml:space="preserve">2028.</w:t>
                  </w:r>
                </w:p>
              </w:tc>
              <w:tc>
                <w:tcPr>
                  <w:tcW w:type="dxa" w:w="1188"/>
                  <w:tcMar>
                    <w:top w:type="dxa" w:w="40"/>
                    <w:left w:type="dxa" w:w="60"/>
                    <w:bottom w:type="dxa" w:w="40"/>
                    <w:right w:type="dxa" w:w="60"/>
                  </w:tcMar>
                </w:tcPr>
                <w:p>
                  <w:r>
                    <w:rPr>
                      <w:rFonts w:ascii="Arial" w:cs="Arial" w:eastAsia="Arial" w:hAnsi="Arial"/>
                      <w:b w:val="false"/>
                      <w:bCs w:val="false"/>
                      <w:sz w:val="16"/>
                      <w:szCs w:val="16"/>
                    </w:rPr>
                    <w:t xml:space="preserve">Plus Partnerstva (1,0) i Komunikacije (0,5)</w:t>
                  </w:r>
                </w:p>
              </w:tc>
              <w:tc>
                <w:tcPr>
                  <w:tcW w:type="dxa" w:w="1188"/>
                  <w:tcMar>
                    <w:top w:type="dxa" w:w="40"/>
                    <w:left w:type="dxa" w:w="60"/>
                    <w:bottom w:type="dxa" w:w="40"/>
                    <w:right w:type="dxa" w:w="60"/>
                  </w:tcMar>
                </w:tcPr>
                <w:p>
                  <w:r>
                    <w:rPr>
                      <w:rFonts w:ascii="Arial" w:cs="Arial" w:eastAsia="Arial" w:hAnsi="Arial"/>
                      <w:b w:val="false"/>
                      <w:bCs w:val="false"/>
                      <w:sz w:val="16"/>
                      <w:szCs w:val="16"/>
                    </w:rPr>
                    <w:t xml:space="preserve">180.000 do 240.000 eura</w:t>
                  </w:r>
                </w:p>
              </w:tc>
            </w:tr>
            <w:tr>
              <w:trPr>
                <w:tblHeader w:val="off"/>
              </w:trPr>
              <w:tc>
                <w:tcPr>
                  <w:tcW w:type="dxa" w:w="1188"/>
                  <w:tcMar>
                    <w:top w:type="dxa" w:w="40"/>
                    <w:left w:type="dxa" w:w="60"/>
                    <w:bottom w:type="dxa" w:w="40"/>
                    <w:right w:type="dxa" w:w="60"/>
                  </w:tcMar>
                </w:tcPr>
                <w:p>
                  <w:r>
                    <w:rPr>
                      <w:rFonts w:ascii="Arial" w:cs="Arial" w:eastAsia="Arial" w:hAnsi="Arial"/>
                      <w:b w:val="false"/>
                      <w:bCs w:val="false"/>
                      <w:sz w:val="16"/>
                      <w:szCs w:val="16"/>
                    </w:rPr>
                    <w:t xml:space="preserve">Institucija</w:t>
                  </w:r>
                </w:p>
              </w:tc>
              <w:tc>
                <w:tcPr>
                  <w:tcW w:type="dxa" w:w="1188"/>
                  <w:tcMar>
                    <w:top w:type="dxa" w:w="40"/>
                    <w:left w:type="dxa" w:w="60"/>
                    <w:bottom w:type="dxa" w:w="40"/>
                    <w:right w:type="dxa" w:w="60"/>
                  </w:tcMar>
                </w:tcPr>
                <w:p>
                  <w:r>
                    <w:rPr>
                      <w:rFonts w:ascii="Arial" w:cs="Arial" w:eastAsia="Arial" w:hAnsi="Arial"/>
                      <w:b w:val="false"/>
                      <w:bCs w:val="false"/>
                      <w:sz w:val="16"/>
                      <w:szCs w:val="16"/>
                    </w:rPr>
                    <w:t xml:space="preserve">Od 2029.</w:t>
                  </w:r>
                </w:p>
              </w:tc>
              <w:tc>
                <w:tcPr>
                  <w:tcW w:type="dxa" w:w="1188"/>
                  <w:tcMar>
                    <w:top w:type="dxa" w:w="40"/>
                    <w:left w:type="dxa" w:w="60"/>
                    <w:bottom w:type="dxa" w:w="40"/>
                    <w:right w:type="dxa" w:w="60"/>
                  </w:tcMar>
                </w:tcPr>
                <w:p>
                  <w:r>
                    <w:rPr>
                      <w:rFonts w:ascii="Arial" w:cs="Arial" w:eastAsia="Arial" w:hAnsi="Arial"/>
                      <w:b w:val="false"/>
                      <w:bCs w:val="false"/>
                      <w:sz w:val="16"/>
                      <w:szCs w:val="16"/>
                    </w:rPr>
                    <w:t xml:space="preserve">Pet do šest sa punim radnim vremenom; rukovodioci ogranaka dijelom plaćeni</w:t>
                  </w:r>
                </w:p>
              </w:tc>
              <w:tc>
                <w:tcPr>
                  <w:tcW w:type="dxa" w:w="1188"/>
                  <w:tcMar>
                    <w:top w:type="dxa" w:w="40"/>
                    <w:left w:type="dxa" w:w="60"/>
                    <w:bottom w:type="dxa" w:w="40"/>
                    <w:right w:type="dxa" w:w="60"/>
                  </w:tcMar>
                </w:tcPr>
                <w:p>
                  <w:r>
                    <w:rPr>
                      <w:rFonts w:ascii="Arial" w:cs="Arial" w:eastAsia="Arial" w:hAnsi="Arial"/>
                      <w:b w:val="false"/>
                      <w:bCs w:val="false"/>
                      <w:sz w:val="16"/>
                      <w:szCs w:val="16"/>
                    </w:rPr>
                    <w:t xml:space="preserve">300.000 eura i više</w:t>
                  </w:r>
                </w:p>
              </w:tc>
            </w:tr>
          </w:tbl>
          <w:p/>
        </w:tc>
        <w:tc>
          <w:tcPr>
            <w:tcW w:type="dxa" w:w="4953"/>
            <w:tcMar>
              <w:top w:type="dxa" w:w="80"/>
              <w:left w:type="dxa" w:w="100"/>
              <w:bottom w:type="dxa" w:w="80"/>
              <w:right w:type="dxa" w:w="100"/>
            </w:tcMar>
          </w:tcPr>
          <w:tbl>
            <w:tblPr>
              <w:tblW w:type="dxa" w:w="4753"/>
              <w:tblBorders>
                <w:top w:val="single" w:color="C9D3D7" w:sz="4"/>
                <w:left w:val="single" w:color="C9D3D7" w:sz="4"/>
                <w:bottom w:val="single" w:color="C9D3D7" w:sz="4"/>
                <w:right w:val="single" w:color="C9D3D7" w:sz="4"/>
                <w:insideH w:val="single" w:color="C9D3D7" w:sz="4"/>
                <w:insideV w:val="single" w:color="C9D3D7" w:sz="4"/>
              </w:tblBorders>
            </w:tblPr>
            <w:tblGrid>
              <w:gridCol w:w="1188"/>
              <w:gridCol w:w="1188"/>
              <w:gridCol w:w="1188"/>
              <w:gridCol w:w="1188"/>
            </w:tblGrid>
            <w:tr>
              <w:trPr>
                <w:tblHeader/>
              </w:trPr>
              <w:tc>
                <w:tcPr>
                  <w:tcW w:type="dxa" w:w="1188"/>
                  <w:shd w:fill="E3EBED" w:color="auto" w:val="clear"/>
                  <w:tcMar>
                    <w:top w:type="dxa" w:w="40"/>
                    <w:left w:type="dxa" w:w="60"/>
                    <w:bottom w:type="dxa" w:w="40"/>
                    <w:right w:type="dxa" w:w="60"/>
                  </w:tcMar>
                </w:tcPr>
                <w:p>
                  <w:r>
                    <w:rPr>
                      <w:rFonts w:ascii="Arial" w:cs="Arial" w:eastAsia="Arial" w:hAnsi="Arial"/>
                      <w:b/>
                      <w:bCs/>
                      <w:sz w:val="16"/>
                      <w:szCs w:val="16"/>
                    </w:rPr>
                    <w:t xml:space="preserve">Phase</w:t>
                  </w:r>
                </w:p>
              </w:tc>
              <w:tc>
                <w:tcPr>
                  <w:tcW w:type="dxa" w:w="1188"/>
                  <w:shd w:fill="E3EBED" w:color="auto" w:val="clear"/>
                  <w:tcMar>
                    <w:top w:type="dxa" w:w="40"/>
                    <w:left w:type="dxa" w:w="60"/>
                    <w:bottom w:type="dxa" w:w="40"/>
                    <w:right w:type="dxa" w:w="60"/>
                  </w:tcMar>
                </w:tcPr>
                <w:p>
                  <w:r>
                    <w:rPr>
                      <w:rFonts w:ascii="Arial" w:cs="Arial" w:eastAsia="Arial" w:hAnsi="Arial"/>
                      <w:b/>
                      <w:bCs/>
                      <w:sz w:val="16"/>
                      <w:szCs w:val="16"/>
                    </w:rPr>
                    <w:t xml:space="preserve">When</w:t>
                  </w:r>
                </w:p>
              </w:tc>
              <w:tc>
                <w:tcPr>
                  <w:tcW w:type="dxa" w:w="1188"/>
                  <w:shd w:fill="E3EBED" w:color="auto" w:val="clear"/>
                  <w:tcMar>
                    <w:top w:type="dxa" w:w="40"/>
                    <w:left w:type="dxa" w:w="60"/>
                    <w:bottom w:type="dxa" w:w="40"/>
                    <w:right w:type="dxa" w:w="60"/>
                  </w:tcMar>
                </w:tcPr>
                <w:p>
                  <w:r>
                    <w:rPr>
                      <w:rFonts w:ascii="Arial" w:cs="Arial" w:eastAsia="Arial" w:hAnsi="Arial"/>
                      <w:b/>
                      <w:bCs/>
                      <w:sz w:val="16"/>
                      <w:szCs w:val="16"/>
                    </w:rPr>
                    <w:t xml:space="preserve">Paid roles</w:t>
                  </w:r>
                </w:p>
              </w:tc>
              <w:tc>
                <w:tcPr>
                  <w:tcW w:type="dxa" w:w="1188"/>
                  <w:shd w:fill="E3EBED" w:color="auto" w:val="clear"/>
                  <w:tcMar>
                    <w:top w:type="dxa" w:w="40"/>
                    <w:left w:type="dxa" w:w="60"/>
                    <w:bottom w:type="dxa" w:w="40"/>
                    <w:right w:type="dxa" w:w="60"/>
                  </w:tcMar>
                </w:tcPr>
                <w:p>
                  <w:r>
                    <w:rPr>
                      <w:rFonts w:ascii="Arial" w:cs="Arial" w:eastAsia="Arial" w:hAnsi="Arial"/>
                      <w:b/>
                      <w:bCs/>
                      <w:sz w:val="16"/>
                      <w:szCs w:val="16"/>
                    </w:rPr>
                    <w:t xml:space="preserve">Operating revenue needed</w:t>
                  </w:r>
                </w:p>
              </w:tc>
            </w:tr>
            <w:tr>
              <w:trPr>
                <w:tblHeader w:val="off"/>
              </w:trPr>
              <w:tc>
                <w:tcPr>
                  <w:tcW w:type="dxa" w:w="1188"/>
                  <w:tcMar>
                    <w:top w:type="dxa" w:w="40"/>
                    <w:left w:type="dxa" w:w="60"/>
                    <w:bottom w:type="dxa" w:w="40"/>
                    <w:right w:type="dxa" w:w="60"/>
                  </w:tcMar>
                </w:tcPr>
                <w:p>
                  <w:r>
                    <w:rPr>
                      <w:rFonts w:ascii="Arial" w:cs="Arial" w:eastAsia="Arial" w:hAnsi="Arial"/>
                      <w:b w:val="false"/>
                      <w:bCs w:val="false"/>
                      <w:sz w:val="16"/>
                      <w:szCs w:val="16"/>
                    </w:rPr>
                    <w:t xml:space="preserve">Prove it</w:t>
                  </w:r>
                </w:p>
              </w:tc>
              <w:tc>
                <w:tcPr>
                  <w:tcW w:type="dxa" w:w="1188"/>
                  <w:tcMar>
                    <w:top w:type="dxa" w:w="40"/>
                    <w:left w:type="dxa" w:w="60"/>
                    <w:bottom w:type="dxa" w:w="40"/>
                    <w:right w:type="dxa" w:w="60"/>
                  </w:tcMar>
                </w:tcPr>
                <w:p>
                  <w:r>
                    <w:rPr>
                      <w:rFonts w:ascii="Arial" w:cs="Arial" w:eastAsia="Arial" w:hAnsi="Arial"/>
                      <w:b w:val="false"/>
                      <w:bCs w:val="false"/>
                      <w:sz w:val="16"/>
                      <w:szCs w:val="16"/>
                    </w:rPr>
                    <w:t xml:space="preserve">Now to January 2027</w:t>
                  </w:r>
                </w:p>
              </w:tc>
              <w:tc>
                <w:tcPr>
                  <w:tcW w:type="dxa" w:w="1188"/>
                  <w:tcMar>
                    <w:top w:type="dxa" w:w="40"/>
                    <w:left w:type="dxa" w:w="60"/>
                    <w:bottom w:type="dxa" w:w="40"/>
                    <w:right w:type="dxa" w:w="60"/>
                  </w:tcMar>
                </w:tcPr>
                <w:p>
                  <w:r>
                    <w:rPr>
                      <w:rFonts w:ascii="Arial" w:cs="Arial" w:eastAsia="Arial" w:hAnsi="Arial"/>
                      <w:b w:val="false"/>
                      <w:bCs w:val="false"/>
                      <w:sz w:val="16"/>
                      <w:szCs w:val="16"/>
                    </w:rPr>
                    <w:t xml:space="preserve">All volunteer, plus one part-time event coordinator paid from sponsorship, €500 to €800 a month for three months</w:t>
                  </w:r>
                </w:p>
              </w:tc>
              <w:tc>
                <w:tcPr>
                  <w:tcW w:type="dxa" w:w="1188"/>
                  <w:tcMar>
                    <w:top w:type="dxa" w:w="40"/>
                    <w:left w:type="dxa" w:w="60"/>
                    <w:bottom w:type="dxa" w:w="40"/>
                    <w:right w:type="dxa" w:w="60"/>
                  </w:tcMar>
                </w:tcPr>
                <w:p>
                  <w:r>
                    <w:rPr>
                      <w:rFonts w:ascii="Arial" w:cs="Arial" w:eastAsia="Arial" w:hAnsi="Arial"/>
                      <w:b w:val="false"/>
                      <w:bCs w:val="false"/>
                      <w:sz w:val="16"/>
                      <w:szCs w:val="16"/>
                    </w:rPr>
                    <w:t xml:space="preserve">€35,000 to €60,000</w:t>
                  </w:r>
                </w:p>
              </w:tc>
            </w:tr>
            <w:tr>
              <w:trPr>
                <w:tblHeader w:val="off"/>
              </w:trPr>
              <w:tc>
                <w:tcPr>
                  <w:tcW w:type="dxa" w:w="1188"/>
                  <w:tcMar>
                    <w:top w:type="dxa" w:w="40"/>
                    <w:left w:type="dxa" w:w="60"/>
                    <w:bottom w:type="dxa" w:w="40"/>
                    <w:right w:type="dxa" w:w="60"/>
                  </w:tcMar>
                </w:tcPr>
                <w:p>
                  <w:r>
                    <w:rPr>
                      <w:rFonts w:ascii="Arial" w:cs="Arial" w:eastAsia="Arial" w:hAnsi="Arial"/>
                      <w:b w:val="false"/>
                      <w:bCs w:val="false"/>
                      <w:sz w:val="16"/>
                      <w:szCs w:val="16"/>
                    </w:rPr>
                    <w:t xml:space="preserve">Institutionalise</w:t>
                  </w:r>
                </w:p>
              </w:tc>
              <w:tc>
                <w:tcPr>
                  <w:tcW w:type="dxa" w:w="1188"/>
                  <w:tcMar>
                    <w:top w:type="dxa" w:w="40"/>
                    <w:left w:type="dxa" w:w="60"/>
                    <w:bottom w:type="dxa" w:w="40"/>
                    <w:right w:type="dxa" w:w="60"/>
                  </w:tcMar>
                </w:tcPr>
                <w:p>
                  <w:r>
                    <w:rPr>
                      <w:rFonts w:ascii="Arial" w:cs="Arial" w:eastAsia="Arial" w:hAnsi="Arial"/>
                      <w:b w:val="false"/>
                      <w:bCs w:val="false"/>
                      <w:sz w:val="16"/>
                      <w:szCs w:val="16"/>
                    </w:rPr>
                    <w:t xml:space="preserve">2027</w:t>
                  </w:r>
                </w:p>
              </w:tc>
              <w:tc>
                <w:tcPr>
                  <w:tcW w:type="dxa" w:w="1188"/>
                  <w:tcMar>
                    <w:top w:type="dxa" w:w="40"/>
                    <w:left w:type="dxa" w:w="60"/>
                    <w:bottom w:type="dxa" w:w="40"/>
                    <w:right w:type="dxa" w:w="60"/>
                  </w:tcMar>
                </w:tcPr>
                <w:p>
                  <w:r>
                    <w:rPr>
                      <w:rFonts w:ascii="Arial" w:cs="Arial" w:eastAsia="Arial" w:hAnsi="Arial"/>
                      <w:b w:val="false"/>
                      <w:bCs w:val="false"/>
                      <w:sz w:val="16"/>
                      <w:szCs w:val="16"/>
                    </w:rPr>
                    <w:t xml:space="preserve">Executive Director (1.0), Events and Chapters (0.5 growing to 1.0)</w:t>
                  </w:r>
                </w:p>
              </w:tc>
              <w:tc>
                <w:tcPr>
                  <w:tcW w:type="dxa" w:w="1188"/>
                  <w:tcMar>
                    <w:top w:type="dxa" w:w="40"/>
                    <w:left w:type="dxa" w:w="60"/>
                    <w:bottom w:type="dxa" w:w="40"/>
                    <w:right w:type="dxa" w:w="60"/>
                  </w:tcMar>
                </w:tcPr>
                <w:p>
                  <w:r>
                    <w:rPr>
                      <w:rFonts w:ascii="Arial" w:cs="Arial" w:eastAsia="Arial" w:hAnsi="Arial"/>
                      <w:b w:val="false"/>
                      <w:bCs w:val="false"/>
                      <w:sz w:val="16"/>
                      <w:szCs w:val="16"/>
                    </w:rPr>
                    <w:t xml:space="preserve">€90,000 to €130,000</w:t>
                  </w:r>
                </w:p>
              </w:tc>
            </w:tr>
            <w:tr>
              <w:trPr>
                <w:tblHeader w:val="off"/>
              </w:trPr>
              <w:tc>
                <w:tcPr>
                  <w:tcW w:type="dxa" w:w="1188"/>
                  <w:tcMar>
                    <w:top w:type="dxa" w:w="40"/>
                    <w:left w:type="dxa" w:w="60"/>
                    <w:bottom w:type="dxa" w:w="40"/>
                    <w:right w:type="dxa" w:w="60"/>
                  </w:tcMar>
                </w:tcPr>
                <w:p>
                  <w:r>
                    <w:rPr>
                      <w:rFonts w:ascii="Arial" w:cs="Arial" w:eastAsia="Arial" w:hAnsi="Arial"/>
                      <w:b w:val="false"/>
                      <w:bCs w:val="false"/>
                      <w:sz w:val="16"/>
                      <w:szCs w:val="16"/>
                    </w:rPr>
                    <w:t xml:space="preserve">Scale</w:t>
                  </w:r>
                </w:p>
              </w:tc>
              <w:tc>
                <w:tcPr>
                  <w:tcW w:type="dxa" w:w="1188"/>
                  <w:tcMar>
                    <w:top w:type="dxa" w:w="40"/>
                    <w:left w:type="dxa" w:w="60"/>
                    <w:bottom w:type="dxa" w:w="40"/>
                    <w:right w:type="dxa" w:w="60"/>
                  </w:tcMar>
                </w:tcPr>
                <w:p>
                  <w:r>
                    <w:rPr>
                      <w:rFonts w:ascii="Arial" w:cs="Arial" w:eastAsia="Arial" w:hAnsi="Arial"/>
                      <w:b w:val="false"/>
                      <w:bCs w:val="false"/>
                      <w:sz w:val="16"/>
                      <w:szCs w:val="16"/>
                    </w:rPr>
                    <w:t xml:space="preserve">2028</w:t>
                  </w:r>
                </w:p>
              </w:tc>
              <w:tc>
                <w:tcPr>
                  <w:tcW w:type="dxa" w:w="1188"/>
                  <w:tcMar>
                    <w:top w:type="dxa" w:w="40"/>
                    <w:left w:type="dxa" w:w="60"/>
                    <w:bottom w:type="dxa" w:w="40"/>
                    <w:right w:type="dxa" w:w="60"/>
                  </w:tcMar>
                </w:tcPr>
                <w:p>
                  <w:r>
                    <w:rPr>
                      <w:rFonts w:ascii="Arial" w:cs="Arial" w:eastAsia="Arial" w:hAnsi="Arial"/>
                      <w:b w:val="false"/>
                      <w:bCs w:val="false"/>
                      <w:sz w:val="16"/>
                      <w:szCs w:val="16"/>
                    </w:rPr>
                    <w:t xml:space="preserve">Plus Partnerships (1.0) and Communications (0.5)</w:t>
                  </w:r>
                </w:p>
              </w:tc>
              <w:tc>
                <w:tcPr>
                  <w:tcW w:type="dxa" w:w="1188"/>
                  <w:tcMar>
                    <w:top w:type="dxa" w:w="40"/>
                    <w:left w:type="dxa" w:w="60"/>
                    <w:bottom w:type="dxa" w:w="40"/>
                    <w:right w:type="dxa" w:w="60"/>
                  </w:tcMar>
                </w:tcPr>
                <w:p>
                  <w:r>
                    <w:rPr>
                      <w:rFonts w:ascii="Arial" w:cs="Arial" w:eastAsia="Arial" w:hAnsi="Arial"/>
                      <w:b w:val="false"/>
                      <w:bCs w:val="false"/>
                      <w:sz w:val="16"/>
                      <w:szCs w:val="16"/>
                    </w:rPr>
                    <w:t xml:space="preserve">€180,000 to €240,000</w:t>
                  </w:r>
                </w:p>
              </w:tc>
            </w:tr>
            <w:tr>
              <w:trPr>
                <w:tblHeader w:val="off"/>
              </w:trPr>
              <w:tc>
                <w:tcPr>
                  <w:tcW w:type="dxa" w:w="1188"/>
                  <w:tcMar>
                    <w:top w:type="dxa" w:w="40"/>
                    <w:left w:type="dxa" w:w="60"/>
                    <w:bottom w:type="dxa" w:w="40"/>
                    <w:right w:type="dxa" w:w="60"/>
                  </w:tcMar>
                </w:tcPr>
                <w:p>
                  <w:r>
                    <w:rPr>
                      <w:rFonts w:ascii="Arial" w:cs="Arial" w:eastAsia="Arial" w:hAnsi="Arial"/>
                      <w:b w:val="false"/>
                      <w:bCs w:val="false"/>
                      <w:sz w:val="16"/>
                      <w:szCs w:val="16"/>
                    </w:rPr>
                    <w:t xml:space="preserve">Institution</w:t>
                  </w:r>
                </w:p>
              </w:tc>
              <w:tc>
                <w:tcPr>
                  <w:tcW w:type="dxa" w:w="1188"/>
                  <w:tcMar>
                    <w:top w:type="dxa" w:w="40"/>
                    <w:left w:type="dxa" w:w="60"/>
                    <w:bottom w:type="dxa" w:w="40"/>
                    <w:right w:type="dxa" w:w="60"/>
                  </w:tcMar>
                </w:tcPr>
                <w:p>
                  <w:r>
                    <w:rPr>
                      <w:rFonts w:ascii="Arial" w:cs="Arial" w:eastAsia="Arial" w:hAnsi="Arial"/>
                      <w:b w:val="false"/>
                      <w:bCs w:val="false"/>
                      <w:sz w:val="16"/>
                      <w:szCs w:val="16"/>
                    </w:rPr>
                    <w:t xml:space="preserve">2029 onwards</w:t>
                  </w:r>
                </w:p>
              </w:tc>
              <w:tc>
                <w:tcPr>
                  <w:tcW w:type="dxa" w:w="1188"/>
                  <w:tcMar>
                    <w:top w:type="dxa" w:w="40"/>
                    <w:left w:type="dxa" w:w="60"/>
                    <w:bottom w:type="dxa" w:w="40"/>
                    <w:right w:type="dxa" w:w="60"/>
                  </w:tcMar>
                </w:tcPr>
                <w:p>
                  <w:r>
                    <w:rPr>
                      <w:rFonts w:ascii="Arial" w:cs="Arial" w:eastAsia="Arial" w:hAnsi="Arial"/>
                      <w:b w:val="false"/>
                      <w:bCs w:val="false"/>
                      <w:sz w:val="16"/>
                      <w:szCs w:val="16"/>
                    </w:rPr>
                    <w:t xml:space="preserve">Five to six full time; chapter leads part-paid</w:t>
                  </w:r>
                </w:p>
              </w:tc>
              <w:tc>
                <w:tcPr>
                  <w:tcW w:type="dxa" w:w="1188"/>
                  <w:tcMar>
                    <w:top w:type="dxa" w:w="40"/>
                    <w:left w:type="dxa" w:w="60"/>
                    <w:bottom w:type="dxa" w:w="40"/>
                    <w:right w:type="dxa" w:w="60"/>
                  </w:tcMar>
                </w:tcPr>
                <w:p>
                  <w:r>
                    <w:rPr>
                      <w:rFonts w:ascii="Arial" w:cs="Arial" w:eastAsia="Arial" w:hAnsi="Arial"/>
                      <w:b w:val="false"/>
                      <w:bCs w:val="false"/>
                      <w:sz w:val="16"/>
                      <w:szCs w:val="16"/>
                    </w:rPr>
                    <w:t xml:space="preserve">€300,000 and above</w:t>
                  </w:r>
                </w:p>
              </w:tc>
            </w:tr>
          </w:tbl>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Izvršni direktor je prvo zapošljavanje, prije marketinga: usko grlo u prvoj godini su izvršenje i odnosi sa sponzorima, a ne prepoznatljivost.</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The Executive Director is the first hire, before a marketer: the year-one bottleneck is execution and sponsor relationships, not awareness.</w:t>
            </w:r>
          </w:p>
        </w:tc>
      </w:tr>
      <w:tr>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Član 7 — Rasponi zarada</w:t>
            </w:r>
          </w:p>
        </w:tc>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Article 7 — Pay bands</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Bruto mjesečni rasponi, koji se upoređuju sa tržištem prije prvog ugovora i unose u zapisnik. Dok raspon nije utvrđen, radno mjesto se ne oglašava.</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Gross monthly bands, to be benchmarked before the first contract and recorded in the minutes. Until a band is set, the role is not advertised.</w:t>
            </w:r>
          </w:p>
        </w:tc>
      </w:tr>
      <w:tr>
        <w:tc>
          <w:tcPr>
            <w:tcW w:type="dxa" w:w="4953"/>
            <w:tcMar>
              <w:top w:type="dxa" w:w="80"/>
              <w:left w:type="dxa" w:w="100"/>
              <w:bottom w:type="dxa" w:w="80"/>
              <w:right w:type="dxa" w:w="100"/>
            </w:tcMar>
          </w:tcPr>
          <w:tbl>
            <w:tblPr>
              <w:tblW w:type="dxa" w:w="4753"/>
              <w:tblBorders>
                <w:top w:val="single" w:color="C9D3D7" w:sz="4"/>
                <w:left w:val="single" w:color="C9D3D7" w:sz="4"/>
                <w:bottom w:val="single" w:color="C9D3D7" w:sz="4"/>
                <w:right w:val="single" w:color="C9D3D7" w:sz="4"/>
                <w:insideH w:val="single" w:color="C9D3D7" w:sz="4"/>
                <w:insideV w:val="single" w:color="C9D3D7" w:sz="4"/>
              </w:tblBorders>
            </w:tblPr>
            <w:tblGrid>
              <w:gridCol w:w="1584"/>
              <w:gridCol w:w="1584"/>
              <w:gridCol w:w="1584"/>
            </w:tblGrid>
            <w:tr>
              <w:trPr>
                <w:tblHeader/>
              </w:trPr>
              <w:tc>
                <w:tcPr>
                  <w:tcW w:type="dxa" w:w="1584"/>
                  <w:shd w:fill="E3EBED" w:color="auto" w:val="clear"/>
                  <w:tcMar>
                    <w:top w:type="dxa" w:w="40"/>
                    <w:left w:type="dxa" w:w="60"/>
                    <w:bottom w:type="dxa" w:w="40"/>
                    <w:right w:type="dxa" w:w="60"/>
                  </w:tcMar>
                </w:tcPr>
                <w:p>
                  <w:r>
                    <w:rPr>
                      <w:rFonts w:ascii="Arial" w:cs="Arial" w:eastAsia="Arial" w:hAnsi="Arial"/>
                      <w:b/>
                      <w:bCs/>
                      <w:sz w:val="16"/>
                      <w:szCs w:val="16"/>
                    </w:rPr>
                    <w:t xml:space="preserve">Uloga</w:t>
                  </w:r>
                </w:p>
              </w:tc>
              <w:tc>
                <w:tcPr>
                  <w:tcW w:type="dxa" w:w="1584"/>
                  <w:shd w:fill="E3EBED" w:color="auto" w:val="clear"/>
                  <w:tcMar>
                    <w:top w:type="dxa" w:w="40"/>
                    <w:left w:type="dxa" w:w="60"/>
                    <w:bottom w:type="dxa" w:w="40"/>
                    <w:right w:type="dxa" w:w="60"/>
                  </w:tcMar>
                </w:tcPr>
                <w:p>
                  <w:r>
                    <w:rPr>
                      <w:rFonts w:ascii="Arial" w:cs="Arial" w:eastAsia="Arial" w:hAnsi="Arial"/>
                      <w:b/>
                      <w:bCs/>
                      <w:sz w:val="16"/>
                      <w:szCs w:val="16"/>
                    </w:rPr>
                    <w:t xml:space="preserve">Raspon, bruto mjesečno</w:t>
                  </w:r>
                </w:p>
              </w:tc>
              <w:tc>
                <w:tcPr>
                  <w:tcW w:type="dxa" w:w="1584"/>
                  <w:shd w:fill="E3EBED" w:color="auto" w:val="clear"/>
                  <w:tcMar>
                    <w:top w:type="dxa" w:w="40"/>
                    <w:left w:type="dxa" w:w="60"/>
                    <w:bottom w:type="dxa" w:w="40"/>
                    <w:right w:type="dxa" w:w="60"/>
                  </w:tcMar>
                </w:tcPr>
                <w:p>
                  <w:r>
                    <w:rPr>
                      <w:rFonts w:ascii="Arial" w:cs="Arial" w:eastAsia="Arial" w:hAnsi="Arial"/>
                      <w:b/>
                      <w:bCs/>
                      <w:sz w:val="16"/>
                      <w:szCs w:val="16"/>
                    </w:rPr>
                    <w:t xml:space="preserve">Poređenje</w:t>
                  </w:r>
                </w:p>
              </w:tc>
            </w:tr>
            <w:tr>
              <w:trPr>
                <w:tblHeader w:val="off"/>
              </w:trPr>
              <w:tc>
                <w:tcPr>
                  <w:tcW w:type="dxa" w:w="1584"/>
                  <w:tcMar>
                    <w:top w:type="dxa" w:w="40"/>
                    <w:left w:type="dxa" w:w="60"/>
                    <w:bottom w:type="dxa" w:w="40"/>
                    <w:right w:type="dxa" w:w="60"/>
                  </w:tcMar>
                </w:tcPr>
                <w:p>
                  <w:r>
                    <w:rPr>
                      <w:rFonts w:ascii="Arial" w:cs="Arial" w:eastAsia="Arial" w:hAnsi="Arial"/>
                      <w:b w:val="false"/>
                      <w:bCs w:val="false"/>
                      <w:sz w:val="16"/>
                      <w:szCs w:val="16"/>
                    </w:rPr>
                    <w:t xml:space="preserve">Izvršni direktor</w:t>
                  </w:r>
                </w:p>
              </w:tc>
              <w:tc>
                <w:tcPr>
                  <w:tcW w:type="dxa" w:w="1584"/>
                  <w:tcMar>
                    <w:top w:type="dxa" w:w="40"/>
                    <w:left w:type="dxa" w:w="60"/>
                    <w:bottom w:type="dxa" w:w="40"/>
                    <w:right w:type="dxa" w:w="60"/>
                  </w:tcMar>
                </w:tcPr>
                <w:p>
                  <w:r>
                    <w:rPr>
                      <w:rFonts w:ascii="Arial" w:cs="Arial" w:eastAsia="Arial" w:hAnsi="Arial"/>
                      <w:b w:val="false"/>
                      <w:bCs w:val="false"/>
                      <w:sz w:val="16"/>
                      <w:szCs w:val="16"/>
                    </w:rPr>
                    <w:t xml:space="preserve">[[PLACEHOLDER: raspon poslije poređenja]]</w:t>
                  </w:r>
                </w:p>
              </w:tc>
              <w:tc>
                <w:tcPr>
                  <w:tcW w:type="dxa" w:w="1584"/>
                  <w:tcMar>
                    <w:top w:type="dxa" w:w="40"/>
                    <w:left w:type="dxa" w:w="60"/>
                    <w:bottom w:type="dxa" w:w="40"/>
                    <w:right w:type="dxa" w:w="60"/>
                  </w:tcMar>
                </w:tcPr>
                <w:p>
                  <w:r>
                    <w:rPr>
                      <w:rFonts w:ascii="Arial" w:cs="Arial" w:eastAsia="Arial" w:hAnsi="Arial"/>
                      <w:b w:val="false"/>
                      <w:bCs w:val="false"/>
                      <w:sz w:val="16"/>
                      <w:szCs w:val="16"/>
                    </w:rPr>
                    <w:t xml:space="preserve">[[PLACEHOLDER: izvor, npr. uporedivi direktori NVO u Crnoj Gori]]</w:t>
                  </w:r>
                </w:p>
              </w:tc>
            </w:tr>
            <w:tr>
              <w:trPr>
                <w:tblHeader w:val="off"/>
              </w:trPr>
              <w:tc>
                <w:tcPr>
                  <w:tcW w:type="dxa" w:w="1584"/>
                  <w:tcMar>
                    <w:top w:type="dxa" w:w="40"/>
                    <w:left w:type="dxa" w:w="60"/>
                    <w:bottom w:type="dxa" w:w="40"/>
                    <w:right w:type="dxa" w:w="60"/>
                  </w:tcMar>
                </w:tcPr>
                <w:p>
                  <w:r>
                    <w:rPr>
                      <w:rFonts w:ascii="Arial" w:cs="Arial" w:eastAsia="Arial" w:hAnsi="Arial"/>
                      <w:b w:val="false"/>
                      <w:bCs w:val="false"/>
                      <w:sz w:val="16"/>
                      <w:szCs w:val="16"/>
                    </w:rPr>
                    <w:t xml:space="preserve">Događaji i ogranci</w:t>
                  </w:r>
                </w:p>
              </w:tc>
              <w:tc>
                <w:tcPr>
                  <w:tcW w:type="dxa" w:w="1584"/>
                  <w:tcMar>
                    <w:top w:type="dxa" w:w="40"/>
                    <w:left w:type="dxa" w:w="60"/>
                    <w:bottom w:type="dxa" w:w="40"/>
                    <w:right w:type="dxa" w:w="60"/>
                  </w:tcMar>
                </w:tcPr>
                <w:p>
                  <w:r>
                    <w:rPr>
                      <w:rFonts w:ascii="Arial" w:cs="Arial" w:eastAsia="Arial" w:hAnsi="Arial"/>
                      <w:b w:val="false"/>
                      <w:bCs w:val="false"/>
                      <w:sz w:val="16"/>
                      <w:szCs w:val="16"/>
                    </w:rPr>
                    <w:t xml:space="preserve">[[PLACEHOLDER: raspon poslije poređenja]]</w:t>
                  </w:r>
                </w:p>
              </w:tc>
              <w:tc>
                <w:tcPr>
                  <w:tcW w:type="dxa" w:w="1584"/>
                  <w:tcMar>
                    <w:top w:type="dxa" w:w="40"/>
                    <w:left w:type="dxa" w:w="60"/>
                    <w:bottom w:type="dxa" w:w="40"/>
                    <w:right w:type="dxa" w:w="60"/>
                  </w:tcMar>
                </w:tcPr>
                <w:p>
                  <w:r>
                    <w:rPr>
                      <w:rFonts w:ascii="Arial" w:cs="Arial" w:eastAsia="Arial" w:hAnsi="Arial"/>
                      <w:b w:val="false"/>
                      <w:bCs w:val="false"/>
                      <w:sz w:val="16"/>
                      <w:szCs w:val="16"/>
                    </w:rPr>
                    <w:t xml:space="preserve">[[PLACEHOLDER: izvor]]</w:t>
                  </w:r>
                </w:p>
              </w:tc>
            </w:tr>
            <w:tr>
              <w:trPr>
                <w:tblHeader w:val="off"/>
              </w:trPr>
              <w:tc>
                <w:tcPr>
                  <w:tcW w:type="dxa" w:w="1584"/>
                  <w:tcMar>
                    <w:top w:type="dxa" w:w="40"/>
                    <w:left w:type="dxa" w:w="60"/>
                    <w:bottom w:type="dxa" w:w="40"/>
                    <w:right w:type="dxa" w:w="60"/>
                  </w:tcMar>
                </w:tcPr>
                <w:p>
                  <w:r>
                    <w:rPr>
                      <w:rFonts w:ascii="Arial" w:cs="Arial" w:eastAsia="Arial" w:hAnsi="Arial"/>
                      <w:b w:val="false"/>
                      <w:bCs w:val="false"/>
                      <w:sz w:val="16"/>
                      <w:szCs w:val="16"/>
                    </w:rPr>
                    <w:t xml:space="preserve">Honorarni koordinator događaja</w:t>
                  </w:r>
                </w:p>
              </w:tc>
              <w:tc>
                <w:tcPr>
                  <w:tcW w:type="dxa" w:w="1584"/>
                  <w:tcMar>
                    <w:top w:type="dxa" w:w="40"/>
                    <w:left w:type="dxa" w:w="60"/>
                    <w:bottom w:type="dxa" w:w="40"/>
                    <w:right w:type="dxa" w:w="60"/>
                  </w:tcMar>
                </w:tcPr>
                <w:p>
                  <w:r>
                    <w:rPr>
                      <w:rFonts w:ascii="Arial" w:cs="Arial" w:eastAsia="Arial" w:hAnsi="Arial"/>
                      <w:b w:val="false"/>
                      <w:bCs w:val="false"/>
                      <w:sz w:val="16"/>
                      <w:szCs w:val="16"/>
                    </w:rPr>
                    <w:t xml:space="preserve">500 do 800 eura tokom tri mjeseca (vodič za tim)</w:t>
                  </w:r>
                </w:p>
              </w:tc>
              <w:tc>
                <w:tcPr>
                  <w:tcW w:type="dxa" w:w="1584"/>
                  <w:tcMar>
                    <w:top w:type="dxa" w:w="40"/>
                    <w:left w:type="dxa" w:w="60"/>
                    <w:bottom w:type="dxa" w:w="40"/>
                    <w:right w:type="dxa" w:w="60"/>
                  </w:tcMar>
                </w:tcPr>
                <w:p>
                  <w:r>
                    <w:rPr>
                      <w:rFonts w:ascii="Arial" w:cs="Arial" w:eastAsia="Arial" w:hAnsi="Arial"/>
                      <w:b w:val="false"/>
                      <w:bCs w:val="false"/>
                      <w:sz w:val="16"/>
                      <w:szCs w:val="16"/>
                    </w:rPr>
                    <w:t xml:space="preserve">Vodič za tim, 2026.</w:t>
                  </w:r>
                </w:p>
              </w:tc>
            </w:tr>
            <w:tr>
              <w:trPr>
                <w:tblHeader w:val="off"/>
              </w:trPr>
              <w:tc>
                <w:tcPr>
                  <w:tcW w:type="dxa" w:w="1584"/>
                  <w:tcMar>
                    <w:top w:type="dxa" w:w="40"/>
                    <w:left w:type="dxa" w:w="60"/>
                    <w:bottom w:type="dxa" w:w="40"/>
                    <w:right w:type="dxa" w:w="60"/>
                  </w:tcMar>
                </w:tcPr>
                <w:p>
                  <w:r>
                    <w:rPr>
                      <w:rFonts w:ascii="Arial" w:cs="Arial" w:eastAsia="Arial" w:hAnsi="Arial"/>
                      <w:b w:val="false"/>
                      <w:bCs w:val="false"/>
                      <w:sz w:val="16"/>
                      <w:szCs w:val="16"/>
                    </w:rPr>
                    <w:t xml:space="preserve">Rukovodilac ogranka, dijelom plaćen</w:t>
                  </w:r>
                </w:p>
              </w:tc>
              <w:tc>
                <w:tcPr>
                  <w:tcW w:type="dxa" w:w="1584"/>
                  <w:tcMar>
                    <w:top w:type="dxa" w:w="40"/>
                    <w:left w:type="dxa" w:w="60"/>
                    <w:bottom w:type="dxa" w:w="40"/>
                    <w:right w:type="dxa" w:w="60"/>
                  </w:tcMar>
                </w:tcPr>
                <w:p>
                  <w:r>
                    <w:rPr>
                      <w:rFonts w:ascii="Arial" w:cs="Arial" w:eastAsia="Arial" w:hAnsi="Arial"/>
                      <w:b w:val="false"/>
                      <w:bCs w:val="false"/>
                      <w:sz w:val="16"/>
                      <w:szCs w:val="16"/>
                    </w:rPr>
                    <w:t xml:space="preserve">[[PLACEHOLDER: mjesečna naknada kada ogranak sazri]]</w:t>
                  </w:r>
                </w:p>
              </w:tc>
              <w:tc>
                <w:tcPr>
                  <w:tcW w:type="dxa" w:w="1584"/>
                  <w:tcMar>
                    <w:top w:type="dxa" w:w="40"/>
                    <w:left w:type="dxa" w:w="60"/>
                    <w:bottom w:type="dxa" w:w="40"/>
                    <w:right w:type="dxa" w:w="60"/>
                  </w:tcMar>
                </w:tcPr>
                <w:p>
                  <w:r>
                    <w:rPr>
                      <w:rFonts w:ascii="Arial" w:cs="Arial" w:eastAsia="Arial" w:hAnsi="Arial"/>
                      <w:b w:val="false"/>
                      <w:bCs w:val="false"/>
                      <w:sz w:val="16"/>
                      <w:szCs w:val="16"/>
                    </w:rPr>
                    <w:t xml:space="preserve">[[PLACEHOLDER: izvor]]</w:t>
                  </w:r>
                </w:p>
              </w:tc>
            </w:tr>
          </w:tbl>
          <w:p/>
        </w:tc>
        <w:tc>
          <w:tcPr>
            <w:tcW w:type="dxa" w:w="4953"/>
            <w:tcMar>
              <w:top w:type="dxa" w:w="80"/>
              <w:left w:type="dxa" w:w="100"/>
              <w:bottom w:type="dxa" w:w="80"/>
              <w:right w:type="dxa" w:w="100"/>
            </w:tcMar>
          </w:tcPr>
          <w:tbl>
            <w:tblPr>
              <w:tblW w:type="dxa" w:w="4753"/>
              <w:tblBorders>
                <w:top w:val="single" w:color="C9D3D7" w:sz="4"/>
                <w:left w:val="single" w:color="C9D3D7" w:sz="4"/>
                <w:bottom w:val="single" w:color="C9D3D7" w:sz="4"/>
                <w:right w:val="single" w:color="C9D3D7" w:sz="4"/>
                <w:insideH w:val="single" w:color="C9D3D7" w:sz="4"/>
                <w:insideV w:val="single" w:color="C9D3D7" w:sz="4"/>
              </w:tblBorders>
            </w:tblPr>
            <w:tblGrid>
              <w:gridCol w:w="1584"/>
              <w:gridCol w:w="1584"/>
              <w:gridCol w:w="1584"/>
            </w:tblGrid>
            <w:tr>
              <w:trPr>
                <w:tblHeader/>
              </w:trPr>
              <w:tc>
                <w:tcPr>
                  <w:tcW w:type="dxa" w:w="1584"/>
                  <w:shd w:fill="E3EBED" w:color="auto" w:val="clear"/>
                  <w:tcMar>
                    <w:top w:type="dxa" w:w="40"/>
                    <w:left w:type="dxa" w:w="60"/>
                    <w:bottom w:type="dxa" w:w="40"/>
                    <w:right w:type="dxa" w:w="60"/>
                  </w:tcMar>
                </w:tcPr>
                <w:p>
                  <w:r>
                    <w:rPr>
                      <w:rFonts w:ascii="Arial" w:cs="Arial" w:eastAsia="Arial" w:hAnsi="Arial"/>
                      <w:b/>
                      <w:bCs/>
                      <w:sz w:val="16"/>
                      <w:szCs w:val="16"/>
                    </w:rPr>
                    <w:t xml:space="preserve">Role</w:t>
                  </w:r>
                </w:p>
              </w:tc>
              <w:tc>
                <w:tcPr>
                  <w:tcW w:type="dxa" w:w="1584"/>
                  <w:shd w:fill="E3EBED" w:color="auto" w:val="clear"/>
                  <w:tcMar>
                    <w:top w:type="dxa" w:w="40"/>
                    <w:left w:type="dxa" w:w="60"/>
                    <w:bottom w:type="dxa" w:w="40"/>
                    <w:right w:type="dxa" w:w="60"/>
                  </w:tcMar>
                </w:tcPr>
                <w:p>
                  <w:r>
                    <w:rPr>
                      <w:rFonts w:ascii="Arial" w:cs="Arial" w:eastAsia="Arial" w:hAnsi="Arial"/>
                      <w:b/>
                      <w:bCs/>
                      <w:sz w:val="16"/>
                      <w:szCs w:val="16"/>
                    </w:rPr>
                    <w:t xml:space="preserve">Band, gross per month</w:t>
                  </w:r>
                </w:p>
              </w:tc>
              <w:tc>
                <w:tcPr>
                  <w:tcW w:type="dxa" w:w="1584"/>
                  <w:shd w:fill="E3EBED" w:color="auto" w:val="clear"/>
                  <w:tcMar>
                    <w:top w:type="dxa" w:w="40"/>
                    <w:left w:type="dxa" w:w="60"/>
                    <w:bottom w:type="dxa" w:w="40"/>
                    <w:right w:type="dxa" w:w="60"/>
                  </w:tcMar>
                </w:tcPr>
                <w:p>
                  <w:r>
                    <w:rPr>
                      <w:rFonts w:ascii="Arial" w:cs="Arial" w:eastAsia="Arial" w:hAnsi="Arial"/>
                      <w:b/>
                      <w:bCs/>
                      <w:sz w:val="16"/>
                      <w:szCs w:val="16"/>
                    </w:rPr>
                    <w:t xml:space="preserve">Benchmark</w:t>
                  </w:r>
                </w:p>
              </w:tc>
            </w:tr>
            <w:tr>
              <w:trPr>
                <w:tblHeader w:val="off"/>
              </w:trPr>
              <w:tc>
                <w:tcPr>
                  <w:tcW w:type="dxa" w:w="1584"/>
                  <w:tcMar>
                    <w:top w:type="dxa" w:w="40"/>
                    <w:left w:type="dxa" w:w="60"/>
                    <w:bottom w:type="dxa" w:w="40"/>
                    <w:right w:type="dxa" w:w="60"/>
                  </w:tcMar>
                </w:tcPr>
                <w:p>
                  <w:r>
                    <w:rPr>
                      <w:rFonts w:ascii="Arial" w:cs="Arial" w:eastAsia="Arial" w:hAnsi="Arial"/>
                      <w:b w:val="false"/>
                      <w:bCs w:val="false"/>
                      <w:sz w:val="16"/>
                      <w:szCs w:val="16"/>
                    </w:rPr>
                    <w:t xml:space="preserve">Executive Director</w:t>
                  </w:r>
                </w:p>
              </w:tc>
              <w:tc>
                <w:tcPr>
                  <w:tcW w:type="dxa" w:w="1584"/>
                  <w:tcMar>
                    <w:top w:type="dxa" w:w="40"/>
                    <w:left w:type="dxa" w:w="60"/>
                    <w:bottom w:type="dxa" w:w="40"/>
                    <w:right w:type="dxa" w:w="60"/>
                  </w:tcMar>
                </w:tcPr>
                <w:p>
                  <w:r>
                    <w:rPr>
                      <w:rFonts w:ascii="Arial" w:cs="Arial" w:eastAsia="Arial" w:hAnsi="Arial"/>
                      <w:b w:val="false"/>
                      <w:bCs w:val="false"/>
                      <w:sz w:val="16"/>
                      <w:szCs w:val="16"/>
                    </w:rPr>
                    <w:t xml:space="preserve">[[PLACEHOLDER: band after benchmarking]]</w:t>
                  </w:r>
                </w:p>
              </w:tc>
              <w:tc>
                <w:tcPr>
                  <w:tcW w:type="dxa" w:w="1584"/>
                  <w:tcMar>
                    <w:top w:type="dxa" w:w="40"/>
                    <w:left w:type="dxa" w:w="60"/>
                    <w:bottom w:type="dxa" w:w="40"/>
                    <w:right w:type="dxa" w:w="60"/>
                  </w:tcMar>
                </w:tcPr>
                <w:p>
                  <w:r>
                    <w:rPr>
                      <w:rFonts w:ascii="Arial" w:cs="Arial" w:eastAsia="Arial" w:hAnsi="Arial"/>
                      <w:b w:val="false"/>
                      <w:bCs w:val="false"/>
                      <w:sz w:val="16"/>
                      <w:szCs w:val="16"/>
                    </w:rPr>
                    <w:t xml:space="preserve">[[PLACEHOLDER: source, e.g. comparable NGO directors in Montenegro]]</w:t>
                  </w:r>
                </w:p>
              </w:tc>
            </w:tr>
            <w:tr>
              <w:trPr>
                <w:tblHeader w:val="off"/>
              </w:trPr>
              <w:tc>
                <w:tcPr>
                  <w:tcW w:type="dxa" w:w="1584"/>
                  <w:tcMar>
                    <w:top w:type="dxa" w:w="40"/>
                    <w:left w:type="dxa" w:w="60"/>
                    <w:bottom w:type="dxa" w:w="40"/>
                    <w:right w:type="dxa" w:w="60"/>
                  </w:tcMar>
                </w:tcPr>
                <w:p>
                  <w:r>
                    <w:rPr>
                      <w:rFonts w:ascii="Arial" w:cs="Arial" w:eastAsia="Arial" w:hAnsi="Arial"/>
                      <w:b w:val="false"/>
                      <w:bCs w:val="false"/>
                      <w:sz w:val="16"/>
                      <w:szCs w:val="16"/>
                    </w:rPr>
                    <w:t xml:space="preserve">Events and Chapters</w:t>
                  </w:r>
                </w:p>
              </w:tc>
              <w:tc>
                <w:tcPr>
                  <w:tcW w:type="dxa" w:w="1584"/>
                  <w:tcMar>
                    <w:top w:type="dxa" w:w="40"/>
                    <w:left w:type="dxa" w:w="60"/>
                    <w:bottom w:type="dxa" w:w="40"/>
                    <w:right w:type="dxa" w:w="60"/>
                  </w:tcMar>
                </w:tcPr>
                <w:p>
                  <w:r>
                    <w:rPr>
                      <w:rFonts w:ascii="Arial" w:cs="Arial" w:eastAsia="Arial" w:hAnsi="Arial"/>
                      <w:b w:val="false"/>
                      <w:bCs w:val="false"/>
                      <w:sz w:val="16"/>
                      <w:szCs w:val="16"/>
                    </w:rPr>
                    <w:t xml:space="preserve">[[PLACEHOLDER: band after benchmarking]]</w:t>
                  </w:r>
                </w:p>
              </w:tc>
              <w:tc>
                <w:tcPr>
                  <w:tcW w:type="dxa" w:w="1584"/>
                  <w:tcMar>
                    <w:top w:type="dxa" w:w="40"/>
                    <w:left w:type="dxa" w:w="60"/>
                    <w:bottom w:type="dxa" w:w="40"/>
                    <w:right w:type="dxa" w:w="60"/>
                  </w:tcMar>
                </w:tcPr>
                <w:p>
                  <w:r>
                    <w:rPr>
                      <w:rFonts w:ascii="Arial" w:cs="Arial" w:eastAsia="Arial" w:hAnsi="Arial"/>
                      <w:b w:val="false"/>
                      <w:bCs w:val="false"/>
                      <w:sz w:val="16"/>
                      <w:szCs w:val="16"/>
                    </w:rPr>
                    <w:t xml:space="preserve">[[PLACEHOLDER: source]]</w:t>
                  </w:r>
                </w:p>
              </w:tc>
            </w:tr>
            <w:tr>
              <w:trPr>
                <w:tblHeader w:val="off"/>
              </w:trPr>
              <w:tc>
                <w:tcPr>
                  <w:tcW w:type="dxa" w:w="1584"/>
                  <w:tcMar>
                    <w:top w:type="dxa" w:w="40"/>
                    <w:left w:type="dxa" w:w="60"/>
                    <w:bottom w:type="dxa" w:w="40"/>
                    <w:right w:type="dxa" w:w="60"/>
                  </w:tcMar>
                </w:tcPr>
                <w:p>
                  <w:r>
                    <w:rPr>
                      <w:rFonts w:ascii="Arial" w:cs="Arial" w:eastAsia="Arial" w:hAnsi="Arial"/>
                      <w:b w:val="false"/>
                      <w:bCs w:val="false"/>
                      <w:sz w:val="16"/>
                      <w:szCs w:val="16"/>
                    </w:rPr>
                    <w:t xml:space="preserve">Part-time event coordinator</w:t>
                  </w:r>
                </w:p>
              </w:tc>
              <w:tc>
                <w:tcPr>
                  <w:tcW w:type="dxa" w:w="1584"/>
                  <w:tcMar>
                    <w:top w:type="dxa" w:w="40"/>
                    <w:left w:type="dxa" w:w="60"/>
                    <w:bottom w:type="dxa" w:w="40"/>
                    <w:right w:type="dxa" w:w="60"/>
                  </w:tcMar>
                </w:tcPr>
                <w:p>
                  <w:r>
                    <w:rPr>
                      <w:rFonts w:ascii="Arial" w:cs="Arial" w:eastAsia="Arial" w:hAnsi="Arial"/>
                      <w:b w:val="false"/>
                      <w:bCs w:val="false"/>
                      <w:sz w:val="16"/>
                      <w:szCs w:val="16"/>
                    </w:rPr>
                    <w:t xml:space="preserve">€500 to €800 for three months (team guide)</w:t>
                  </w:r>
                </w:p>
              </w:tc>
              <w:tc>
                <w:tcPr>
                  <w:tcW w:type="dxa" w:w="1584"/>
                  <w:tcMar>
                    <w:top w:type="dxa" w:w="40"/>
                    <w:left w:type="dxa" w:w="60"/>
                    <w:bottom w:type="dxa" w:w="40"/>
                    <w:right w:type="dxa" w:w="60"/>
                  </w:tcMar>
                </w:tcPr>
                <w:p>
                  <w:r>
                    <w:rPr>
                      <w:rFonts w:ascii="Arial" w:cs="Arial" w:eastAsia="Arial" w:hAnsi="Arial"/>
                      <w:b w:val="false"/>
                      <w:bCs w:val="false"/>
                      <w:sz w:val="16"/>
                      <w:szCs w:val="16"/>
                    </w:rPr>
                    <w:t xml:space="preserve">Team guide, 2026</w:t>
                  </w:r>
                </w:p>
              </w:tc>
            </w:tr>
            <w:tr>
              <w:trPr>
                <w:tblHeader w:val="off"/>
              </w:trPr>
              <w:tc>
                <w:tcPr>
                  <w:tcW w:type="dxa" w:w="1584"/>
                  <w:tcMar>
                    <w:top w:type="dxa" w:w="40"/>
                    <w:left w:type="dxa" w:w="60"/>
                    <w:bottom w:type="dxa" w:w="40"/>
                    <w:right w:type="dxa" w:w="60"/>
                  </w:tcMar>
                </w:tcPr>
                <w:p>
                  <w:r>
                    <w:rPr>
                      <w:rFonts w:ascii="Arial" w:cs="Arial" w:eastAsia="Arial" w:hAnsi="Arial"/>
                      <w:b w:val="false"/>
                      <w:bCs w:val="false"/>
                      <w:sz w:val="16"/>
                      <w:szCs w:val="16"/>
                    </w:rPr>
                    <w:t xml:space="preserve">Chapter lead, part-paid</w:t>
                  </w:r>
                </w:p>
              </w:tc>
              <w:tc>
                <w:tcPr>
                  <w:tcW w:type="dxa" w:w="1584"/>
                  <w:tcMar>
                    <w:top w:type="dxa" w:w="40"/>
                    <w:left w:type="dxa" w:w="60"/>
                    <w:bottom w:type="dxa" w:w="40"/>
                    <w:right w:type="dxa" w:w="60"/>
                  </w:tcMar>
                </w:tcPr>
                <w:p>
                  <w:r>
                    <w:rPr>
                      <w:rFonts w:ascii="Arial" w:cs="Arial" w:eastAsia="Arial" w:hAnsi="Arial"/>
                      <w:b w:val="false"/>
                      <w:bCs w:val="false"/>
                      <w:sz w:val="16"/>
                      <w:szCs w:val="16"/>
                    </w:rPr>
                    <w:t xml:space="preserve">[[PLACEHOLDER: monthly allowance once the chapter matures]]</w:t>
                  </w:r>
                </w:p>
              </w:tc>
              <w:tc>
                <w:tcPr>
                  <w:tcW w:type="dxa" w:w="1584"/>
                  <w:tcMar>
                    <w:top w:type="dxa" w:w="40"/>
                    <w:left w:type="dxa" w:w="60"/>
                    <w:bottom w:type="dxa" w:w="40"/>
                    <w:right w:type="dxa" w:w="60"/>
                  </w:tcMar>
                </w:tcPr>
                <w:p>
                  <w:r>
                    <w:rPr>
                      <w:rFonts w:ascii="Arial" w:cs="Arial" w:eastAsia="Arial" w:hAnsi="Arial"/>
                      <w:b w:val="false"/>
                      <w:bCs w:val="false"/>
                      <w:sz w:val="16"/>
                      <w:szCs w:val="16"/>
                    </w:rPr>
                    <w:t xml:space="preserve">[[PLACEHOLDER: source]]</w:t>
                  </w:r>
                </w:p>
              </w:tc>
            </w:tr>
          </w:tbl>
          <w:p/>
        </w:tc>
      </w:tr>
      <w:tr>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Član 8 — Postupak zapošljavanja</w:t>
            </w:r>
          </w:p>
        </w:tc>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Article 8 — Hiring procedure</w:t>
            </w:r>
          </w:p>
        </w:tc>
      </w:tr>
      <w:tr>
        <w:tc>
          <w:tcPr>
            <w:tcW w:type="dxa" w:w="4953"/>
            <w:tcMar>
              <w:top w:type="dxa" w:w="80"/>
              <w:left w:type="dxa" w:w="100"/>
              <w:bottom w:type="dxa" w:w="80"/>
              <w:right w:type="dxa" w:w="100"/>
            </w:tcMar>
          </w:tcPr>
          <w:p>
            <w:pPr>
              <w:pStyle w:val="ListParagraph"/>
              <w:numPr>
                <w:ilvl w:val="0"/>
                <w:numId w:val="4"/>
              </w:numPr>
              <w:spacing w:after="40"/>
            </w:pPr>
            <w:r>
              <w:rPr>
                <w:rFonts w:ascii="Arial" w:cs="Arial" w:eastAsia="Arial" w:hAnsi="Arial"/>
                <w:sz w:val="18"/>
                <w:szCs w:val="18"/>
              </w:rPr>
              <w:t xml:space="preserve">Upravni odbor utvrđuje radno mjesto aktom o sistematizaciji, sa opisom posla i rasponom.</w:t>
            </w:r>
          </w:p>
          <w:p>
            <w:pPr>
              <w:pStyle w:val="ListParagraph"/>
              <w:numPr>
                <w:ilvl w:val="0"/>
                <w:numId w:val="4"/>
              </w:numPr>
              <w:spacing w:after="40"/>
            </w:pPr>
            <w:r>
              <w:rPr>
                <w:rFonts w:ascii="Arial" w:cs="Arial" w:eastAsia="Arial" w:hAnsi="Arial"/>
                <w:sz w:val="18"/>
                <w:szCs w:val="18"/>
              </w:rPr>
              <w:t xml:space="preserve">Radno mjesto se javno oglašava; osnivač ili sadašnji volonter prijavljuje se kao i svako drugi.</w:t>
            </w:r>
          </w:p>
          <w:p>
            <w:pPr>
              <w:pStyle w:val="ListParagraph"/>
              <w:numPr>
                <w:ilvl w:val="0"/>
                <w:numId w:val="4"/>
              </w:numPr>
              <w:spacing w:after="40"/>
            </w:pPr>
            <w:r>
              <w:rPr>
                <w:rFonts w:ascii="Arial" w:cs="Arial" w:eastAsia="Arial" w:hAnsi="Arial"/>
                <w:sz w:val="18"/>
                <w:szCs w:val="18"/>
              </w:rPr>
              <w:t xml:space="preserve">Izvršni direktor, ili Upravni odbor za mjesto samog direktora, razgovara sa kandidatima i daje preporuku.</w:t>
            </w:r>
          </w:p>
          <w:p>
            <w:pPr>
              <w:pStyle w:val="ListParagraph"/>
              <w:numPr>
                <w:ilvl w:val="0"/>
                <w:numId w:val="4"/>
              </w:numPr>
              <w:spacing w:after="40"/>
            </w:pPr>
            <w:r>
              <w:rPr>
                <w:rFonts w:ascii="Arial" w:cs="Arial" w:eastAsia="Arial" w:hAnsi="Arial"/>
                <w:sz w:val="18"/>
                <w:szCs w:val="18"/>
              </w:rPr>
              <w:t xml:space="preserve">Nezavisni članovi Upravnog odbora odlučuju, uz poređenje uneseno u zapisnik.</w:t>
            </w:r>
          </w:p>
          <w:p>
            <w:pPr>
              <w:pStyle w:val="ListParagraph"/>
              <w:numPr>
                <w:ilvl w:val="0"/>
                <w:numId w:val="4"/>
              </w:numPr>
              <w:spacing w:after="40"/>
            </w:pPr>
            <w:r>
              <w:rPr>
                <w:rFonts w:ascii="Arial" w:cs="Arial" w:eastAsia="Arial" w:hAnsi="Arial"/>
                <w:sz w:val="18"/>
                <w:szCs w:val="18"/>
              </w:rPr>
              <w:t xml:space="preserve">Pisani ugovor potpisuje se prije prvog radnog dana.</w:t>
            </w:r>
          </w:p>
          <w:p>
            <w:pPr>
              <w:pStyle w:val="ListParagraph"/>
              <w:numPr>
                <w:ilvl w:val="0"/>
                <w:numId w:val="4"/>
              </w:numPr>
              <w:spacing w:after="40"/>
            </w:pPr>
            <w:r>
              <w:rPr>
                <w:rFonts w:ascii="Arial" w:cs="Arial" w:eastAsia="Arial" w:hAnsi="Arial"/>
                <w:sz w:val="18"/>
                <w:szCs w:val="18"/>
              </w:rPr>
              <w:t xml:space="preserve">Raspon se objavljuje u narednom godišnjem izvještaju.</w:t>
            </w:r>
          </w:p>
        </w:tc>
        <w:tc>
          <w:tcPr>
            <w:tcW w:type="dxa" w:w="4953"/>
            <w:tcMar>
              <w:top w:type="dxa" w:w="80"/>
              <w:left w:type="dxa" w:w="100"/>
              <w:bottom w:type="dxa" w:w="80"/>
              <w:right w:type="dxa" w:w="100"/>
            </w:tcMar>
          </w:tcPr>
          <w:p>
            <w:pPr>
              <w:pStyle w:val="ListParagraph"/>
              <w:numPr>
                <w:ilvl w:val="0"/>
                <w:numId w:val="5"/>
              </w:numPr>
              <w:spacing w:after="40"/>
            </w:pPr>
            <w:r>
              <w:rPr>
                <w:rFonts w:ascii="Arial" w:cs="Arial" w:eastAsia="Arial" w:hAnsi="Arial"/>
                <w:sz w:val="18"/>
                <w:szCs w:val="18"/>
              </w:rPr>
              <w:t xml:space="preserve">The Board creates the position in the staffing act, with a job description and a band.</w:t>
            </w:r>
          </w:p>
          <w:p>
            <w:pPr>
              <w:pStyle w:val="ListParagraph"/>
              <w:numPr>
                <w:ilvl w:val="0"/>
                <w:numId w:val="5"/>
              </w:numPr>
              <w:spacing w:after="40"/>
            </w:pPr>
            <w:r>
              <w:rPr>
                <w:rFonts w:ascii="Arial" w:cs="Arial" w:eastAsia="Arial" w:hAnsi="Arial"/>
                <w:sz w:val="18"/>
                <w:szCs w:val="18"/>
              </w:rPr>
              <w:t xml:space="preserve">The position is advertised openly; a founder or a current volunteer applies like anyone else.</w:t>
            </w:r>
          </w:p>
          <w:p>
            <w:pPr>
              <w:pStyle w:val="ListParagraph"/>
              <w:numPr>
                <w:ilvl w:val="0"/>
                <w:numId w:val="5"/>
              </w:numPr>
              <w:spacing w:after="40"/>
            </w:pPr>
            <w:r>
              <w:rPr>
                <w:rFonts w:ascii="Arial" w:cs="Arial" w:eastAsia="Arial" w:hAnsi="Arial"/>
                <w:sz w:val="18"/>
                <w:szCs w:val="18"/>
              </w:rPr>
              <w:t xml:space="preserve">The Executive Director, or the Board for the Director's own position, interviews and recommends.</w:t>
            </w:r>
          </w:p>
          <w:p>
            <w:pPr>
              <w:pStyle w:val="ListParagraph"/>
              <w:numPr>
                <w:ilvl w:val="0"/>
                <w:numId w:val="5"/>
              </w:numPr>
              <w:spacing w:after="40"/>
            </w:pPr>
            <w:r>
              <w:rPr>
                <w:rFonts w:ascii="Arial" w:cs="Arial" w:eastAsia="Arial" w:hAnsi="Arial"/>
                <w:sz w:val="18"/>
                <w:szCs w:val="18"/>
              </w:rPr>
              <w:t xml:space="preserve">The independent members of the Board decide, with the benchmark recorded in the minutes.</w:t>
            </w:r>
          </w:p>
          <w:p>
            <w:pPr>
              <w:pStyle w:val="ListParagraph"/>
              <w:numPr>
                <w:ilvl w:val="0"/>
                <w:numId w:val="5"/>
              </w:numPr>
              <w:spacing w:after="40"/>
            </w:pPr>
            <w:r>
              <w:rPr>
                <w:rFonts w:ascii="Arial" w:cs="Arial" w:eastAsia="Arial" w:hAnsi="Arial"/>
                <w:sz w:val="18"/>
                <w:szCs w:val="18"/>
              </w:rPr>
              <w:t xml:space="preserve">A written contract is signed before the first day of work.</w:t>
            </w:r>
          </w:p>
          <w:p>
            <w:pPr>
              <w:pStyle w:val="ListParagraph"/>
              <w:numPr>
                <w:ilvl w:val="0"/>
                <w:numId w:val="5"/>
              </w:numPr>
              <w:spacing w:after="40"/>
            </w:pPr>
            <w:r>
              <w:rPr>
                <w:rFonts w:ascii="Arial" w:cs="Arial" w:eastAsia="Arial" w:hAnsi="Arial"/>
                <w:sz w:val="18"/>
                <w:szCs w:val="18"/>
              </w:rPr>
              <w:t xml:space="preserve">The band is published in the next annual report.</w:t>
            </w:r>
          </w:p>
        </w:tc>
      </w:tr>
      <w:tr>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Član 9 — Lični podaci</w:t>
            </w:r>
          </w:p>
        </w:tc>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Article 9 — Personal data</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Zarada imenovanog lica je lični podatak. Ugovore, obračune i pojedinačne iznose čuvaju Izvršni direktor i računovođa, a Upravnom odboru se pokazuju samo za odluku kojoj su potrebni. Ova politika sadrži raspone, a ne imena.</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The pay of a named person is personal data. Contracts, payslips and the individual figures are kept by the Executive Director and the accountant, and are shown to the Board only for the decision that needs them. This policy carries bands, not names.</w:t>
            </w:r>
          </w:p>
        </w:tc>
      </w:tr>
      <w:tr>
        <w:tc>
          <w:tcPr>
            <w:tcW w:type="dxa" w:w="4953"/>
            <w:shd w:fill="E3EBED" w:color="auto" w:val="clear"/>
            <w:tcMar>
              <w:top w:type="dxa" w:w="80"/>
              <w:left w:type="dxa" w:w="100"/>
              <w:bottom w:type="dxa" w:w="80"/>
              <w:right w:type="dxa" w:w="100"/>
            </w:tcMar>
          </w:tcPr>
          <w:p>
            <w:r>
              <w:rPr>
                <w:rFonts w:ascii="Arial" w:cs="Arial" w:eastAsia="Arial" w:hAnsi="Arial"/>
                <w:b/>
                <w:bCs/>
                <w:color w:val="0E3A46"/>
                <w:sz w:val="22"/>
                <w:szCs w:val="22"/>
              </w:rPr>
              <w:t xml:space="preserve">IV. ZAVRŠNE ODREDBE</w:t>
            </w:r>
          </w:p>
        </w:tc>
        <w:tc>
          <w:tcPr>
            <w:tcW w:type="dxa" w:w="4953"/>
            <w:shd w:fill="E3EBED" w:color="auto" w:val="clear"/>
            <w:tcMar>
              <w:top w:type="dxa" w:w="80"/>
              <w:left w:type="dxa" w:w="100"/>
              <w:bottom w:type="dxa" w:w="80"/>
              <w:right w:type="dxa" w:w="100"/>
            </w:tcMar>
          </w:tcPr>
          <w:p>
            <w:r>
              <w:rPr>
                <w:rFonts w:ascii="Arial" w:cs="Arial" w:eastAsia="Arial" w:hAnsi="Arial"/>
                <w:b/>
                <w:bCs/>
                <w:color w:val="0E3A46"/>
                <w:sz w:val="22"/>
                <w:szCs w:val="22"/>
              </w:rPr>
              <w:t xml:space="preserve">IV. FINAL PROVISIONS</w:t>
            </w:r>
          </w:p>
        </w:tc>
      </w:tr>
      <w:tr>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Član 10 — Preispitivanje</w:t>
            </w:r>
          </w:p>
        </w:tc>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Article 10 — Review</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Upravni odbor preispituje ovu politiku uz svaki godišnji budžet, i kad god se dostigne faza plana ili se promijeni Zakon.</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The Board reviews this policy with every annual budget, and whenever a phase of the plan is reached or the Law changes.</w:t>
            </w:r>
          </w:p>
        </w:tc>
      </w:tr>
    </w:tbl>
    <w:sectPr>
      <w:headerReference w:type="default" r:id="rId6"/>
      <w:headerReference w:type="first" r:id="rId7"/>
      <w:footerReference w:type="default" r:id="rId8"/>
      <w:footerReference w:type="first" r:id="rId9"/>
      <w:pgSz w:w="11906" w:h="16838" w:orient="portrait"/>
      <w:pgMar w:top="1000" w:right="1000" w:bottom="1000" w:left="1000" w:header="708" w:footer="708"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A6A72"/>
        <w:sz w:val="16"/>
        <w:szCs w:val="16"/>
      </w:rPr>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A6A72"/>
        <w:sz w:val="16"/>
        <w:szCs w:val="16"/>
      </w:rPr>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5A6A72"/>
        <w:sz w:val="16"/>
        <w:szCs w:val="16"/>
      </w:rPr>
      <w:t xml:space="preserve">Politika zarada i zapošljavanja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00"/>
      </w:pPr>
    </w:lvl>
  </w:abstractNum>
  <w:abstractNum w:abstractNumId="3" w15:restartNumberingAfterBreak="0">
    <w:multiLevelType w:val="hybridMultilevel"/>
    <w:lvl w:ilvl="0" w:tentative="1">
      <w:start w:val="1"/>
      <w:numFmt w:val="decimal"/>
      <w:lvlText w:val="%1."/>
      <w:lvlJc w:val="left"/>
      <w:pPr>
        <w:ind w:left="400" w:hanging="280"/>
      </w:p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200"/>
    </w:pPr>
    <w:rPr>
      <w:rFonts w:ascii="Arial" w:cs="Arial" w:eastAsia="Arial" w:hAnsi="Arial"/>
      <w:b/>
      <w:bCs/>
      <w:color w:val="0E3A46"/>
      <w:sz w:val="30"/>
      <w:szCs w:val="30"/>
    </w:rPr>
  </w:style>
  <w:style w:type="paragraph" w:styleId="Heading1">
    <w:name w:val="Heading 1"/>
    <w:basedOn w:val="Normal"/>
    <w:next w:val="Normal"/>
    <w:qFormat/>
    <w:pPr>
      <w:spacing w:after="100" w:before="200"/>
      <w:outlineLvl w:val="0"/>
    </w:pPr>
    <w:rPr>
      <w:rFonts w:ascii="Arial" w:cs="Arial" w:eastAsia="Arial" w:hAnsi="Arial"/>
      <w:b/>
      <w:bCs/>
      <w:color w:val="0E3A46"/>
      <w:sz w:val="24"/>
      <w:szCs w:val="24"/>
    </w:rPr>
  </w:style>
  <w:style w:type="paragraph" w:styleId="Heading2">
    <w:name w:val="Heading 2"/>
    <w:basedOn w:val="Normal"/>
    <w:next w:val="Normal"/>
    <w:qFormat/>
    <w:pPr>
      <w:spacing w:after="60" w:before="120"/>
      <w:outlineLvl w:val="1"/>
    </w:pPr>
    <w:rPr>
      <w:rFonts w:ascii="Arial" w:cs="Arial" w:eastAsia="Arial" w:hAnsi="Arial"/>
      <w:b/>
      <w:bCs/>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2026-10-21T07:54:04.437Z</dcterms:created>
  <dcterms:modified xsi:type="dcterms:W3CDTF">2026-10-21T07:54:04.438Z</dcterms:modified>
</cp:coreProperties>
</file>

<file path=docProps/custom.xml><?xml version="1.0" encoding="utf-8"?>
<Properties xmlns="http://schemas.openxmlformats.org/officeDocument/2006/custom-properties" xmlns:vt="http://schemas.openxmlformats.org/officeDocument/2006/docPropsVTypes"/>
</file>