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Pravila donacija / Donation Policy</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A: PRAVILA ZA DONATORE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A: RULES FOR DONORS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Ko smo i šta ova pravila uređuju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Who we are and what these rules cover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Donacije prima Nevladino udruženje „Santamore“, Teuta 113, Porto Montenegro, 85320 Tivat, registarski broj [[PLACEHOLDER]], PIB [[PLACEHOLDER]], e-pošta [[PLACEHOLDER: kontakt e-mail]] (u daljem tekstu: mi, udruženje). Ova pravila uređuju kako primamo donacije, šta sa njima radimo, šta objavljujemo, kako radimo refundacije i otkazivanja, i šta biva sa kotizacijama. Sve uplate su u eurima (EUR).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Donations are received by the Non-governmental association “Santamore”, Teuta 113, Porto Montenegro, 85320 Tivat, registration number [[PLACEHOLDER]], PIB [[PLACEHOLDER]], email [[PLACEHOLDER: contact email]] (hereinafter: we, the association). These rules govern how we receive donations, what we do with them, what we publish, how we handle refunds and cancellations, and what happens with entry fees. All payments are in euros (EUR).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Donacijom prihvatate ova pravila u verziji objavljenoj u trenutku uplate. Na kotizacije za događaje primjenjuju se i Uslovi učešća na događajima.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By donating you accept these rules in the version published at the time of payment. Entry fees for events are also governed by the Event Terms.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Dva fonda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Two funds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Držimo dva strogo odvojena fonda.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keep two strictly separate funds.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Fond za pomoć</w:t>
            </w:r>
            <w:r>
              <w:rPr>
                <w:rFonts w:ascii="Arial" w:cs="Arial" w:eastAsia="Arial" w:hAnsi="Arial"/>
                <w:sz w:val="18"/>
                <w:szCs w:val="18"/>
              </w:rPr>
              <w:t xml:space="preserve"> čine donacije pojedinaca i privrednih društava, sredstva koja učesnici prikupe na svojim stranicama, prilozi iz kutija za priloge, pokloni u sjećanje, dobrovoljno pokriće troškova naplate, kotizacije za događaje i grantovi. Sto posto neto iznosa donacije isplaćuje se korisnicima; ni cent ne ide na zarade, režije ni platformu.</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The Impact Fund</w:t>
            </w:r>
            <w:r>
              <w:rPr>
                <w:rFonts w:ascii="Arial" w:cs="Arial" w:eastAsia="Arial" w:hAnsi="Arial"/>
                <w:sz w:val="18"/>
                <w:szCs w:val="18"/>
              </w:rPr>
              <w:t xml:space="preserve"> consists of donations from individuals and companies, money raised by participants on their fundraiser pages, contributions from collection boxes, gifts in memory, voluntary fee cover, entry fees for events and grants. One hundred percent of the net donation amount is paid out to beneficiaries; not a cent goes to salaries, overheads or the platform.</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Operativni fond</w:t>
            </w:r>
            <w:r>
              <w:rPr>
                <w:rFonts w:ascii="Arial" w:cs="Arial" w:eastAsia="Arial" w:hAnsi="Arial"/>
                <w:sz w:val="18"/>
                <w:szCs w:val="18"/>
              </w:rPr>
              <w:t xml:space="preserve"> čine sponzorstva, članarine i prihod od prodaje promotivnih proizvoda. Iz njega se plaća organizacija: dozvole, osiguranje, medicinska služba, oprema, platforma, zarade. Izuzetno, kotizacija nekog događaja ide u Operativni fond ako to piše na stranici tog događaja.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The Operations Fund</w:t>
            </w:r>
            <w:r>
              <w:rPr>
                <w:rFonts w:ascii="Arial" w:cs="Arial" w:eastAsia="Arial" w:hAnsi="Arial"/>
                <w:sz w:val="18"/>
                <w:szCs w:val="18"/>
              </w:rPr>
              <w:t xml:space="preserve"> consists of sponsorships, membership fees and income from the sale of merchandise. It pays for organising: permits, insurance, medical services, equipment, the platform, salaries. By exception, an event's entry fee goes to the Operations Fund when its page says so.</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tome kojim korisnicima se isplaćuju sredstva Fonda za pomoć odlučuje nezavisna Komisija za dodjelu sredstava po objavljenim kriterijumima; ne odlučuju osnivači, direktor ni sponzori. Svaka uplata i isplata vidi se u javnom registru na stranici Transparentnost.</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Which beneficiaries receive Impact Fund money is decided by the independent Grants Committee under published criteria; the founders, the director and sponsors do not decide. Every payment in and every payment out is visible in the public ledger on the Transparency page.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Donacija je dobrovoljan poklon</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A donation is a voluntary gift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Donacija je dobrovoljan poklon udruženju bez protivusluge. Nije kupovina robe ni usluge, ne daje pravo na uticaj na izbor korisnika ni na rad udruženja, i načelno se ne vraća. Izuzetke za duple, pogrešne i neovlašćene uplate uređuje član 12 i njih vraćamo bez natezanja.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donation is a voluntary gift to the association without consideration. It is not a purchase of goods or services, it gives no right to influence the selection of beneficiaries or the work of the association, and as a rule it is not refunded. The exceptions for duplicate, erroneous and unauthorised payments are governed by Article 12, and those we refund without fuss.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Donacija se ne može usloviti isplatom određenom licu, osim uplatom na kampanju koju smo mi objavili za tog korisnika (član 6).</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donation cannot be conditioned on payment to a specific person, other than by giving to a campaign we have published for that beneficiary (Article 6).</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Načini uplate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Ways to give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Donirati možete: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can donate:</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b/>
                <w:bCs/>
                <w:sz w:val="18"/>
                <w:szCs w:val="18"/>
              </w:rPr>
              <w:t xml:space="preserve">karticom</w:t>
            </w:r>
            <w:r>
              <w:rPr>
                <w:rFonts w:ascii="Arial" w:cs="Arial" w:eastAsia="Arial" w:hAnsi="Arial"/>
                <w:sz w:val="18"/>
                <w:szCs w:val="18"/>
              </w:rPr>
              <w:t xml:space="preserve"> preko procesora Monri, kada su kartična plaćanja aktivna: uplatu štiti provjera 3-D Secure, a broj kartice nikada ne prolazi kroz naše servere ni evidenciju;</w:t>
            </w:r>
          </w:p>
          <w:p>
            <w:pPr>
              <w:pStyle w:val="ListParagraph"/>
              <w:numPr>
                <w:ilvl w:val="0"/>
                <w:numId w:val="2"/>
              </w:numPr>
              <w:spacing w:after="40"/>
            </w:pPr>
            <w:r>
              <w:rPr>
                <w:rFonts w:ascii="Arial" w:cs="Arial" w:eastAsia="Arial" w:hAnsi="Arial"/>
                <w:b/>
                <w:bCs/>
                <w:sz w:val="18"/>
                <w:szCs w:val="18"/>
              </w:rPr>
              <w:t xml:space="preserve">bankovnim prenosom</w:t>
            </w:r>
            <w:r>
              <w:rPr>
                <w:rFonts w:ascii="Arial" w:cs="Arial" w:eastAsia="Arial" w:hAnsi="Arial"/>
                <w:sz w:val="18"/>
                <w:szCs w:val="18"/>
              </w:rPr>
              <w:t xml:space="preserve"> (SEPA) na naš račun [[PLACEHOLDER: IBAN]] kod [[PLACEHOLDER: banka]], BIC [[PLACEHOLDER]], sa pozivom na broj oblika SM-MMGG-NNNN koji vašu uplatu automatski povezuje sa kampanjom ili stranicom učesnika; platforma prikazuje IBAN, poziv na broj i QR kod za bankarske aplikacije;</w:t>
            </w:r>
          </w:p>
          <w:p>
            <w:pPr>
              <w:pStyle w:val="ListParagraph"/>
              <w:numPr>
                <w:ilvl w:val="0"/>
                <w:numId w:val="2"/>
              </w:numPr>
              <w:spacing w:after="40"/>
            </w:pPr>
            <w:r>
              <w:rPr>
                <w:rFonts w:ascii="Arial" w:cs="Arial" w:eastAsia="Arial" w:hAnsi="Arial"/>
                <w:b/>
                <w:bCs/>
                <w:sz w:val="18"/>
                <w:szCs w:val="18"/>
              </w:rPr>
              <w:t xml:space="preserve">gotovinom</w:t>
            </w:r>
            <w:r>
              <w:rPr>
                <w:rFonts w:ascii="Arial" w:cs="Arial" w:eastAsia="Arial" w:hAnsi="Arial"/>
                <w:sz w:val="18"/>
                <w:szCs w:val="18"/>
              </w:rPr>
              <w:t xml:space="preserve"> na događajima i preko učesnika koji prikupljaju sredstva: prikupljač gotovinu evidentira na platformi sa statusom „predato na čekanju“, a uplata ulazi u javni registar kada udruženje potvrdi prijem i položi je na račun;</w:t>
            </w:r>
          </w:p>
          <w:p>
            <w:pPr>
              <w:pStyle w:val="ListParagraph"/>
              <w:numPr>
                <w:ilvl w:val="0"/>
                <w:numId w:val="2"/>
              </w:numPr>
              <w:spacing w:after="40"/>
            </w:pPr>
            <w:r>
              <w:rPr>
                <w:rFonts w:ascii="Arial" w:cs="Arial" w:eastAsia="Arial" w:hAnsi="Arial"/>
                <w:b/>
                <w:bCs/>
                <w:sz w:val="18"/>
                <w:szCs w:val="18"/>
              </w:rPr>
              <w:t xml:space="preserve">drugim načinima</w:t>
            </w:r>
            <w:r>
              <w:rPr>
                <w:rFonts w:ascii="Arial" w:cs="Arial" w:eastAsia="Arial" w:hAnsi="Arial"/>
                <w:sz w:val="18"/>
                <w:szCs w:val="18"/>
              </w:rPr>
              <w:t xml:space="preserve"> koje objavimo na stranici Podrži (na primjer kutije za priloge, uplatnice), pod istim pravilima.</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b/>
                <w:bCs/>
                <w:sz w:val="18"/>
                <w:szCs w:val="18"/>
              </w:rPr>
              <w:t xml:space="preserve">by card</w:t>
            </w:r>
            <w:r>
              <w:rPr>
                <w:rFonts w:ascii="Arial" w:cs="Arial" w:eastAsia="Arial" w:hAnsi="Arial"/>
                <w:sz w:val="18"/>
                <w:szCs w:val="18"/>
              </w:rPr>
              <w:t xml:space="preserve"> through the processor Monri, once card payments are live: the payment is protected by 3-D Secure verification, and the card number never passes through our servers or records;</w:t>
            </w:r>
          </w:p>
          <w:p>
            <w:pPr>
              <w:pStyle w:val="ListParagraph"/>
              <w:numPr>
                <w:ilvl w:val="0"/>
                <w:numId w:val="3"/>
              </w:numPr>
              <w:spacing w:after="40"/>
            </w:pPr>
            <w:r>
              <w:rPr>
                <w:rFonts w:ascii="Arial" w:cs="Arial" w:eastAsia="Arial" w:hAnsi="Arial"/>
                <w:b/>
                <w:bCs/>
                <w:sz w:val="18"/>
                <w:szCs w:val="18"/>
              </w:rPr>
              <w:t xml:space="preserve">by bank transfer</w:t>
            </w:r>
            <w:r>
              <w:rPr>
                <w:rFonts w:ascii="Arial" w:cs="Arial" w:eastAsia="Arial" w:hAnsi="Arial"/>
                <w:sz w:val="18"/>
                <w:szCs w:val="18"/>
              </w:rPr>
              <w:t xml:space="preserve"> (SEPA) to our account [[PLACEHOLDER: IBAN]] at [[PLACEHOLDER: bank]], BIC [[PLACEHOLDER]], with a payment reference in the form SM-MMYY-NNNN that automatically links your payment to a campaign or a fundraiser page; the platform shows the IBAN, the reference and a QR code for banking apps;</w:t>
            </w:r>
          </w:p>
          <w:p>
            <w:pPr>
              <w:pStyle w:val="ListParagraph"/>
              <w:numPr>
                <w:ilvl w:val="0"/>
                <w:numId w:val="3"/>
              </w:numPr>
              <w:spacing w:after="40"/>
            </w:pPr>
            <w:r>
              <w:rPr>
                <w:rFonts w:ascii="Arial" w:cs="Arial" w:eastAsia="Arial" w:hAnsi="Arial"/>
                <w:b/>
                <w:bCs/>
                <w:sz w:val="18"/>
                <w:szCs w:val="18"/>
              </w:rPr>
              <w:t xml:space="preserve">in cash</w:t>
            </w:r>
            <w:r>
              <w:rPr>
                <w:rFonts w:ascii="Arial" w:cs="Arial" w:eastAsia="Arial" w:hAnsi="Arial"/>
                <w:sz w:val="18"/>
                <w:szCs w:val="18"/>
              </w:rPr>
              <w:t xml:space="preserve"> at events and through participants who raise funds: the fundraiser logs the cash on the platform with the status “pending hand-in”, and the payment enters the public ledger once the association confirms receipt and deposits it in the account;</w:t>
            </w:r>
          </w:p>
          <w:p>
            <w:pPr>
              <w:pStyle w:val="ListParagraph"/>
              <w:numPr>
                <w:ilvl w:val="0"/>
                <w:numId w:val="3"/>
              </w:numPr>
              <w:spacing w:after="40"/>
            </w:pPr>
            <w:r>
              <w:rPr>
                <w:rFonts w:ascii="Arial" w:cs="Arial" w:eastAsia="Arial" w:hAnsi="Arial"/>
                <w:b/>
                <w:bCs/>
                <w:sz w:val="18"/>
                <w:szCs w:val="18"/>
              </w:rPr>
              <w:t xml:space="preserve">by other ways</w:t>
            </w:r>
            <w:r>
              <w:rPr>
                <w:rFonts w:ascii="Arial" w:cs="Arial" w:eastAsia="Arial" w:hAnsi="Arial"/>
                <w:sz w:val="18"/>
                <w:szCs w:val="18"/>
              </w:rPr>
              <w:t xml:space="preserve"> we publish on the Support page (for example collection boxes, payment slips), under the same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Ne primamo donacije u kriptovalutama, čekovima ni u naturi preko platforme; poklone u naturi uređuje član 9.</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do not accept donations in cryptocurrencies, by cheque or in kind through the platform; in-kind gifts are governed by Article 9.</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Šta se dešava sa vašom uplatom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What happens to your payment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Kartična uplata ulazi u evidenciju odmah po odobrenju procesora. Bankovni prenos evidentiramo kao „na čekanju“ čim unesete namjeru uplate, a odobravamo ga kada stigne na račun i kada ga povežemo po pozivu na broj, po pravilu u roku od jednog radnog dana od prijema izvoda; do tada se ne računa u javne iznose. Gotovina se odobrava kada udruženje potvrdi prijem.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card payment enters the records as soon as the processor approves it. A bank transfer is recorded as “pending” as soon as you state your intention to pay, and is approved when it arrives in the account and we match it by the payment reference, normally within one working day of receiving the statement; until then it does not count in the public totals. Cash is approved when the association confirms receipt.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Odobrena uplata se ne briše i ne prepravlja. Svaka ispravka, refundacija ili preraspodjela je nova stavka u registru sa suprotnim predznakom, vidljiva uz izvornu uplatu.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approved payment is never deleted or edited. Every correction, refund or reallocation is a new ledger row with the opposite sign, visible beside the original payment.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Uplata bez poziva na broj ili sa nepoznatim pozivom na broj knjiži se u opšti Fond za pomoć, osim ako nas u roku od 30 dana obavijestite kojoj kampanji je bila namijenjena.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payment without a reference or with an unknown reference is booked to the general Impact Fund, unless you tell us within 30 days which campaign it was intended for.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Potvrdu o donaciji šaljemo e-poštom na vašem jeziku, sa iznosom, kampanjom, pozivom na broj i vezom do stavke u javnom registru.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send a donation receipt by email in your language, with the amount, the campaign, the payment reference and a link to the entry in the public ledger.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Namjena donacije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Designation of a donation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Možete donirati: opštem Fondu za pomoć, gdje o namjeni odlučuje Komisija za dodjelu sredstava; objavljenoj kampanji (za određenog korisnika, događaj ili ogranak); ili stranici učesnika, čiji prilozi idu kampanji za koju učesnik prikuplja.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may donate: to the general Impact Fund, where the Grants Committee decides on the use; to a published campaign (for a specific beneficiary, event or chapter); or to a fundraiser page, whose contributions go to the campaign the participant is raising for.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prikupljena za kampanju koristimo samo za njenu namjenu. Ako se kampanja ostvari sa viškom, ako korisnik odustane ili namjena postane nemoguća, višak dodjeljujemo korisniku sa istog područja i iste vrste potrebe, uz obrazloženje objavljeno u registru; ako je iznos veći od [[PLACEHOLDER: iznos]] EUR, prije toga nudimo donatorima koje možemo kontaktirati povraćaj ili preusmjeravanje po njihovom izboru u roku od 30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Money raised for a campaign is used only for its purpose. If a campaign closes with a surplus, if the beneficiary withdraws or the purpose becomes impossible, we allocate the surplus to a beneficiary from the same area and with the same kind of need, with reasons published in the ledger; if the amount exceeds [[PLACEHOLDER: amount]] EUR, we first offer the donors we can contact a refund or redirection at their choice within 30 days.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Sredstva prikupljena na području ogranka namijenjena su korisnicima sa tog područja, po objavljenoj formuli raspodjele (Pravila o ograncima, član 16).</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Money raised in a chapter's area is earmarked for beneficiaries from that area, under the published allocation formula (Chapter Rules, Article 16).</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Pokrivanje troškova naplate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Fee cover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 donaciji možete dobrovoljno dodati iznos koji pokriva troškove naplate (naknadu procesora i banke), da vaš puni iznos stigne do korisnika. Opcija je unaprijed označena i uvijek jasno prikazana, sa tačnim iznosom, prije potvrde uplate; možete je isključiti jednim dodirom.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When donating you may voluntarily add an amount that covers the processing costs (the processor's and the bank's fees), so that your full amount reaches the beneficiary. The option is pre-selected and always clearly shown, with the exact amount, before you confirm the payment; you can switch it off with one tap.</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Pokriće troškova evidentiramo odvojeno od donacije. Zato možemo pošteno reći da sto posto vaše donacije stiže do korisnika: ako pokriće ne dodate, trošak naplate snosi Operativni fond, ne korisnik.</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record fee cover separately from the donation. That is why we can honestly say that one hundred percent of your donation reaches the beneficiary: if you do not add the cover, the processing cost is borne by the Operations Fund, not by the beneficiary.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Mjesečne donacije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Monthly donations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Mjesečnu donaciju karticom uspostavljate jednom; kartica se čuva kod procesora u tokenizovanom obliku, a mi vidimo samo posljednje četiri cifre i rok važenja. Zaduženje je istog dana svakog mjeseca u iznosu koji ste izabrali; ako zaduženje ne uspije, pokušavamo ponovo najviše dva puta u roku od sedam dana i obavještavamo vas.</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set up a monthly card donation once; the card is stored at the processor in tokenised form, and we see only the last four digits and the expiry date. The charge is made on the same day each month in the amount you chose; if a charge fails, we retry at most twice within seven days and notify you.</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Mjesečnu donaciju možete otkazati u svakom trenutku porukom na [[PLACEHOLDER: kontakt e-mail]] ili preko veze u potvrdi koju ste dobili e-poštom. Otkazivanje zaustavlja buduća zaduženja; već izvršene mjesečne donacije ne vraćamo, osim po članu 12. Iznos možete promijeniti na isti način.</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You can cancel a monthly donation at any time by writing to [[PLACEHOLDER: contact email]] or through the link in the confirmation you received by email. Cancelling stops future charges; monthly donations already made are not refunded, except under Article 12. You can change the amount in the same way.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promijenimo ova pravila na način koji utiče na mjesečne donatore, obavještavamo vas e-poštom najmanje 30 dana prije primjene.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we change these rules in a way that affects monthly donors, we notify you by email at least 30 days before the change applies.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Pokloni u naturi, u sjećanje i posebne donacije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In-kind gifts, gifts in memory and special donations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Pokloni u naturi</w:t>
            </w:r>
            <w:r>
              <w:rPr>
                <w:rFonts w:ascii="Arial" w:cs="Arial" w:eastAsia="Arial" w:hAnsi="Arial"/>
                <w:sz w:val="18"/>
                <w:szCs w:val="18"/>
              </w:rPr>
              <w:t xml:space="preserve"> (oprema, roba, usluge, prostor) primaju se dogovorom sa udruženjem, evidentiraju sa procijenjenom vrijednošću i imenom davaoca i objavljuju u registru kao poklon u naturi, bez novčanog iznosa u Fondu za pomoć. Ne prodajemo ih osim ako je to dogovoreno sa davaocem.</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In-kind gifts</w:t>
            </w:r>
            <w:r>
              <w:rPr>
                <w:rFonts w:ascii="Arial" w:cs="Arial" w:eastAsia="Arial" w:hAnsi="Arial"/>
                <w:sz w:val="18"/>
                <w:szCs w:val="18"/>
              </w:rPr>
              <w:t xml:space="preserve"> (equipment, goods, services, premises) are accepted by agreement with the association, recorded with an estimated value and the giver's name, and published in the ledger as an in-kind gift, without a monetary amount in the Impact Fund. We do not sell them unless agreed with the giver.</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Pokloni u sjećanje i povodom proslava</w:t>
            </w:r>
            <w:r>
              <w:rPr>
                <w:rFonts w:ascii="Arial" w:cs="Arial" w:eastAsia="Arial" w:hAnsi="Arial"/>
                <w:sz w:val="18"/>
                <w:szCs w:val="18"/>
              </w:rPr>
              <w:t xml:space="preserve"> primaju se kao donacije Fondu za pomoć ili kampanji; na zahtjev objavljujemo ime lica kome je poklon posvećen, uz saglasnost porodice.</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Gifts in memory and on the occasion of celebrations</w:t>
            </w:r>
            <w:r>
              <w:rPr>
                <w:rFonts w:ascii="Arial" w:cs="Arial" w:eastAsia="Arial" w:hAnsi="Arial"/>
                <w:sz w:val="18"/>
                <w:szCs w:val="18"/>
              </w:rPr>
              <w:t xml:space="preserve"> are accepted as donations to the Impact Fund or to a campaign; on request we publish the name of the person to whom the gift is dedicated, with the family's consent.</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Prikupljanje na stranici učesnika</w:t>
            </w:r>
            <w:r>
              <w:rPr>
                <w:rFonts w:ascii="Arial" w:cs="Arial" w:eastAsia="Arial" w:hAnsi="Arial"/>
                <w:sz w:val="18"/>
                <w:szCs w:val="18"/>
              </w:rPr>
              <w:t xml:space="preserve">: učesnik ne prima ni ne prosljeđuje priloge lično; sve ide na račun udruženja, a učesnik vidi ukupan iznos na svojoj stranici. Gotovinu koju prikupi predaje udruženju po pravilima o gotovini.</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Fundraising on a fundraiser page</w:t>
            </w:r>
            <w:r>
              <w:rPr>
                <w:rFonts w:ascii="Arial" w:cs="Arial" w:eastAsia="Arial" w:hAnsi="Arial"/>
                <w:sz w:val="18"/>
                <w:szCs w:val="18"/>
              </w:rPr>
              <w:t xml:space="preserve">: the participant neither receives nor passes on contributions personally; everything goes to the association's account, and the participant sees the total amount on their page. Cash they collect is handed to the association under the cash rules.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Sponzorstvo nije donacija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Sponsorship is not a donation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Sponzorstvo je ugovor sa protivuslugom (logotip, pominjanje, mjesto na događaju) i ide u Operativni fond. Donacija privrednog društva bez protivusluge ide u Fond za pomoć i objavljuje se kao donacija. Ako sponzor uz sponzorstvo daje i donaciju, evidentiramo ih odvojeno. Sponzor nema uticaj na izbor korisnika.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Sponsorship is a contract with consideration (a logo, a mention, a place at an event) and goes to the Operations Fund. A donation by a company without consideration goes to the Impact Fund and is published as a donation. If a sponsor gives a donation alongside a sponsorship, we record them separately. A sponsor has no influence over the selection of beneficiaries.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Anonimnost, zid donatora i vaši podaci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Anonymity, the donor wall and your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 donaciji birate da li se vaše ime prikazuje. Ako izaberete anonimnost, u javnom registru i na stranici učesnika prikazuje se iznos i „Anonimno“; ime ne vidi niko osim našeg tima za novac. Ako se ne odlučite za anonimnost, prikazuje se ime koje ste unijeli kao ime za prikaz, bez adrese e-pošte i drugih podataka.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When donating you choose whether your name is displayed. If you choose anonymity, the public ledger and the fundraiser page show the amount and “Anonymous”; nobody sees the name except our finance team. If you do not opt for anonymity, the name you entered as your display name is shown, without your email address or other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Vaše podatke (ime, e-poštu, iznos, način uplate, kampanju, potvrde) koristimo za obradu uplate, potvrdu, evidenciju i, ako pristanete, obavještavanje o radu udruženja. Ne prodajemo ih i ne dajemo trećima osim procesoru plaćanja, banci i pružaocima usluga koji ih obrađuju za nas, u skladu sa Politikom privatnosti. Podatke o uplatama čuvamo koliko nalažu računovodstveni propisi.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use your data (name, email, amount, payment method, campaign, receipts) to process the payment, issue the receipt, keep records and, if you consent, inform you about the association's work. We do not sell it and do not pass it to third parties other than the payment processor, the bank and the service providers who process it for us, in accordance with the Privacy Policy. We keep payment records for as long as accounting regulations require.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Dupla, pogrešna ili neovlašćena uplata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Duplicate, erroneous or unauthorised payments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je uplata prošla dva puta, ako ste unijeli pogrešan iznos ili pogrešnu kampanju, ili je kartica korišćena bez vašeg ovlašćenja, pišite na [[PLACEHOLDER: kontakt e-mail]] u roku od [[PLACEHOLDER: broj, npr. 14]] dana od zaduženja. Navedite datum, iznos i adresu e-pošte koju ste koristili pri uplati; ništa više ne tražimo.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a payment went through twice, if you entered a wrong amount or a wrong campaign, or if your card was used without your authorisation, write to [[PLACEHOLDER: contact email]] within [[PLACEHOLDER: number, e.g. 14]] days of the charge. State the date, the amount and the email address you used when paying; we ask for nothing more.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Zahtjev provjeravamo u odnosu na evidenciju i, kada je osnovan, vraćamo novac na istu karticu ili račun sa kojeg je stigao, u roku od 15 dana od odluke. Pogrešnu kampanju ispravljamo preusmjeravanjem umjesto povraćaja ako to želite. Refundacija se u javnom registru vidi kao nova stavka sa suprotnim predznakom.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check the request against our records and, where it is justified, refund the money to the same card or account it came from, within 15 days of the decision. We correct a wrong campaign by redirection instead of a refund if you prefer. A refund appears in the public ledger as a new row with the opposite sign.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Ako je donacija već isplaćena korisniku prije prijema zahtjeva, povraćaj nije moguć osim za neovlašćeno korišćenje kartice; o tome vas obavještavamo.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the donation has already been paid out to the beneficiary before we receive the request, a refund is not possible except for unauthorised use of a card; we will inform you of this.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 izvodu kartice uplata se prikazuje kao [[PLACEHOLDER: opis transakcije dogovoren sa Monri]]. Ako vidite tu stavku a ne sjećate se uplate, prvo pišite nama; brže je od reklamacije banci. Reklamaciju banci (chargeback) rješavamo sa procesorom; ako se pokaže neosnovanom, možemo odbiti buduće uplate sa te kartice.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On your card statement the payment appears as [[PLACEHOLDER: transaction descriptor agreed with Monri]]. If you see that entry and do not remember the payment, write to us first; it is faster than a dispute with your bank. A bank dispute (chargeback) is handled with the processor; if it proves unfounded, we may decline future payments from that card.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Kotizacije za događaje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Entry fees for events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Kotizacija je prijava na konkretan događaj i ide u Fond za pomoć, na cilj tog događaja, osim ako na stranici događaja piše da ide u Operativni fond. Ako događaj odložimo, prijava važi za novi termin, uz pravo prenosa na drugu osobu. Ako ga otkažemo mi, birate povraćaj kotizacije u punom iznosu na isti način plaćanja u roku od 30 dana ili njeno pretvaranje u donaciju Fondu za pomoć; pitamo vas e-poštom, bez skrivenih podrazumijevanih opcija, a ako ne odgovorite u roku od 30 dana, kotizaciju vraćamo. Ako odustanete sami, kotizaciju ne vraćamo, ali prijavu možete prenijeti do zatvaranja prijava. Sve ostalo uređuju Uslovi učešća na događajima.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entry fee is a registration for a specific event and goes to the Impact Fund, to that event's cause, unless the event's page says it goes to the Operations Fund. If we postpone the event, the registration is valid for the new date, with the right to transfer it to another person. If we cancel it, you choose a full refund of the entry fee to the same payment method within 30 days or its conversion into a donation to the Impact Fund; we ask you by email, with no hidden default options, and if you do not answer within 30 days, we refund the entry fee. If you withdraw yourself, the entry fee is not refunded, but you may transfer the registration until registration closes. Everything else is governed by the Event Terms.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Šta objavljujemo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What we publish</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 javnom registru objavljujemo za svaku uplatu: datum, iznos, ime za prikaz ili „Anonimno“, kampanju ili stranicu učesnika, ogranak i način uplate; za svaku isplatu: datum, iznos, opis korisnika koji ne otkriva identitet, kategoriju, ogranak i dokumentaciju. Objavljujemo i stanje oba fonda, formulu raspodjele po ograncima i godišnji finansijski izvještaj.</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In the public ledger we publish for every payment in: the date, the amount, the display name or “Anonymous”, the campaign or fundraiser page, the chapter and the payment method; for every payment out: the date, the amount, a description of the beneficiary that does not reveal their identity, the category, the chapter and the documentation. We also publish the balance of both funds, the allocation formula by chapter and the annual financial report.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Iznose isplata objavljujemo u roku od 30 dana od isplate, a isplate korisnicima nastojimo izvršiti u roku od 60 dana od odluke Komisije.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publish the amounts of payments out within 30 days of payment, and we aim to make payments to beneficiaries within 60 days of the Committee's decision.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Porezi i potvrde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Tax and receipts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svaku donaciju izdajemo potvrdu e-poštom. Privrednim društvima i preduzetnicima na zahtjev izdajemo potvrdu o donaciji sa podacima udruženja za njihove knjige; [[PLACEHOLDER: da li i pod kojim uslovima su donacije poreski priznat rashod u Crnoj Gori, potvrđuje računovođa]]. Ne dajemo poreske savjete; provjerite sa svojim računovođom.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issue a receipt by email for every donation. To companies and sole traders we issue on request a donation confirmation with the association's details for their books; [[PLACEHOLDER: whether and under what conditions donations are a tax-deductible expense in Montenegro, to be confirmed by the accountant]]. We do not give tax advice; check with your accountant.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Prigovori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Complaints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Prigovor na uplatu, potvrdu, objavljenu stavku ili postupanje šaljete na [[PLACEHOLDER: kontakt e-mail]]. Odgovaramo u roku od 15 dana. Ako niste zadovoljni odgovorom, možete se obratiti Upravnom odboru na istu adresu sa naznakom „za Upravni odbor“.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complaint about a payment, a receipt, a published entry or our conduct is sent to [[PLACEHOLDER: contact email]]. We reply within 15 days. If you are not satisfied with the reply, you may write to the Board at the same address, marked “for the Board”.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Izmjene i mjerodavno pravo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Changes and governing law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Pravila možemo izmijeniti; nova verzija važi za uplate nakon objave, a mjesečne donatore obavještavamo po članu 8. Svaka verzija nosi oznaku i datum. Primjenjuje se pravo Crne Gore.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We may change these rules; the new version applies to payments made after publication, and monthly donors are notified under Article 8. Every version carries a number and a date. The law of Montenegro applies.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DIO B: PRAVILA PRIHVATANJA DONACIJA (INTERNA)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PART B: GIFT ACCEPTANCE RULES (INTERNAL)</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Koje donacije ne primamo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Gifts we do not accept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ne prima donaciju: za koju postoji osnovana sumnja da potiče iz nezakonitog izvora; koja je uslovljena uticajem na izbor korisnika, zapošljavanje ili odluke organa; koja bi udruženje obavezala na promociju političke partije, kandidata ili vjerske zajednice; od lica koje udruženje ili članovi njegovih organa ne mogu identifikovati kada je to obavezno po članu 19; koja bi po ocjeni Upravnog odbora nanijela štetu ugledu udruženja. [[PLACEHOLDER: Upravni odbor odlučuje da li i koje djelatnosti davaoca isključuje, na primjer duvan ili kockanje]].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does not accept a donation: which is reasonably suspected to come from an illegal source; which is conditioned on influence over the selection of beneficiaries, hiring or the decisions of its bodies; which would oblige the association to promote a political party, a candidate or a religious community; from a person whom the association or the members of its bodies cannot identify when this is required under Article 19; which in the Board's judgment would harm the reputation of the association. [[PLACEHOLDER: the Board decides whether and which industries of a giver are excluded, for example tobacco or gambling]].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 odbijanju donacije odlučuje Izvršni direktor, a za iznose preko [[PLACEHOLDER: iznos]] EUR ili sporne slučajeve Upravni odbor. Odbijena i vraćena donacija se evidentira sa razlogom.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decision to decline a donation is made by the Executive Director, and for amounts above [[PLACEHOLDER: amount]] EUR or in disputed cases by the Board. A declined and returned donation is recorded with the reason.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 — Identifikacija i veće donacije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 — Identification and larger donations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pojedinačnu donaciju ili zbir donacija istog davaoca u godini preko [[PLACEHOLDER: iznos]] EUR udruženje utvrđuje identitet davaoca (ime i prezime ili naziv, adresa, za pravna lica registarski broj) i, kada je iznos preko [[PLACEHOLDER: iznos]] EUR, traži izjavu o porijeklu sredstava. [[PLACEHOLDER: pragovi i obaveze po Zakonu o sprječavanju pranja novca i finansiranja terorizma za NVO, potvrđuje advokat]]. Anonimna donacija u smislu člana 11 znači skrivanje imena od javnosti, ne od udruženja; gotovinska donacija bez identifikacije davaoca prima se samo do [[PLACEHOLDER: iznos]] EUR.</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a single donation or the sum of donations from the same giver in a year above [[PLACEHOLDER: amount]] EUR, the association establishes the identity of the giver (first name and surname or company name, address, and for legal entities the registration number) and, where the amount exceeds [[PLACEHOLDER: amount]] EUR, asks for a statement on the source of funds. [[PLACEHOLDER: thresholds and obligations under the Law on the Prevention of Money Laundering and Terrorist Financing for NGOs, to be confirmed by the lawyer]]. An anonymous donation within the meaning of Article 11 means hiding the name from the public, not from the association; a cash donation without identification of the giver is accepted only up to [[PLACEHOLDER: amount]] EUR.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Donacija iz inostranstva prima se pod istim pravilima; udruženje evidentira državu porijekla uplate.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donation from abroad is accepted under the same rules; the association records the country of origin of the payment.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20 — Rukovanje gotovinom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20 — Cash handling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Gotovina se prima samo uz numerisanu potvrdu, prebrojava u prisustvu dva lica, evidentira na platformi u roku od 48 sati i polaže na račun udruženja u roku od pet radnih dana (Pravila o ograncima, član 13). Do potvrde prijema od strane udruženja iznos je „predato na čekanju“ i ne ulazi u javne iznose. Niko ne drži gotovinu udruženja na ličnom računu.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Cash is accepted only against a numbered receipt, counted in the presence of two people, logged on the platform within 48 hours and deposited in the association's account within five working days (Chapter Rules, Article 13). Until the association confirms receipt, the amount is “pending hand-in” and does not count in the public totals. Nobody holds the association's cash in a personal account.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21 — Kartična plaćanja i bezbjednost</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21 — Card payments and security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Kartična plaćanja prima isključivo procesor Monri preko svojih komponenti; podaci o kartici ne dolaze na servere udruženja (obim PCI DSS SAQ-A). Sva obavještenja procesora provjeravaju se potpisom prije obrade, a ista uplata se evidentira samo jednom. Refundacije kartičnih uplata vrše se isključivo preko procesora na izvornu karticu.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Card payments are received exclusively by the processor Monri through its components; card data never reaches the association's servers (PCI DSS SAQ-A scope). All notifications from the processor are signature-verified before processing, and the same payment is recorded only once. Refunds of card payments are made exclusively through the processor to the original card.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22 — Evidencija i odlučivanje o refundacijama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22 — Records and refund decisions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Refundaciju, preusmjeravanje i ispravku odobrava Izvršni direktor ili lice koje on ovlasti, na osnovu zahtjeva i provjere evidencije; refundaciju preko [[PLACEHOLDER: iznos]] EUR odobravaju dva lica. Svaka se knjiži kao ispravka sa vezom na izvornu uplatu i razlogom, u skladu sa modelom novca udruženja (jedna knjiga, sve cifre izvedene iz nje).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refund, redirection or correction is approved by the Executive Director or a person they authorise, on the basis of the request and a check of the records; a refund above [[PLACEHOLDER: amount]] EUR is approved by two people. Each is booked as a correction linked to the original payment, with the reason, in accordance with the association's money model (one ledger, every figure derived from it).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ne prima donacije koje bi trebalo da isplati određenom fizičkom licu mimo odluke Komisije, ne vrši „prolazne“ uplate za treća lica i ne vraća donaciju na račun različit od izvornog.</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does not accept donations that it would have to pay out to a specific natural person outside a Committee decision, does not make “pass-through” payments for third parties, and does not refund a donation to an account other than the original one.</w:t>
            </w:r>
          </w:p>
        </w:tc>
      </w:tr>
    </w:tbl>
    <w:sectPr>
      <w:headerReference w:type="default" r:id="rId6"/>
      <w:headerReference w:type="first" r:id="rId7"/>
      <w:footerReference w:type="default" r:id="rId8"/>
      <w:footerReference w:type="first" r:id="rId9"/>
      <w:pgSz w:w="11906" w:h="16838" w:orient="portrait"/>
      <w:pgMar w:top="1000" w:right="1000" w:bottom="1000" w:left="10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A72"/>
        <w:sz w:val="16"/>
        <w:szCs w:val="16"/>
      </w:rPr>
      <w:t xml:space="preserve">Pravila donacija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2026-09-30T14:19:20.785Z</dcterms:created>
  <dcterms:modified xsi:type="dcterms:W3CDTF">2026-09-30T14:19:20.785Z</dcterms:modified>
</cp:coreProperties>
</file>

<file path=docProps/custom.xml><?xml version="1.0" encoding="utf-8"?>
<Properties xmlns="http://schemas.openxmlformats.org/officeDocument/2006/custom-properties" xmlns:vt="http://schemas.openxmlformats.org/officeDocument/2006/docPropsVTypes"/>
</file>