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Pravila o ograncima / Chapter Rules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OPŠTE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GENERAL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Predmet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Subject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Ovim pravilima bliže se uređuju osnivanje, organizacija, rad, finansije, izvještavanje i prestanak rada ogranaka udruženja, u skladu sa članovima 40 do 44 Statuta.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rules govern in more detail the founding, organisation, operation, finances, reporting and dissolution of the association's chapters, in accordance with Articles 40 to 44 of the Statute.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Pravila su jedinstvena za sve ogranke. Upravni odbor može odlukom o osnivanju ogranka utvrditi samo one posebnosti koje ova pravila izričito dopuštaju.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rules are the same for every chapter. In its decision founding a chapter the Board may set only those particulars that these rules expressly allow.</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Položaj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Status of a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je unutrašnja organizaciona jedinica udruženja za područje jedne ili više opština. Ogranak nema svojstvo pravnog lica, nema sopstveni račun, pečat ni imovinu, i ne može zaključivati ugovore niti preuzimati obaveze.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is an internal organisational unit of the association for the area of one or more municipalities. A chapter is not a legal person, has no account, seal or property of its own, and cannot conclude contracts or assume obligations.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Sve što ogranak radi, radi u ime i za račun udruženja. Za obaveze koje nastanu radom ogranka odgovara udruženje, a lica koja su ih preuzela bez ovlašćenja odgovaraju udruženju.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Everything a chapter does, it does in the name and on behalf of the association. The association answers for obligations arising from a chapter's work, and persons who assumed them without authority answer to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OSNIVANJE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FOUNDING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Predlog za osnivanje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Proposal to found a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Predlog za osnivanje ogranka podnose Upravnom odboru najmanje tri člana udruženja sa prebivalištem na predloženom području. Predlog sadrži: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proposal to found a chapter is submitted to the Board by at least three members of the association resident in the proposed area. The proposal states: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područje ogranka (opština ili opštine);</w:t>
            </w:r>
          </w:p>
          <w:p>
            <w:pPr>
              <w:pStyle w:val="ListParagraph"/>
              <w:numPr>
                <w:ilvl w:val="0"/>
                <w:numId w:val="2"/>
              </w:numPr>
              <w:spacing w:after="40"/>
            </w:pPr>
            <w:r>
              <w:rPr>
                <w:rFonts w:ascii="Arial" w:cs="Arial" w:eastAsia="Arial" w:hAnsi="Arial"/>
                <w:sz w:val="18"/>
                <w:szCs w:val="18"/>
              </w:rPr>
              <w:t xml:space="preserve">imena predloženog rukovodioca ogranka, blagajnika i koordinatora volontera, sa kratkim opisom iskustva;</w:t>
            </w:r>
          </w:p>
          <w:p>
            <w:pPr>
              <w:pStyle w:val="ListParagraph"/>
              <w:numPr>
                <w:ilvl w:val="0"/>
                <w:numId w:val="2"/>
              </w:numPr>
              <w:spacing w:after="40"/>
            </w:pPr>
            <w:r>
              <w:rPr>
                <w:rFonts w:ascii="Arial" w:cs="Arial" w:eastAsia="Arial" w:hAnsi="Arial"/>
                <w:sz w:val="18"/>
                <w:szCs w:val="18"/>
              </w:rPr>
              <w:t xml:space="preserve">plan prvog javnog događaja u roku od dvanaest mjeseci, sa procjenom troškova i izvora sredstava;</w:t>
            </w:r>
          </w:p>
          <w:p>
            <w:pPr>
              <w:pStyle w:val="ListParagraph"/>
              <w:numPr>
                <w:ilvl w:val="0"/>
                <w:numId w:val="2"/>
              </w:numPr>
              <w:spacing w:after="40"/>
            </w:pPr>
            <w:r>
              <w:rPr>
                <w:rFonts w:ascii="Arial" w:cs="Arial" w:eastAsia="Arial" w:hAnsi="Arial"/>
                <w:sz w:val="18"/>
                <w:szCs w:val="18"/>
              </w:rPr>
              <w:t xml:space="preserve">spisak klubova, škola, privrednih društava i drugih partnera sa kojima su predlagači već u kontaktu;</w:t>
            </w:r>
          </w:p>
          <w:p>
            <w:pPr>
              <w:pStyle w:val="ListParagraph"/>
              <w:numPr>
                <w:ilvl w:val="0"/>
                <w:numId w:val="2"/>
              </w:numPr>
              <w:spacing w:after="40"/>
            </w:pPr>
            <w:r>
              <w:rPr>
                <w:rFonts w:ascii="Arial" w:cs="Arial" w:eastAsia="Arial" w:hAnsi="Arial"/>
                <w:sz w:val="18"/>
                <w:szCs w:val="18"/>
              </w:rPr>
              <w:t xml:space="preserve">izjavu predlagača da prihvataju Statut, ova pravila, kriterijume za dodjelu sredstava i Politiku zaštite djece.</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the chapter's area (the municipality or municipalities);</w:t>
            </w:r>
          </w:p>
          <w:p>
            <w:pPr>
              <w:pStyle w:val="ListParagraph"/>
              <w:numPr>
                <w:ilvl w:val="0"/>
                <w:numId w:val="3"/>
              </w:numPr>
              <w:spacing w:after="40"/>
            </w:pPr>
            <w:r>
              <w:rPr>
                <w:rFonts w:ascii="Arial" w:cs="Arial" w:eastAsia="Arial" w:hAnsi="Arial"/>
                <w:sz w:val="18"/>
                <w:szCs w:val="18"/>
              </w:rPr>
              <w:t xml:space="preserve">the names of the proposed chapter lead, treasurer and volunteer coordinator, with a brief description of their experience;</w:t>
            </w:r>
          </w:p>
          <w:p>
            <w:pPr>
              <w:pStyle w:val="ListParagraph"/>
              <w:numPr>
                <w:ilvl w:val="0"/>
                <w:numId w:val="3"/>
              </w:numPr>
              <w:spacing w:after="40"/>
            </w:pPr>
            <w:r>
              <w:rPr>
                <w:rFonts w:ascii="Arial" w:cs="Arial" w:eastAsia="Arial" w:hAnsi="Arial"/>
                <w:sz w:val="18"/>
                <w:szCs w:val="18"/>
              </w:rPr>
              <w:t xml:space="preserve">a plan for a first public event within twelve months, with an estimate of costs and sources of funds;</w:t>
            </w:r>
          </w:p>
          <w:p>
            <w:pPr>
              <w:pStyle w:val="ListParagraph"/>
              <w:numPr>
                <w:ilvl w:val="0"/>
                <w:numId w:val="3"/>
              </w:numPr>
              <w:spacing w:after="40"/>
            </w:pPr>
            <w:r>
              <w:rPr>
                <w:rFonts w:ascii="Arial" w:cs="Arial" w:eastAsia="Arial" w:hAnsi="Arial"/>
                <w:sz w:val="18"/>
                <w:szCs w:val="18"/>
              </w:rPr>
              <w:t xml:space="preserve">a list of the clubs, schools, companies and other partners with whom the proposers are already in contact;</w:t>
            </w:r>
          </w:p>
          <w:p>
            <w:pPr>
              <w:pStyle w:val="ListParagraph"/>
              <w:numPr>
                <w:ilvl w:val="0"/>
                <w:numId w:val="3"/>
              </w:numPr>
              <w:spacing w:after="40"/>
            </w:pPr>
            <w:r>
              <w:rPr>
                <w:rFonts w:ascii="Arial" w:cs="Arial" w:eastAsia="Arial" w:hAnsi="Arial"/>
                <w:sz w:val="18"/>
                <w:szCs w:val="18"/>
              </w:rPr>
              <w:t xml:space="preserve">a declaration by the proposers that they accept the Statute, these rules, the grant criteria and the Child Safeguarding Policy.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odlučuje o predlogu na prvoj narednoj sjednici, po pribavljenom mišljenju Izvršnog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decides on the proposal at its next meeting, after obtaining the Executive Director's opinion.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Odluka o osnivanju i Paket za ogranak</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Founding decision and the Chapter in a Box</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Odlukom o osnivanju Upravni odbor utvrđuje naziv ogranka (naziv udruženja i naziv opštine, na primjer „Santamore Kotor“), područje, imena lica iz člana 3 tačka 2, početni budžet i lice iz reda zaposlenih ili organa udruženja koje je stalni kontakt ogranka (nacionalni kontakt).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 the founding decision the Board sets the chapter's name (the association's name and the name of the municipality, for example "Santamore Kotor"), its area, the names of the persons under Article 3 point 2, its starting budget and the person from among the association's staff or bodies who is the chapter's standing contact (the national contact).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 roku od 30 dana od odluke Izvršni direktor ogranku dostavlja Paket za ogranak, koji sadrži najmanje: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Within 30 days of the decision the Executive Director delivers the Chapter in a Box to the chapter, containing at least:</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priručnik za organizaciju događaja sa obrascima (plan, budžet, procjena rizika, lista dozvola, program dana, izvještaj);</w:t>
            </w:r>
          </w:p>
          <w:p>
            <w:pPr>
              <w:pStyle w:val="ListParagraph"/>
              <w:numPr>
                <w:ilvl w:val="0"/>
                <w:numId w:val="4"/>
              </w:numPr>
              <w:spacing w:after="40"/>
            </w:pPr>
            <w:r>
              <w:rPr>
                <w:rFonts w:ascii="Arial" w:cs="Arial" w:eastAsia="Arial" w:hAnsi="Arial"/>
                <w:sz w:val="18"/>
                <w:szCs w:val="18"/>
              </w:rPr>
              <w:t xml:space="preserve">vizuelni identitet: logotip, boje, šablone za objave, plakate i majice;</w:t>
            </w:r>
          </w:p>
          <w:p>
            <w:pPr>
              <w:pStyle w:val="ListParagraph"/>
              <w:numPr>
                <w:ilvl w:val="0"/>
                <w:numId w:val="4"/>
              </w:numPr>
              <w:spacing w:after="40"/>
            </w:pPr>
            <w:r>
              <w:rPr>
                <w:rFonts w:ascii="Arial" w:cs="Arial" w:eastAsia="Arial" w:hAnsi="Arial"/>
                <w:sz w:val="18"/>
                <w:szCs w:val="18"/>
              </w:rPr>
              <w:t xml:space="preserve">obrasce za evidenciju gotovine, obračun troškova i prijavu incidenta;</w:t>
            </w:r>
          </w:p>
          <w:p>
            <w:pPr>
              <w:pStyle w:val="ListParagraph"/>
              <w:numPr>
                <w:ilvl w:val="0"/>
                <w:numId w:val="4"/>
              </w:numPr>
              <w:spacing w:after="40"/>
            </w:pPr>
            <w:r>
              <w:rPr>
                <w:rFonts w:ascii="Arial" w:cs="Arial" w:eastAsia="Arial" w:hAnsi="Arial"/>
                <w:sz w:val="18"/>
                <w:szCs w:val="18"/>
              </w:rPr>
              <w:t xml:space="preserve">pristup platformi udruženja: stranicu ogranka, evidenciju prihoda i rashoda ogranka, alat za evidenciju gotovine i registar volontera;</w:t>
            </w:r>
          </w:p>
          <w:p>
            <w:pPr>
              <w:pStyle w:val="ListParagraph"/>
              <w:numPr>
                <w:ilvl w:val="0"/>
                <w:numId w:val="4"/>
              </w:numPr>
              <w:spacing w:after="40"/>
            </w:pPr>
            <w:r>
              <w:rPr>
                <w:rFonts w:ascii="Arial" w:cs="Arial" w:eastAsia="Arial" w:hAnsi="Arial"/>
                <w:sz w:val="18"/>
                <w:szCs w:val="18"/>
              </w:rPr>
              <w:t xml:space="preserve">adresu elektronske pošte ogranka na domenu udruženja;</w:t>
            </w:r>
          </w:p>
          <w:p>
            <w:pPr>
              <w:pStyle w:val="ListParagraph"/>
              <w:numPr>
                <w:ilvl w:val="0"/>
                <w:numId w:val="4"/>
              </w:numPr>
              <w:spacing w:after="40"/>
            </w:pPr>
            <w:r>
              <w:rPr>
                <w:rFonts w:ascii="Arial" w:cs="Arial" w:eastAsia="Arial" w:hAnsi="Arial"/>
                <w:sz w:val="18"/>
                <w:szCs w:val="18"/>
              </w:rPr>
              <w:t xml:space="preserve">potvrdu o osiguranju koje pokriva događaje ogranka i uslove pod kojima važi;</w:t>
            </w:r>
          </w:p>
          <w:p>
            <w:pPr>
              <w:pStyle w:val="ListParagraph"/>
              <w:numPr>
                <w:ilvl w:val="0"/>
                <w:numId w:val="4"/>
              </w:numPr>
              <w:spacing w:after="40"/>
            </w:pPr>
            <w:r>
              <w:rPr>
                <w:rFonts w:ascii="Arial" w:cs="Arial" w:eastAsia="Arial" w:hAnsi="Arial"/>
                <w:sz w:val="18"/>
                <w:szCs w:val="18"/>
              </w:rPr>
              <w:t xml:space="preserve">ova pravila, kriterijume za dodjelu sredstava, Politiku zaštite djece i Uslove učešća na događajima.</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the event playbook with templates (plan, budget, risk assessment, permit checklist, run sheet, report);</w:t>
            </w:r>
          </w:p>
          <w:p>
            <w:pPr>
              <w:pStyle w:val="ListParagraph"/>
              <w:numPr>
                <w:ilvl w:val="0"/>
                <w:numId w:val="5"/>
              </w:numPr>
              <w:spacing w:after="40"/>
            </w:pPr>
            <w:r>
              <w:rPr>
                <w:rFonts w:ascii="Arial" w:cs="Arial" w:eastAsia="Arial" w:hAnsi="Arial"/>
                <w:sz w:val="18"/>
                <w:szCs w:val="18"/>
              </w:rPr>
              <w:t xml:space="preserve">the visual identity: logo, colours, templates for posts, posters and T-shirts;</w:t>
            </w:r>
          </w:p>
          <w:p>
            <w:pPr>
              <w:pStyle w:val="ListParagraph"/>
              <w:numPr>
                <w:ilvl w:val="0"/>
                <w:numId w:val="5"/>
              </w:numPr>
              <w:spacing w:after="40"/>
            </w:pPr>
            <w:r>
              <w:rPr>
                <w:rFonts w:ascii="Arial" w:cs="Arial" w:eastAsia="Arial" w:hAnsi="Arial"/>
                <w:sz w:val="18"/>
                <w:szCs w:val="18"/>
              </w:rPr>
              <w:t xml:space="preserve">forms for the cash log, expense reconciliation and incident reports;</w:t>
            </w:r>
          </w:p>
          <w:p>
            <w:pPr>
              <w:pStyle w:val="ListParagraph"/>
              <w:numPr>
                <w:ilvl w:val="0"/>
                <w:numId w:val="5"/>
              </w:numPr>
              <w:spacing w:after="40"/>
            </w:pPr>
            <w:r>
              <w:rPr>
                <w:rFonts w:ascii="Arial" w:cs="Arial" w:eastAsia="Arial" w:hAnsi="Arial"/>
                <w:sz w:val="18"/>
                <w:szCs w:val="18"/>
              </w:rPr>
              <w:t xml:space="preserve">access to the association's platform: the chapter page, the chapter's income and expenditure ledger, the cash log tool and the volunteer register;</w:t>
            </w:r>
          </w:p>
          <w:p>
            <w:pPr>
              <w:pStyle w:val="ListParagraph"/>
              <w:numPr>
                <w:ilvl w:val="0"/>
                <w:numId w:val="5"/>
              </w:numPr>
              <w:spacing w:after="40"/>
            </w:pPr>
            <w:r>
              <w:rPr>
                <w:rFonts w:ascii="Arial" w:cs="Arial" w:eastAsia="Arial" w:hAnsi="Arial"/>
                <w:sz w:val="18"/>
                <w:szCs w:val="18"/>
              </w:rPr>
              <w:t xml:space="preserve">a chapter email address on the association's domain;</w:t>
            </w:r>
          </w:p>
          <w:p>
            <w:pPr>
              <w:pStyle w:val="ListParagraph"/>
              <w:numPr>
                <w:ilvl w:val="0"/>
                <w:numId w:val="5"/>
              </w:numPr>
              <w:spacing w:after="40"/>
            </w:pPr>
            <w:r>
              <w:rPr>
                <w:rFonts w:ascii="Arial" w:cs="Arial" w:eastAsia="Arial" w:hAnsi="Arial"/>
                <w:sz w:val="18"/>
                <w:szCs w:val="18"/>
              </w:rPr>
              <w:t xml:space="preserve">the confirmation of insurance covering the chapter's events and the conditions under which it applies;</w:t>
            </w:r>
          </w:p>
          <w:p>
            <w:pPr>
              <w:pStyle w:val="ListParagraph"/>
              <w:numPr>
                <w:ilvl w:val="0"/>
                <w:numId w:val="5"/>
              </w:numPr>
              <w:spacing w:after="40"/>
            </w:pPr>
            <w:r>
              <w:rPr>
                <w:rFonts w:ascii="Arial" w:cs="Arial" w:eastAsia="Arial" w:hAnsi="Arial"/>
                <w:sz w:val="18"/>
                <w:szCs w:val="18"/>
              </w:rPr>
              <w:t xml:space="preserve">these rules, the grant criteria, the Child Safeguarding Policy and the Event Terms.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ORGANIZACIJA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ORGANISATION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Lica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Chapter officers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ima rukovodioca ogranka, blagajnika ogranka i koordinatora volontera. Imenuje ih Upravni odbor na predlog članova ogranka, na mandat od dvije godine, uz mogućnost ponovnog imenovanja (član 41 Statuta).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has a chapter lead, a chapter treasurer and a volunteer coordinator. They are appointed by the Board on the proposal of the chapter's members for a term of two years, renewable (Article 41 of the Statute).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Ta lica moraju biti punoljetni članovi udruženja. Rukovodilac ogranka i blagajnik ne mogu biti isto lice, niti bračni drugovi ili bliski srodnici. Ista lica ne mogu istovremeno biti članovi Komisije za dodjelu sredstava.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persons must be adult members of the association. The chapter lead and the treasurer cannot be the same person, nor spouses or close relatives. The same persons cannot at the same time be members of the Grants Committee.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neko od tih mjesta ostane upražnjeno, rukovodilac ogranka u roku od 30 dana predlaže zamjenu, a do imenovanja poslove obavlja lice koje odredi Izvršni direktor.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any of these posts falls vacant, the chapter lead proposes a replacement within 30 days, and until the appointment the duties are performed by a person designated by the Executive Director.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Rukovodilac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Chapter lead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w:t>
            </w:r>
          </w:p>
        </w:tc>
      </w:tr>
      <w:tr>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organizuje rad ogranka i predstavlja ga prema partnerima i javnosti na svom području, u okviru ovlašćenja iz ovih pravila;</w:t>
            </w:r>
          </w:p>
          <w:p>
            <w:pPr>
              <w:pStyle w:val="ListParagraph"/>
              <w:numPr>
                <w:ilvl w:val="0"/>
                <w:numId w:val="6"/>
              </w:numPr>
              <w:spacing w:after="40"/>
            </w:pPr>
            <w:r>
              <w:rPr>
                <w:rFonts w:ascii="Arial" w:cs="Arial" w:eastAsia="Arial" w:hAnsi="Arial"/>
                <w:sz w:val="18"/>
                <w:szCs w:val="18"/>
              </w:rPr>
              <w:t xml:space="preserve">priprema godišnji plan i budžet ogranka i predlaže ih Izvršnom direktoru;</w:t>
            </w:r>
          </w:p>
          <w:p>
            <w:pPr>
              <w:pStyle w:val="ListParagraph"/>
              <w:numPr>
                <w:ilvl w:val="0"/>
                <w:numId w:val="6"/>
              </w:numPr>
              <w:spacing w:after="40"/>
            </w:pPr>
            <w:r>
              <w:rPr>
                <w:rFonts w:ascii="Arial" w:cs="Arial" w:eastAsia="Arial" w:hAnsi="Arial"/>
                <w:sz w:val="18"/>
                <w:szCs w:val="18"/>
              </w:rPr>
              <w:t xml:space="preserve">odgovara za to da se svaki događaj ogranka pripremi i održi u skladu sa dijelom IV ovih pravila;</w:t>
            </w:r>
          </w:p>
          <w:p>
            <w:pPr>
              <w:pStyle w:val="ListParagraph"/>
              <w:numPr>
                <w:ilvl w:val="0"/>
                <w:numId w:val="6"/>
              </w:numPr>
              <w:spacing w:after="40"/>
            </w:pPr>
            <w:r>
              <w:rPr>
                <w:rFonts w:ascii="Arial" w:cs="Arial" w:eastAsia="Arial" w:hAnsi="Arial"/>
                <w:sz w:val="18"/>
                <w:szCs w:val="18"/>
              </w:rPr>
              <w:t xml:space="preserve">saziva i vodi sastanke članova ogranka;</w:t>
            </w:r>
          </w:p>
          <w:p>
            <w:pPr>
              <w:pStyle w:val="ListParagraph"/>
              <w:numPr>
                <w:ilvl w:val="0"/>
                <w:numId w:val="6"/>
              </w:numPr>
              <w:spacing w:after="40"/>
            </w:pPr>
            <w:r>
              <w:rPr>
                <w:rFonts w:ascii="Arial" w:cs="Arial" w:eastAsia="Arial" w:hAnsi="Arial"/>
                <w:sz w:val="18"/>
                <w:szCs w:val="18"/>
              </w:rPr>
              <w:t xml:space="preserve">podnosi izvještaje iz dijela VII ovih pravila;</w:t>
            </w:r>
          </w:p>
          <w:p>
            <w:pPr>
              <w:pStyle w:val="ListParagraph"/>
              <w:numPr>
                <w:ilvl w:val="0"/>
                <w:numId w:val="6"/>
              </w:numPr>
              <w:spacing w:after="40"/>
            </w:pPr>
            <w:r>
              <w:rPr>
                <w:rFonts w:ascii="Arial" w:cs="Arial" w:eastAsia="Arial" w:hAnsi="Arial"/>
                <w:sz w:val="18"/>
                <w:szCs w:val="18"/>
              </w:rPr>
              <w:t xml:space="preserve">prima prijave za pomoć sa svog područja i prosljeđuje ih u postupak iz kriterijuma za dodjelu sredstava, bez ocjene i bez obećanja podnosiocu;</w:t>
            </w:r>
          </w:p>
          <w:p>
            <w:pPr>
              <w:pStyle w:val="ListParagraph"/>
              <w:numPr>
                <w:ilvl w:val="0"/>
                <w:numId w:val="6"/>
              </w:numPr>
              <w:spacing w:after="40"/>
            </w:pPr>
            <w:r>
              <w:rPr>
                <w:rFonts w:ascii="Arial" w:cs="Arial" w:eastAsia="Arial" w:hAnsi="Arial"/>
                <w:sz w:val="18"/>
                <w:szCs w:val="18"/>
              </w:rPr>
              <w:t xml:space="preserve">bez odlaganja obavještava Izvršnog direktora o svakom incidentu, prigovoru, medijskom upitu ili okolnosti koja može štetiti ugledu udruženja.</w:t>
            </w:r>
          </w:p>
        </w:tc>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sz w:val="18"/>
                <w:szCs w:val="18"/>
              </w:rPr>
              <w:t xml:space="preserve">organises the chapter's work and represents it towards partners and the public in its area, within the authority given by these rules;</w:t>
            </w:r>
          </w:p>
          <w:p>
            <w:pPr>
              <w:pStyle w:val="ListParagraph"/>
              <w:numPr>
                <w:ilvl w:val="0"/>
                <w:numId w:val="7"/>
              </w:numPr>
              <w:spacing w:after="40"/>
            </w:pPr>
            <w:r>
              <w:rPr>
                <w:rFonts w:ascii="Arial" w:cs="Arial" w:eastAsia="Arial" w:hAnsi="Arial"/>
                <w:sz w:val="18"/>
                <w:szCs w:val="18"/>
              </w:rPr>
              <w:t xml:space="preserve">prepares the chapter's annual plan and budget and proposes them to the Executive Director;</w:t>
            </w:r>
          </w:p>
          <w:p>
            <w:pPr>
              <w:pStyle w:val="ListParagraph"/>
              <w:numPr>
                <w:ilvl w:val="0"/>
                <w:numId w:val="7"/>
              </w:numPr>
              <w:spacing w:after="40"/>
            </w:pPr>
            <w:r>
              <w:rPr>
                <w:rFonts w:ascii="Arial" w:cs="Arial" w:eastAsia="Arial" w:hAnsi="Arial"/>
                <w:sz w:val="18"/>
                <w:szCs w:val="18"/>
              </w:rPr>
              <w:t xml:space="preserve">is responsible for every chapter event being prepared and held in accordance with Part IV of these rules;</w:t>
            </w:r>
          </w:p>
          <w:p>
            <w:pPr>
              <w:pStyle w:val="ListParagraph"/>
              <w:numPr>
                <w:ilvl w:val="0"/>
                <w:numId w:val="7"/>
              </w:numPr>
              <w:spacing w:after="40"/>
            </w:pPr>
            <w:r>
              <w:rPr>
                <w:rFonts w:ascii="Arial" w:cs="Arial" w:eastAsia="Arial" w:hAnsi="Arial"/>
                <w:sz w:val="18"/>
                <w:szCs w:val="18"/>
              </w:rPr>
              <w:t xml:space="preserve">convenes and chairs the meetings of the chapter's members;</w:t>
            </w:r>
          </w:p>
          <w:p>
            <w:pPr>
              <w:pStyle w:val="ListParagraph"/>
              <w:numPr>
                <w:ilvl w:val="0"/>
                <w:numId w:val="7"/>
              </w:numPr>
              <w:spacing w:after="40"/>
            </w:pPr>
            <w:r>
              <w:rPr>
                <w:rFonts w:ascii="Arial" w:cs="Arial" w:eastAsia="Arial" w:hAnsi="Arial"/>
                <w:sz w:val="18"/>
                <w:szCs w:val="18"/>
              </w:rPr>
              <w:t xml:space="preserve">submits the reports under Part VII of these rules;</w:t>
            </w:r>
          </w:p>
          <w:p>
            <w:pPr>
              <w:pStyle w:val="ListParagraph"/>
              <w:numPr>
                <w:ilvl w:val="0"/>
                <w:numId w:val="7"/>
              </w:numPr>
              <w:spacing w:after="40"/>
            </w:pPr>
            <w:r>
              <w:rPr>
                <w:rFonts w:ascii="Arial" w:cs="Arial" w:eastAsia="Arial" w:hAnsi="Arial"/>
                <w:sz w:val="18"/>
                <w:szCs w:val="18"/>
              </w:rPr>
              <w:t xml:space="preserve">receives applications for aid from the chapter's area and forwards them into the procedure under the grant criteria, without assessing them and without promising anything to the applicant;</w:t>
            </w:r>
          </w:p>
          <w:p>
            <w:pPr>
              <w:pStyle w:val="ListParagraph"/>
              <w:numPr>
                <w:ilvl w:val="0"/>
                <w:numId w:val="7"/>
              </w:numPr>
              <w:spacing w:after="40"/>
            </w:pPr>
            <w:r>
              <w:rPr>
                <w:rFonts w:ascii="Arial" w:cs="Arial" w:eastAsia="Arial" w:hAnsi="Arial"/>
                <w:sz w:val="18"/>
                <w:szCs w:val="18"/>
              </w:rPr>
              <w:t xml:space="preserve">informs the Executive Director without delay of every incident, complaint, media enquiry or circumstance that may harm the association's reputation.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ne može zaključivati ugovore, zapošljavati, primati sponzorstva na lični račun ni davati javne izjave o politici udruženja bez pisanog ovlašćenja Izvršnog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 cannot conclude contracts, hire staff, receive sponsorship into a personal account or make public statements on the association's policy without the Executive Director's written authorisation.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Blagajnik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Chapter treasurer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Blagajnik ogranka: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treasurer:</w:t>
            </w:r>
          </w:p>
        </w:tc>
      </w:tr>
      <w:tr>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sz w:val="18"/>
                <w:szCs w:val="18"/>
              </w:rPr>
              <w:t xml:space="preserve">vodi evidenciju svih prihoda i rashoda ogranka na platformi udruženja i čuva prateću dokumentaciju;</w:t>
            </w:r>
          </w:p>
          <w:p>
            <w:pPr>
              <w:pStyle w:val="ListParagraph"/>
              <w:numPr>
                <w:ilvl w:val="0"/>
                <w:numId w:val="8"/>
              </w:numPr>
              <w:spacing w:after="40"/>
            </w:pPr>
            <w:r>
              <w:rPr>
                <w:rFonts w:ascii="Arial" w:cs="Arial" w:eastAsia="Arial" w:hAnsi="Arial"/>
                <w:sz w:val="18"/>
                <w:szCs w:val="18"/>
              </w:rPr>
              <w:t xml:space="preserve">odgovara za rukovanje gotovinom u skladu sa članom 13 ovih pravila;</w:t>
            </w:r>
          </w:p>
          <w:p>
            <w:pPr>
              <w:pStyle w:val="ListParagraph"/>
              <w:numPr>
                <w:ilvl w:val="0"/>
                <w:numId w:val="8"/>
              </w:numPr>
              <w:spacing w:after="40"/>
            </w:pPr>
            <w:r>
              <w:rPr>
                <w:rFonts w:ascii="Arial" w:cs="Arial" w:eastAsia="Arial" w:hAnsi="Arial"/>
                <w:sz w:val="18"/>
                <w:szCs w:val="18"/>
              </w:rPr>
              <w:t xml:space="preserve">provjerava da svaki trošak ima odobrenje, račun na ime udruženja i pokriće u budžetu;</w:t>
            </w:r>
          </w:p>
          <w:p>
            <w:pPr>
              <w:pStyle w:val="ListParagraph"/>
              <w:numPr>
                <w:ilvl w:val="0"/>
                <w:numId w:val="8"/>
              </w:numPr>
              <w:spacing w:after="40"/>
            </w:pPr>
            <w:r>
              <w:rPr>
                <w:rFonts w:ascii="Arial" w:cs="Arial" w:eastAsia="Arial" w:hAnsi="Arial"/>
                <w:sz w:val="18"/>
                <w:szCs w:val="18"/>
              </w:rPr>
              <w:t xml:space="preserve">priprema finansijski dio izvještaja ogranka i sarađuje sa računovođom udruženja;</w:t>
            </w:r>
          </w:p>
          <w:p>
            <w:pPr>
              <w:pStyle w:val="ListParagraph"/>
              <w:numPr>
                <w:ilvl w:val="0"/>
                <w:numId w:val="8"/>
              </w:numPr>
              <w:spacing w:after="40"/>
            </w:pPr>
            <w:r>
              <w:rPr>
                <w:rFonts w:ascii="Arial" w:cs="Arial" w:eastAsia="Arial" w:hAnsi="Arial"/>
                <w:sz w:val="18"/>
                <w:szCs w:val="18"/>
              </w:rPr>
              <w:t xml:space="preserve">ne raspolaže sredstvima udruženja: nema pristup računu i ne vrši plaćanja, osim isplate gotovine iz odobrenih sitnih troškova do iznosa iz člana 14.</w:t>
            </w:r>
          </w:p>
        </w:tc>
        <w:tc>
          <w:tcPr>
            <w:tcW w:type="dxa" w:w="4953"/>
            <w:tcMar>
              <w:top w:type="dxa" w:w="80"/>
              <w:left w:type="dxa" w:w="100"/>
              <w:bottom w:type="dxa" w:w="80"/>
              <w:right w:type="dxa" w:w="100"/>
            </w:tcMar>
          </w:tcPr>
          <w:p>
            <w:pPr>
              <w:pStyle w:val="ListParagraph"/>
              <w:numPr>
                <w:ilvl w:val="0"/>
                <w:numId w:val="9"/>
              </w:numPr>
              <w:spacing w:after="40"/>
            </w:pPr>
            <w:r>
              <w:rPr>
                <w:rFonts w:ascii="Arial" w:cs="Arial" w:eastAsia="Arial" w:hAnsi="Arial"/>
                <w:sz w:val="18"/>
                <w:szCs w:val="18"/>
              </w:rPr>
              <w:t xml:space="preserve">keeps the record of all of the chapter's income and expenditure on the association's platform and keeps the supporting documents;</w:t>
            </w:r>
          </w:p>
          <w:p>
            <w:pPr>
              <w:pStyle w:val="ListParagraph"/>
              <w:numPr>
                <w:ilvl w:val="0"/>
                <w:numId w:val="9"/>
              </w:numPr>
              <w:spacing w:after="40"/>
            </w:pPr>
            <w:r>
              <w:rPr>
                <w:rFonts w:ascii="Arial" w:cs="Arial" w:eastAsia="Arial" w:hAnsi="Arial"/>
                <w:sz w:val="18"/>
                <w:szCs w:val="18"/>
              </w:rPr>
              <w:t xml:space="preserve">is responsible for cash handling in accordance with Article 13 of these rules;</w:t>
            </w:r>
          </w:p>
          <w:p>
            <w:pPr>
              <w:pStyle w:val="ListParagraph"/>
              <w:numPr>
                <w:ilvl w:val="0"/>
                <w:numId w:val="9"/>
              </w:numPr>
              <w:spacing w:after="40"/>
            </w:pPr>
            <w:r>
              <w:rPr>
                <w:rFonts w:ascii="Arial" w:cs="Arial" w:eastAsia="Arial" w:hAnsi="Arial"/>
                <w:sz w:val="18"/>
                <w:szCs w:val="18"/>
              </w:rPr>
              <w:t xml:space="preserve">checks that every expense has an approval, an invoice in the association's name and cover in the budget;</w:t>
            </w:r>
          </w:p>
          <w:p>
            <w:pPr>
              <w:pStyle w:val="ListParagraph"/>
              <w:numPr>
                <w:ilvl w:val="0"/>
                <w:numId w:val="9"/>
              </w:numPr>
              <w:spacing w:after="40"/>
            </w:pPr>
            <w:r>
              <w:rPr>
                <w:rFonts w:ascii="Arial" w:cs="Arial" w:eastAsia="Arial" w:hAnsi="Arial"/>
                <w:sz w:val="18"/>
                <w:szCs w:val="18"/>
              </w:rPr>
              <w:t xml:space="preserve">prepares the financial part of the chapter's reports and works with the association's accountant;</w:t>
            </w:r>
          </w:p>
          <w:p>
            <w:pPr>
              <w:pStyle w:val="ListParagraph"/>
              <w:numPr>
                <w:ilvl w:val="0"/>
                <w:numId w:val="9"/>
              </w:numPr>
              <w:spacing w:after="40"/>
            </w:pPr>
            <w:r>
              <w:rPr>
                <w:rFonts w:ascii="Arial" w:cs="Arial" w:eastAsia="Arial" w:hAnsi="Arial"/>
                <w:sz w:val="18"/>
                <w:szCs w:val="18"/>
              </w:rPr>
              <w:t xml:space="preserve">does not dispose of the association's funds: has no access to the account and makes no payments, other than paying cash from approved petty cash up to the amount in Article 14.</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Koordinator volontera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Volunteer coordinator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Koordinator volontera vodi registar volontera ogranka, organizuje pozivanje, raspored i uputstva volontera za svaki događaj, obezbjeđuje da svaki volonter prije događaja prođe kratku obuku iz bezbjednosti i zaštite djece, i vodi evidenciju sati volontera za godišnji izvještaj.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coordinator keeps the chapter's volunteer register, organises the recruiting, rostering and briefing of volunteers for every event, ensures that every volunteer receives a short safety and child safeguarding briefing before the event, and records volunteer hours for the annual report.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Članovi i sastanci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Chapter members and meetings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Članovi ogranka su članovi udruženja sa prebivalištem ili stalnim angažmanom na području ogranka, koji su u registru članova označeni kao članovi tog ogranka. Član može biti član samo jednog ogranka.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Chapter members are members of the association resident in or permanently engaged in the chapter's area who are marked in the register of members as members of that chapter. A member can be a member of only one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održava sastanak članova najmanje jednom u tri mjeseca. O sastanku se vodi kratak zapisnik (datum, prisutni, odluke), koji se čuva na platformi. Sastanak prije godišnje sjednice Skupštine, na kome se razmatra dnevni red Skupštine, uslov je da rukovodilac ogranka može zastupati članove po punomoćju (član 17d Statuta).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holds a meeting of its members at least once every three months. Brief minutes of the meeting (date, those present, decisions) are kept on the platform. The meeting before the annual session of the Assembly, at which the Assembly's agenda is considered, is the condition for the chapter lead to be able to represent members by proxy (Article 17d of the Statute).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DOGAĐAJI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EVENTS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Godišnji plan</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Annual plan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do [[PLACEHOLDER: datum, npr. 31. oktobra]] dostavlja Izvršnom direktoru plan ogranka za narednu godinu: događaje sa okvirnim datumima, ciljni iznos prikupljanja, potrebe za volonterima, planirane partnere i sponzore i budžet po događaju.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By [[PLACEHOLDER: date, e.g. 31 October]] the chapter lead sends the Executive Director the chapter's plan for the following year: events with indicative dates, the fundraising target, volunteer needs, planned partners and sponsors, and a budget per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plan usaglašava sa nacionalnim kalendarom i budžetom i dostavlja ga Upravnom odboru uz predlog godišnjeg budžeta udruženja. Odobreni budžet ogranka je gornja granica troškova ogranka u toj godini.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reconciles the plan with the national calendar and budget and passes it to the Board together with the proposed annual budget of the association. The approved chapter budget is the ceiling on the chapter's costs in that year.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ogranak organizuje najmanje jedan javni događaj godišnje (član 41 Statuta).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chapter organises at least one public event a year (Article 41 of the Statute).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Odobravanje događaja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Event approval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Nijedan događaj se ne objavljuje ni ne održava bez pisanog odobrenja Izvršnog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No event is announced or held without the Executive Director's written approval.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najavljuje događaj Izvršnom direktoru najmanje [[PLACEHOLDER: broj, npr. 60]] dana prije održavanja, a najmanje [[PLACEHOLDER: broj, npr. 30]] dana prije dostavlja kompletnu dokumentaciju: plan događaja, budžet sa izvorom sredstava za troškove prije prihoda, procjenu rizika, listu potrebnih dozvola i status svake, plan bezbjednosti i medicinske pomoći, ime lica zaduženog za zaštitu djece, plan volontera i plan komunikacije.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 notifies the Executive Director of an event at least [[PLACEHOLDER: number, e.g. 60]] days before it is held, and at least [[PLACEHOLDER: number, e.g. 30]] days before delivers the complete file: the event plan, the budget with the source of funds for costs incurred before income, the risk assessment, the list of required permits and the status of each, the safety and medical plan, the name of the person responsible for child safeguarding, the volunteer plan and the communications plan.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odobrava događaj u roku od sedam dana od prijema kompletne dokumentacije, može ga odobriti uz uslove, ili ga odbija uz obrazloženje. Događaj koji predviđa učešće u vodi, učešće djece ili više od [[PLACEHOLDER: broj]] učesnika Izvršni direktor odobrava tek po pribavljenoj saglasnosti nacionalnog lica za bezbjednost, odnosno zaštitu djece.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approves the event within seven days of receiving the complete file, may approve it with conditions, or refuses it with reasons. An event that involves activity in the water, the participation of children or more than [[PLACEHOLDER: number]] participants is approved by the Executive Director only after obtaining the consent of the national safety lead or the national child safeguarding lead respectively.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Uslovi za održavanje događaja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Conditions for holding an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svaki događaj ogranka obavezno 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every chapter event the following are mandatory:</w:t>
            </w:r>
          </w:p>
        </w:tc>
      </w:tr>
      <w:tr>
        <w:tc>
          <w:tcPr>
            <w:tcW w:type="dxa" w:w="4953"/>
            <w:tcMar>
              <w:top w:type="dxa" w:w="80"/>
              <w:left w:type="dxa" w:w="100"/>
              <w:bottom w:type="dxa" w:w="80"/>
              <w:right w:type="dxa" w:w="100"/>
            </w:tcMar>
          </w:tcPr>
          <w:p>
            <w:pPr>
              <w:pStyle w:val="ListParagraph"/>
              <w:numPr>
                <w:ilvl w:val="0"/>
                <w:numId w:val="10"/>
              </w:numPr>
              <w:spacing w:after="40"/>
            </w:pPr>
            <w:r>
              <w:rPr>
                <w:rFonts w:ascii="Arial" w:cs="Arial" w:eastAsia="Arial" w:hAnsi="Arial"/>
                <w:sz w:val="18"/>
                <w:szCs w:val="18"/>
              </w:rPr>
              <w:t xml:space="preserve">dozvola nadležnog organa opštine i, kada je potrebno, policije i upravljača puta ili obale, pribavljena prije objave prijava;</w:t>
            </w:r>
          </w:p>
          <w:p>
            <w:pPr>
              <w:pStyle w:val="ListParagraph"/>
              <w:numPr>
                <w:ilvl w:val="0"/>
                <w:numId w:val="10"/>
              </w:numPr>
              <w:spacing w:after="40"/>
            </w:pPr>
            <w:r>
              <w:rPr>
                <w:rFonts w:ascii="Arial" w:cs="Arial" w:eastAsia="Arial" w:hAnsi="Arial"/>
                <w:sz w:val="18"/>
                <w:szCs w:val="18"/>
              </w:rPr>
              <w:t xml:space="preserve">osiguranje od odgovornosti koje pokriva događaj, u skladu sa potvrdom iz Paketa za ogranak;</w:t>
            </w:r>
          </w:p>
          <w:p>
            <w:pPr>
              <w:pStyle w:val="ListParagraph"/>
              <w:numPr>
                <w:ilvl w:val="0"/>
                <w:numId w:val="10"/>
              </w:numPr>
              <w:spacing w:after="40"/>
            </w:pPr>
            <w:r>
              <w:rPr>
                <w:rFonts w:ascii="Arial" w:cs="Arial" w:eastAsia="Arial" w:hAnsi="Arial"/>
                <w:sz w:val="18"/>
                <w:szCs w:val="18"/>
              </w:rPr>
              <w:t xml:space="preserve">medicinska pomoć na licu mjesta srazmjerna broju učesnika i vrsti aktivnosti;</w:t>
            </w:r>
          </w:p>
          <w:p>
            <w:pPr>
              <w:pStyle w:val="ListParagraph"/>
              <w:numPr>
                <w:ilvl w:val="0"/>
                <w:numId w:val="10"/>
              </w:numPr>
              <w:spacing w:after="40"/>
            </w:pPr>
            <w:r>
              <w:rPr>
                <w:rFonts w:ascii="Arial" w:cs="Arial" w:eastAsia="Arial" w:hAnsi="Arial"/>
                <w:sz w:val="18"/>
                <w:szCs w:val="18"/>
              </w:rPr>
              <w:t xml:space="preserve">prijava učesnika isključivo preko platforme udruženja, sa prihvatanjem Uslova učešća i Izjave o učešću; za maloljetne učesnike saglasnost roditelja ili staratelja;</w:t>
            </w:r>
          </w:p>
          <w:p>
            <w:pPr>
              <w:pStyle w:val="ListParagraph"/>
              <w:numPr>
                <w:ilvl w:val="0"/>
                <w:numId w:val="10"/>
              </w:numPr>
              <w:spacing w:after="40"/>
            </w:pPr>
            <w:r>
              <w:rPr>
                <w:rFonts w:ascii="Arial" w:cs="Arial" w:eastAsia="Arial" w:hAnsi="Arial"/>
                <w:sz w:val="18"/>
                <w:szCs w:val="18"/>
              </w:rPr>
              <w:t xml:space="preserve">imenovano lice za zaštitu djece, vidljivo označeno i objavljeno na stranici događaja;</w:t>
            </w:r>
          </w:p>
          <w:p>
            <w:pPr>
              <w:pStyle w:val="ListParagraph"/>
              <w:numPr>
                <w:ilvl w:val="0"/>
                <w:numId w:val="10"/>
              </w:numPr>
              <w:spacing w:after="40"/>
            </w:pPr>
            <w:r>
              <w:rPr>
                <w:rFonts w:ascii="Arial" w:cs="Arial" w:eastAsia="Arial" w:hAnsi="Arial"/>
                <w:sz w:val="18"/>
                <w:szCs w:val="18"/>
              </w:rPr>
              <w:t xml:space="preserve">ograničenje broja učesnika utvrđeno u planu i poštovano;</w:t>
            </w:r>
          </w:p>
          <w:p>
            <w:pPr>
              <w:pStyle w:val="ListParagraph"/>
              <w:numPr>
                <w:ilvl w:val="0"/>
                <w:numId w:val="10"/>
              </w:numPr>
              <w:spacing w:after="40"/>
            </w:pPr>
            <w:r>
              <w:rPr>
                <w:rFonts w:ascii="Arial" w:cs="Arial" w:eastAsia="Arial" w:hAnsi="Arial"/>
                <w:sz w:val="18"/>
                <w:szCs w:val="18"/>
              </w:rPr>
              <w:t xml:space="preserve">za događaje u vodi: kvalifikovani spasioci, prateći čamac, bezbjednosni brifing svih učesnika i saradnja sa klubom koji takve aktivnosti obavlja profesionalno; bez toga se događaj u vodi ne održava;</w:t>
            </w:r>
          </w:p>
          <w:p>
            <w:pPr>
              <w:pStyle w:val="ListParagraph"/>
              <w:numPr>
                <w:ilvl w:val="0"/>
                <w:numId w:val="10"/>
              </w:numPr>
              <w:spacing w:after="40"/>
            </w:pPr>
            <w:r>
              <w:rPr>
                <w:rFonts w:ascii="Arial" w:cs="Arial" w:eastAsia="Arial" w:hAnsi="Arial"/>
                <w:sz w:val="18"/>
                <w:szCs w:val="18"/>
              </w:rPr>
              <w:t xml:space="preserve">fotografisanje i snimanje samo uz objavljenu napomenu, a djeca prepoznatljiva samo uz saglasnost roditelja;</w:t>
            </w:r>
          </w:p>
          <w:p>
            <w:pPr>
              <w:pStyle w:val="ListParagraph"/>
              <w:numPr>
                <w:ilvl w:val="0"/>
                <w:numId w:val="10"/>
              </w:numPr>
              <w:spacing w:after="40"/>
            </w:pPr>
            <w:r>
              <w:rPr>
                <w:rFonts w:ascii="Arial" w:cs="Arial" w:eastAsia="Arial" w:hAnsi="Arial"/>
                <w:sz w:val="18"/>
                <w:szCs w:val="18"/>
              </w:rPr>
              <w:t xml:space="preserve">izvještaj o događaju u roku iz člana 19.</w:t>
            </w:r>
          </w:p>
        </w:tc>
        <w:tc>
          <w:tcPr>
            <w:tcW w:type="dxa" w:w="4953"/>
            <w:tcMar>
              <w:top w:type="dxa" w:w="80"/>
              <w:left w:type="dxa" w:w="100"/>
              <w:bottom w:type="dxa" w:w="80"/>
              <w:right w:type="dxa" w:w="100"/>
            </w:tcMar>
          </w:tcPr>
          <w:p>
            <w:pPr>
              <w:pStyle w:val="ListParagraph"/>
              <w:numPr>
                <w:ilvl w:val="0"/>
                <w:numId w:val="11"/>
              </w:numPr>
              <w:spacing w:after="40"/>
            </w:pPr>
            <w:r>
              <w:rPr>
                <w:rFonts w:ascii="Arial" w:cs="Arial" w:eastAsia="Arial" w:hAnsi="Arial"/>
                <w:sz w:val="18"/>
                <w:szCs w:val="18"/>
              </w:rPr>
              <w:t xml:space="preserve">a permit from the competent municipal authority and, where required, from the police and the road or shore authority, obtained before registration opens;</w:t>
            </w:r>
          </w:p>
          <w:p>
            <w:pPr>
              <w:pStyle w:val="ListParagraph"/>
              <w:numPr>
                <w:ilvl w:val="0"/>
                <w:numId w:val="11"/>
              </w:numPr>
              <w:spacing w:after="40"/>
            </w:pPr>
            <w:r>
              <w:rPr>
                <w:rFonts w:ascii="Arial" w:cs="Arial" w:eastAsia="Arial" w:hAnsi="Arial"/>
                <w:sz w:val="18"/>
                <w:szCs w:val="18"/>
              </w:rPr>
              <w:t xml:space="preserve">liability insurance covering the event, in accordance with the confirmation in the Chapter in a Box;</w:t>
            </w:r>
          </w:p>
          <w:p>
            <w:pPr>
              <w:pStyle w:val="ListParagraph"/>
              <w:numPr>
                <w:ilvl w:val="0"/>
                <w:numId w:val="11"/>
              </w:numPr>
              <w:spacing w:after="40"/>
            </w:pPr>
            <w:r>
              <w:rPr>
                <w:rFonts w:ascii="Arial" w:cs="Arial" w:eastAsia="Arial" w:hAnsi="Arial"/>
                <w:sz w:val="18"/>
                <w:szCs w:val="18"/>
              </w:rPr>
              <w:t xml:space="preserve">on-site medical cover proportionate to the number of participants and the type of activity;</w:t>
            </w:r>
          </w:p>
          <w:p>
            <w:pPr>
              <w:pStyle w:val="ListParagraph"/>
              <w:numPr>
                <w:ilvl w:val="0"/>
                <w:numId w:val="11"/>
              </w:numPr>
              <w:spacing w:after="40"/>
            </w:pPr>
            <w:r>
              <w:rPr>
                <w:rFonts w:ascii="Arial" w:cs="Arial" w:eastAsia="Arial" w:hAnsi="Arial"/>
                <w:sz w:val="18"/>
                <w:szCs w:val="18"/>
              </w:rPr>
              <w:t xml:space="preserve">registration of participants exclusively through the association's platform, with acceptance of the Event Terms and the Participation Waiver; for minor participants, the consent of a parent or guardian;</w:t>
            </w:r>
          </w:p>
          <w:p>
            <w:pPr>
              <w:pStyle w:val="ListParagraph"/>
              <w:numPr>
                <w:ilvl w:val="0"/>
                <w:numId w:val="11"/>
              </w:numPr>
              <w:spacing w:after="40"/>
            </w:pPr>
            <w:r>
              <w:rPr>
                <w:rFonts w:ascii="Arial" w:cs="Arial" w:eastAsia="Arial" w:hAnsi="Arial"/>
                <w:sz w:val="18"/>
                <w:szCs w:val="18"/>
              </w:rPr>
              <w:t xml:space="preserve">a named child safeguarding lead, visibly identified and published on the event page;</w:t>
            </w:r>
          </w:p>
          <w:p>
            <w:pPr>
              <w:pStyle w:val="ListParagraph"/>
              <w:numPr>
                <w:ilvl w:val="0"/>
                <w:numId w:val="11"/>
              </w:numPr>
              <w:spacing w:after="40"/>
            </w:pPr>
            <w:r>
              <w:rPr>
                <w:rFonts w:ascii="Arial" w:cs="Arial" w:eastAsia="Arial" w:hAnsi="Arial"/>
                <w:sz w:val="18"/>
                <w:szCs w:val="18"/>
              </w:rPr>
              <w:t xml:space="preserve">a participant limit set in the plan and enforced;</w:t>
            </w:r>
          </w:p>
          <w:p>
            <w:pPr>
              <w:pStyle w:val="ListParagraph"/>
              <w:numPr>
                <w:ilvl w:val="0"/>
                <w:numId w:val="11"/>
              </w:numPr>
              <w:spacing w:after="40"/>
            </w:pPr>
            <w:r>
              <w:rPr>
                <w:rFonts w:ascii="Arial" w:cs="Arial" w:eastAsia="Arial" w:hAnsi="Arial"/>
                <w:sz w:val="18"/>
                <w:szCs w:val="18"/>
              </w:rPr>
              <w:t xml:space="preserve">for events in the water: qualified lifeguards, a safety boat, a safety briefing for all participants and cooperation with a club that carries out such activities professionally; without these, no event in the water is held;</w:t>
            </w:r>
          </w:p>
          <w:p>
            <w:pPr>
              <w:pStyle w:val="ListParagraph"/>
              <w:numPr>
                <w:ilvl w:val="0"/>
                <w:numId w:val="11"/>
              </w:numPr>
              <w:spacing w:after="40"/>
            </w:pPr>
            <w:r>
              <w:rPr>
                <w:rFonts w:ascii="Arial" w:cs="Arial" w:eastAsia="Arial" w:hAnsi="Arial"/>
                <w:sz w:val="18"/>
                <w:szCs w:val="18"/>
              </w:rPr>
              <w:t xml:space="preserve">photography and filming only with a published notice, and children identifiable only with parental consent;</w:t>
            </w:r>
          </w:p>
          <w:p>
            <w:pPr>
              <w:pStyle w:val="ListParagraph"/>
              <w:numPr>
                <w:ilvl w:val="0"/>
                <w:numId w:val="11"/>
              </w:numPr>
              <w:spacing w:after="40"/>
            </w:pPr>
            <w:r>
              <w:rPr>
                <w:rFonts w:ascii="Arial" w:cs="Arial" w:eastAsia="Arial" w:hAnsi="Arial"/>
                <w:sz w:val="18"/>
                <w:szCs w:val="18"/>
              </w:rPr>
              <w:t xml:space="preserve">an event report within the deadline in Article 19.</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NOVAC I EVIDENCIJA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MONEY AND RECORDS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Osnovna pravila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Basic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 sredstva prikupljena radom ogranka su sredstva udruženja i uplaćuju se na račun udruženja. Ogranak, njegova lica i volonteri ne smiju držati sredstva udruženja na ličnim računima, u privatnim kasama ni u gotovini duže nego što ova pravila dopuštaju.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All funds raised through a chapter's work are funds of the association and are paid into the association's account. The chapter, its officers and volunteers may not hold the association's funds in personal accounts, in private tills or in cash for longer than these rules allow.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Prilozi se prikupljaju prvenstveno preko platforme udruženja (kartica, uplata sa referencom, stranice učesnika). Gotovina se prima samo kada drugi način nije moguć.</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Contributions are collected primarily through the association's platform (card, transfer with a reference, fundraiser pages). Cash is accepted only when no other way is possible.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primljenu gotovinu izdaje se numerisana potvrda iz bloka udruženja. Gotovinu prebrojavaju dva lica, od kojih jedno mora biti blagajnik ili rukovodilac ogranka, i oba potpisuju obračun. Iznos se unosi u evidenciju gotovine na platformi u roku od 48 sati, a polaže na račun udruženja u roku od pet radnih dana, sa referencom koja povezuje uplatu sa evidencijom. Do potvrde prijema od strane udruženja, iznos se na platformi vodi kao „predat na čekanju“.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cash received, a numbered receipt from the association's receipt book is issued. Cash is counted by two persons, one of whom must be the treasurer or the chapter lead, and both sign the count. The amount is entered in the cash log on the platform within 48 hours and deposited into the association's account within five working days, with a reference linking the deposit to the log. Until the association confirms receipt, the amount is shown on the platform as "handed in, pending".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Troškovi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Expenses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može napraviti trošak samo u okviru odobrenog budžeta i odobrenog događaja. Trošak preko [[PLACEHOLDER: iznos]] EUR po stavci, ili ukupno preko budžeta stavke za više od 10 procenata, traži prethodno pisano odobrenje Izvršnog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may incur an expense only within the approved budget and for an approved event. An expense above [[PLACEHOLDER: amount]] EUR per item, or a total exceeding the budget line by more than 10 percent, requires the Executive Director's prior written approval.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Račun glasi na udruženje, sa PIB-om udruženja. Plaćanja vrši udruženje sa svog računa. Lice koje je uz odobrenje platilo trošak sopstvenim sredstvima podnosi zahtjev za refundaciju sa računom u roku od 30 dana; udruženje refundira u roku od 15 dana od urednog zahtjeva.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invoice is issued to the association, with the association's PIB. Payments are made by the association from its account. A person who, with approval, paid an expense from their own funds submits a reimbursement claim with the invoice within 30 days; the association reimburses within 15 days of a complete claim.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Blagajnik može voditi sitne troškove u gotovini do [[PLACEHOLDER: iznos]] EUR ukupno, uz račun za svaku stavku i obračun na platformi u roku od sedam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treasurer may run petty cash in cash up to [[PLACEHOLDER: amount]] EUR in total, with a receipt for every item and a reconciliation on the platform within seven days.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ne isplaćuje sredstva korisnicima. O svakoj dodjeli odlučuje Komisija za dodjelu sredstava, a isplatu vrši udruženje (kriterijumi za dodjelu sredstava, odjeljak 11).</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does not pay funds to beneficiaries. Every grant is decided by the Grants Committee and paid by the association (grant criteria, section 11).</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Sponzorstva i pokloni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Sponsorship and gifts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Sponzorstva, donacije privrednih društava i pokloni u naturi za događaje ogranka dogovaraju se u ime udruženja. Ugovor o sponzorstvu potpisuje Izvršni direktor; rukovodilac ogranka može voditi pregovore u okviru nacionalnih paketa i cjenovnika za sponzore.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Sponsorship, donations from companies and in-kind gifts for chapter events are agreed in the association's name. A sponsorship contract is signed by the Executive Director; the chapter lead may negotiate within the national sponsor packages and price list.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poklon u naturi (oprema, hrana, usluge, prostor) evidentira se na platformi sa procijenjenom vrijednošću i imenom davaoca. Sponzorske obaveze prema davaocu (logotip, pominjanje, mjesto na događaju) evidentiraju se i ispunjavaju kako je ugovoreno.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in-kind gift (equipment, food, services, premises) is recorded on the platform with an estimated value and the giver's name. Obligations owed to a sponsor (logo, mention, a place at the event) are recorded and fulfilled as agreed.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Lica ogranka ne mogu primati lične poklone, naknade ni pogodnosti od sponzora, dobavljača ili korisnika.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Chapter officers cannot accept personal gifts, fees or favours from sponsors, suppliers or beneficiaries.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Raspodjela sredstava prikupljenih na području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Split of funds raised in the chapter's area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prikupljena na području ogranka raspoređuju se po objavljenoj formuli koju udruženje vodi za svaki ogranak na platformi: [[PLACEHOLDER: procenat, vodič tima predviđa 70]] procenata korisnicima sa područja ogranka, [[PLACEHOLDER: procenat, 20]] procenata nacionalnim operacijama i [[PLACEHOLDER: procenat, 10]] procenata Fondu solidarnosti za područja sa najvećom potrebom i najmanjim mogućnostima prikupljanja.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raised in the chapter's area are distributed by the published formula that the association keeps for each chapter on the platform: [[PLACEHOLDER: percentage, the team guide proposes 70]] percent to beneficiaries in the chapter's area, [[PLACEHOLDER: percentage, 20]] percent to national operations and [[PLACEHOLDER: percentage, 10]] percent to the Solidarity Fund for areas with the greatest need and the smallest fundraising capacity.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Dobrovoljni prilozi i donacije prikupljeni za korisnike ne umanjuju se za troškove rada udruženja (Statut, član 34 stav 2).</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Voluntary contributions and donations collected for beneficiaries are not reduced by the association's operating costs (Statute, Article 34 paragraph 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dodjeli dijela namijenjenog korisnicima sa područja ogranka odlučuje Komisija za dodjelu sredstava po kriterijumima za dodjelu sredstava.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allocation of the share intended for beneficiaries in the chapter's area is decided by the Grants Committee under the grant criteria.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Evidencija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Records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vodi na platformi udruženja: evidenciju prihoda po događaju i izvoru; evidenciju rashoda sa dokumentima; evidenciju gotovine; registar volontera sa evidencijom obuke; zapisnike sastanaka; izvještaje o događajima; evidenciju dozvola, osiguranja i incidenata.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keeps on the association's platform: a record of income by event and source; a record of expenses with documents; the cash log; the volunteer register with briefing records; meeting minutes; event reports; a record of permits, insurance and incidents.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Dokumentacija u papirnom obliku (potvrde o gotovini, potpisani obračuni, dozvole) predaje se udruženju u roku od 30 dana od događaja. Ogranak ne vodi paralelne evidencije van platforme.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Paper documents (cash receipts, signed counts, permits) are handed to the association within 30 days of the event. A chapter keeps no parallel records outside the platform.</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NAZIV, ZNAK I JAVNI NASTUP</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NAME, MARK AND PUBLIC VOICE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Upotreba naziva i znaka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Use of the name and mark</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koristi naziv isključivo u obliku iz odluke o osnivanju („Santamore“ i naziv opštine) i logotip, boje i šablone iz Paketa za ogranak, bez izmjena. Naziv i znak koriste se samo za aktivnosti odobrene po ovim pravilima.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uses the name exclusively in the form set in the founding decision ("Santamore" and the name of the municipality) and the logo, colours and templates from the Chapter in a Box, without alteration. The name and mark are used only for activities approved under these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Nalozi na društvenim mrežama, adrese e-pošte i internet stranice koje nose naziv ogranka pripadaju udruženju. Otvara ih udruženje, pristupne podatke čuva Izvršni direktor, a ogranku se dodjeljuje pristup za objavljivanje. Lice kome prestane funkcija gubi pristup istog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Social media accounts, email addresses and web pages carrying the chapter's name belong to the association. The association opens them, the Executive Director holds the credentials, and the chapter is given posting access. A person whose function ends loses access the same day.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može davati izjave za medije o događajima i radu ogranka. Izjave o politici udruženja, finansijama, korisnicima ili incidentima daje samo Izvršni direktor ili lice koje on ovlasti. Svaki medijski upit o tim temama prosljeđuje se Izvršnom direktoru istog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 may make statements to the media about the chapter's events and work. Statements on the association's policy, finances, beneficiaries or incidents are made only by the Executive Director or a person they authorise. Every media enquiry on those subjects is forwarded to the Executive Director the same day.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Logotipi sponzora prikazuju se u skladu sa nacionalnim paketima za sponzore. Ogranak ne može objaviti materijal koji sadrži političku poruku, vjersku poruku ili sadržaj suprotan ciljevima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 logos are displayed in accordance with the national sponsor packages. A chapter cannot publish material containing a political message, a religious message or content contrary to the association's goals.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IZVJEŠTAVANJE I SARADNJA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REPORTING AND COOPERATION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Izvještaji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Reports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podnosi Izvršnom direktoru, preko platforme: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 submits to the Executive Director, through the platform:</w:t>
            </w:r>
          </w:p>
        </w:tc>
      </w:tr>
      <w:tr>
        <w:tc>
          <w:tcPr>
            <w:tcW w:type="dxa" w:w="4953"/>
            <w:tcMar>
              <w:top w:type="dxa" w:w="80"/>
              <w:left w:type="dxa" w:w="100"/>
              <w:bottom w:type="dxa" w:w="80"/>
              <w:right w:type="dxa" w:w="100"/>
            </w:tcMar>
          </w:tcPr>
          <w:p>
            <w:pPr>
              <w:pStyle w:val="ListParagraph"/>
              <w:numPr>
                <w:ilvl w:val="0"/>
                <w:numId w:val="12"/>
              </w:numPr>
              <w:spacing w:after="40"/>
            </w:pPr>
            <w:r>
              <w:rPr>
                <w:rFonts w:ascii="Arial" w:cs="Arial" w:eastAsia="Arial" w:hAnsi="Arial"/>
                <w:b/>
                <w:bCs/>
                <w:sz w:val="18"/>
                <w:szCs w:val="18"/>
              </w:rPr>
              <w:t xml:space="preserve">izvještaj o događaju</w:t>
            </w:r>
            <w:r>
              <w:rPr>
                <w:rFonts w:ascii="Arial" w:cs="Arial" w:eastAsia="Arial" w:hAnsi="Arial"/>
                <w:sz w:val="18"/>
                <w:szCs w:val="18"/>
              </w:rPr>
              <w:t xml:space="preserve"> u roku od 14 dana od održavanja: broj učesnika i volontera, prikupljena sredstva po izvoru, troškovi, sponzori i pokloni u naturi, incidenti i prigovori, fotografije sa evidencijom saglasnosti, naučene lekcije;</w:t>
            </w:r>
          </w:p>
          <w:p>
            <w:pPr>
              <w:pStyle w:val="ListParagraph"/>
              <w:numPr>
                <w:ilvl w:val="0"/>
                <w:numId w:val="12"/>
              </w:numPr>
              <w:spacing w:after="40"/>
            </w:pPr>
            <w:r>
              <w:rPr>
                <w:rFonts w:ascii="Arial" w:cs="Arial" w:eastAsia="Arial" w:hAnsi="Arial"/>
                <w:b/>
                <w:bCs/>
                <w:sz w:val="18"/>
                <w:szCs w:val="18"/>
              </w:rPr>
              <w:t xml:space="preserve">tromjesečni izvještaj</w:t>
            </w:r>
            <w:r>
              <w:rPr>
                <w:rFonts w:ascii="Arial" w:cs="Arial" w:eastAsia="Arial" w:hAnsi="Arial"/>
                <w:sz w:val="18"/>
                <w:szCs w:val="18"/>
              </w:rPr>
              <w:t xml:space="preserve"> do 15. u mjesecu nakon tromjesečja: aktivnosti, prihodi i rashodi u odnosu na budžet, stanje gotovine i predaja, volonteri, partneri, planovi za naredno tromjesečje;</w:t>
            </w:r>
          </w:p>
          <w:p>
            <w:pPr>
              <w:pStyle w:val="ListParagraph"/>
              <w:numPr>
                <w:ilvl w:val="0"/>
                <w:numId w:val="12"/>
              </w:numPr>
              <w:spacing w:after="40"/>
            </w:pPr>
            <w:r>
              <w:rPr>
                <w:rFonts w:ascii="Arial" w:cs="Arial" w:eastAsia="Arial" w:hAnsi="Arial"/>
                <w:b/>
                <w:bCs/>
                <w:sz w:val="18"/>
                <w:szCs w:val="18"/>
              </w:rPr>
              <w:t xml:space="preserve">godišnji izvještaj</w:t>
            </w:r>
            <w:r>
              <w:rPr>
                <w:rFonts w:ascii="Arial" w:cs="Arial" w:eastAsia="Arial" w:hAnsi="Arial"/>
                <w:sz w:val="18"/>
                <w:szCs w:val="18"/>
              </w:rPr>
              <w:t xml:space="preserve"> do [[PLACEHOLDER: datum, npr. 31. januara]]: sve iz tromjesečnih izvještaja za godinu, ocjena ispunjenja plana i predlozi za naredni plan.</w:t>
            </w:r>
          </w:p>
        </w:tc>
        <w:tc>
          <w:tcPr>
            <w:tcW w:type="dxa" w:w="4953"/>
            <w:tcMar>
              <w:top w:type="dxa" w:w="80"/>
              <w:left w:type="dxa" w:w="100"/>
              <w:bottom w:type="dxa" w:w="80"/>
              <w:right w:type="dxa" w:w="100"/>
            </w:tcMar>
          </w:tcPr>
          <w:p>
            <w:pPr>
              <w:pStyle w:val="ListParagraph"/>
              <w:numPr>
                <w:ilvl w:val="0"/>
                <w:numId w:val="13"/>
              </w:numPr>
              <w:spacing w:after="40"/>
            </w:pPr>
            <w:r>
              <w:rPr>
                <w:rFonts w:ascii="Arial" w:cs="Arial" w:eastAsia="Arial" w:hAnsi="Arial"/>
                <w:b/>
                <w:bCs/>
                <w:sz w:val="18"/>
                <w:szCs w:val="18"/>
              </w:rPr>
              <w:t xml:space="preserve">an event report</w:t>
            </w:r>
            <w:r>
              <w:rPr>
                <w:rFonts w:ascii="Arial" w:cs="Arial" w:eastAsia="Arial" w:hAnsi="Arial"/>
                <w:sz w:val="18"/>
                <w:szCs w:val="18"/>
              </w:rPr>
              <w:t xml:space="preserve"> within 14 days of the event: the number of participants and volunteers, funds raised by source, costs, sponsors and in-kind gifts, incidents and complaints, photographs with the consent records, lessons learned;</w:t>
            </w:r>
          </w:p>
          <w:p>
            <w:pPr>
              <w:pStyle w:val="ListParagraph"/>
              <w:numPr>
                <w:ilvl w:val="0"/>
                <w:numId w:val="13"/>
              </w:numPr>
              <w:spacing w:after="40"/>
            </w:pPr>
            <w:r>
              <w:rPr>
                <w:rFonts w:ascii="Arial" w:cs="Arial" w:eastAsia="Arial" w:hAnsi="Arial"/>
                <w:b/>
                <w:bCs/>
                <w:sz w:val="18"/>
                <w:szCs w:val="18"/>
              </w:rPr>
              <w:t xml:space="preserve">a quarterly report</w:t>
            </w:r>
            <w:r>
              <w:rPr>
                <w:rFonts w:ascii="Arial" w:cs="Arial" w:eastAsia="Arial" w:hAnsi="Arial"/>
                <w:sz w:val="18"/>
                <w:szCs w:val="18"/>
              </w:rPr>
              <w:t xml:space="preserve"> by the 15th of the month following the quarter: activities, income and expenditure against budget, cash position and hand-ins, volunteers, partners, plans for the next quarter;</w:t>
            </w:r>
          </w:p>
          <w:p>
            <w:pPr>
              <w:pStyle w:val="ListParagraph"/>
              <w:numPr>
                <w:ilvl w:val="0"/>
                <w:numId w:val="13"/>
              </w:numPr>
              <w:spacing w:after="40"/>
            </w:pPr>
            <w:r>
              <w:rPr>
                <w:rFonts w:ascii="Arial" w:cs="Arial" w:eastAsia="Arial" w:hAnsi="Arial"/>
                <w:b/>
                <w:bCs/>
                <w:sz w:val="18"/>
                <w:szCs w:val="18"/>
              </w:rPr>
              <w:t xml:space="preserve">an annual report</w:t>
            </w:r>
            <w:r>
              <w:rPr>
                <w:rFonts w:ascii="Arial" w:cs="Arial" w:eastAsia="Arial" w:hAnsi="Arial"/>
                <w:sz w:val="18"/>
                <w:szCs w:val="18"/>
              </w:rPr>
              <w:t xml:space="preserve"> by [[PLACEHOLDER: date, e.g. 31 January]]: everything from the quarterly reports for the year, an assessment of how far the plan was met and proposals for the next plan.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ispunjava svoju obavezu iz Statuta (član 41) ako je u godini održao najmanje jedan odobreni javni događaj i podnio sve izvještaje iz ovog člana. Izvršni direktor to konstatuje u izvještaju Upravnom odboru za svaki ogranak posebno.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fulfils its obligation under the Statute (Article 41) if in the year it held at least one approved public event and submitted all the reports under this Article. The Executive Director records this for each chapter separately in the report to the Board.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Saradnja sa Izvršnim direktorom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Working with the Executive Director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Nacionalni kontakt iz člana 4 održava redovan mjesečni razgovor sa rukovodiocem ogranka i prvi je kome se ogranak obraća za pitanja, materijale i odobrenja.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national contact under Article 4 holds a regular monthly call with the chapter lead and is the first person the chapter turns to for questions, materials and approvals.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rukovodi radom ogranaka (Statut, član 28): daje uputstva, usaglašava kalendare, odobrava događaje i troškove, i može ogranku naložiti da obustavi aktivnost koja nije u skladu sa Statutom, ovim pravilima, zakonom ili odobrenjem. Nalog o obustavi je obavezujući odmah, a ogranak može zatražiti da ga Upravni odbor preispita na prvoj narednoj sjednici.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directs the work of the chapters (Statute, Article 28): gives instructions, reconciles calendars, approves events and expenses, and may order a chapter to stop an activity that is not in accordance with the Statute, these rules, the law or an approval. A stop order is binding immediately, and the chapter may ask the Board to review it at its next meeting.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Ogranci međusobno sarađuju i razmjenjuju iskustva; Izvršni direktor najmanje jednom godišnje okuplja rukovodioce svih ogranaka.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Chapters cooperate with one another and share experience; the Executive Director gathers the leads of all chapters at least once a year.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21 — Zaštita djece i incidenti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21 — Child safeguarding and incidents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sve aktivnosti ogranka primjenjuje se Politika zaštite djece udruženja: nema kontakta odrasle osobe sa djetetom bez prisustva drugih, svi volonteri prolaze brifing, djeca se fotografišu samo uz saglasnost roditelja, a na svakom događaju je imenovano lice za zaštitu djece.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association's Child Safeguarding Policy applies to all chapter activities: no contact between an adult and a child without others present, all volunteers receive a briefing, children are photographed only with parental consent, and a child safeguarding lead is named for every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incident (povreda, nesreća u vodi, prigovor u vezi sa djetetom, gubitak novca, sukob sa učesnikom ili partnerom, medijski događaj) prijavljuje se Izvršnom direktoru i, kada se tiče djeteta, nacionalnom licu za zaštitu djece odmah, a najkasnije u roku od 24 sata, na obrascu iz Paketa za ogranak. Nadležnim organima prijavljuje udruženje.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incident (injury, accident in the water, a concern about a child, loss of money, a dispute with a participant or partner, a media event) is reported to the Executive Director and, where it concerns a child, to the national child safeguarding lead, immediately and at the latest within 24 hours, on the form from the Chapter in a Box. Reports to the competent authorities are made by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MJERE I PRESTANAK</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MEASURES AND DISSOLUTION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22 — Mjere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22 — Measures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ogranak ili neko od njegovih lica postupa suprotno Statutu, ovim pravilima ili odobrenju, Izvršni direktor može: izreći pisanu opomenu; obustaviti događaj ili aktivnost; privremeno, do 60 dana, oduzeti ovlašćenja licu ogranka i odrediti zamjenu. O privremenom oduzimanju ovlašćenja obavještava Upravni odbor, koji na prvoj narednoj sjednici odlučuje o razrješenju lica ili o vraćanju ovlašćenja.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 chapter or any of its officers acts contrary to the Statute, these rules or an approval, the Executive Director may: issue a written warning; stop an event or activity; temporarily, for up to 60 days, withdraw a chapter officer's authority and designate a replacement. The Executive Director informs the Board of a temporary withdrawal of authority, and the Board at its next meeting decides on the officer's dismissal or on restoring their authority.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ogranka ima pravo da se izjasni prije odluke Upravnog odbora.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officer has the right to be heard before the Board's decision.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23 — Prestanak rada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23 — Dissolution of a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ukida ogranak u slučajevima iz člana 44 Statuta. Prije odluke o ukidanju zbog neaktivnosti ili povrede pravila, Izvršni direktor pisano upozorava ogranak i ostavlja rok od najmanje 60 dana za otklanjanje razloga.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dissolves a chapter in the cases under Article 44 of the Statute. Before a decision to dissolve for inactivity or breach of the rules, the Executive Director warns the chapter in writing and allows at least 60 days to remedy the grounds.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 ukidanju, rukovodilac ogranka u roku od 15 dana predaje udruženju svu dokumentaciju, materijale, opremu i pristupne podatke. Sredstva evidentirana za ogranak ostaju namijenjena korisnicima sa njegovog područja, a o njima odlučuje Komisija za dodjelu sredstava.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On dissolution, the chapter lead hands over to the association all records, materials, equipment and credentials within 15 days. Funds recorded for the chapter remain earmarked for beneficiaries in its area, and the Grants Committee decides on them.</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IX. PRELAZNE I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IX. TRANSITIONAL AND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24</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24</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za područje opštine Tivat, sa Bokom Kotorskom kao početnim područjem djelovanja, prvi je ogranak udruženja i osniva se odlukom Upravnog odbora na prvoj sjednici po registraciji udruženja, bez predloga iz člana 3.</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for the area of the municipality of Tivat, with the Bay of Kotor as its initial area of activity, is the association's first chapter and is founded by a decision of the Board at its first meeting after the association's registration, without a proposal under Article 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pravila stupaju na snagu danom usvajanja na Upravnom odboru i objavljuju se članovima na platformi udruženja. Upravni odbor ih preispituje najmanje jednom godišnje, po izvještaju Izvršnog direktora o radu ogranaka.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rules take effect on the day of their adoption by the Board and are published to members on the association's platform. The Board reviews them at least once a year, on the Executive Director's report on the work of the chapters.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2026-09-28T12:40:26.306Z</dcterms:created>
  <dcterms:modified xsi:type="dcterms:W3CDTF">2026-09-28T12:40:26.306Z</dcterms:modified>
</cp:coreProperties>
</file>

<file path=docProps/custom.xml><?xml version="1.0" encoding="utf-8"?>
<Properties xmlns="http://schemas.openxmlformats.org/officeDocument/2006/custom-properties" xmlns:vt="http://schemas.openxmlformats.org/officeDocument/2006/docPropsVTypes"/>
</file>