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Kodeks ponašanja / Code of Conduct</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A: KODEKS (JAVNI)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A: THE CODE (PUBLIC)</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Zašto i za koga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Why and for whom</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Trčimo, plivamo i slavimo zajedno i hoćemo da se na našim događajima, na sajtu i u našem timu svako osjeća dobrodošlo i bezbjedno. Ovaj kodeks važi za sve: učesnike, navijače i posjetioce; volontere, tim, članove organa i osnivače; partnere, sponzore, fotografe i izvođače dok rade sa nama. Važi na događajima i pripremama za njih, na stranicama za prikupljanje, u porukama i komentarima, na našim nalozima na društvenim mrežama, i svuda gdje nastupate u ime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run, swim and celebrate together, and we want everyone to feel welcome and safe at our events, on the site and in our team. This code applies to everyone: participants, supporters and visitors; volunteers, staff, officers and founders; partners, sponsors, photographers and contractors while they work with us. It applies at events and in their preparation, on fundraiser pages, in messages and comments, on our social media accounts, and wherever you act in the name of the association.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Prihvatanjem Uslova učešća, otvaranjem naloga, volontiranjem ili radom sa nama prihvatate i ovaj kodeks. Kada kodeks i neki drugi naš dokument uređuju isto pitanje, važi stroži.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By accepting the Event Terms, opening an account, volunteering or working with us you also accept this code. Where this code and another of our documents govern the same point, the stricter one applies.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Naša načela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Our principles</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Svi su dobrodošli.</w:t>
            </w:r>
            <w:r>
              <w:rPr>
                <w:rFonts w:ascii="Arial" w:cs="Arial" w:eastAsia="Arial" w:hAnsi="Arial"/>
                <w:sz w:val="18"/>
                <w:szCs w:val="18"/>
              </w:rPr>
              <w:t xml:space="preserve"> Bez obzira na pol, uzrast, porijeklo, jezik, vjeru, invaliditet, izgled, seksualnu orijentaciju, imovno stanje ili sportsku spremu. Naši događaji su za rekreativce, takmičare i one koji su došli da navijaju.</w:t>
            </w:r>
          </w:p>
          <w:p>
            <w:pPr>
              <w:pStyle w:val="ListParagraph"/>
              <w:numPr>
                <w:ilvl w:val="0"/>
                <w:numId w:val="2"/>
              </w:numPr>
              <w:spacing w:after="40"/>
            </w:pPr>
            <w:r>
              <w:rPr>
                <w:rFonts w:ascii="Arial" w:cs="Arial" w:eastAsia="Arial" w:hAnsi="Arial"/>
                <w:b/>
                <w:bCs/>
                <w:sz w:val="18"/>
                <w:szCs w:val="18"/>
              </w:rPr>
              <w:t xml:space="preserve">Niko se ne ismijava.</w:t>
            </w:r>
            <w:r>
              <w:rPr>
                <w:rFonts w:ascii="Arial" w:cs="Arial" w:eastAsia="Arial" w:hAnsi="Arial"/>
                <w:sz w:val="18"/>
                <w:szCs w:val="18"/>
              </w:rPr>
              <w:t xml:space="preserve"> Ne zato što je spor, prvi put u vodi, u kostimu Djeda Mraza ili zato što je odustao.</w:t>
            </w:r>
          </w:p>
          <w:p>
            <w:pPr>
              <w:pStyle w:val="ListParagraph"/>
              <w:numPr>
                <w:ilvl w:val="0"/>
                <w:numId w:val="2"/>
              </w:numPr>
              <w:spacing w:after="40"/>
            </w:pPr>
            <w:r>
              <w:rPr>
                <w:rFonts w:ascii="Arial" w:cs="Arial" w:eastAsia="Arial" w:hAnsi="Arial"/>
                <w:b/>
                <w:bCs/>
                <w:sz w:val="18"/>
                <w:szCs w:val="18"/>
              </w:rPr>
              <w:t xml:space="preserve">Bezbjednost prije programa.</w:t>
            </w:r>
            <w:r>
              <w:rPr>
                <w:rFonts w:ascii="Arial" w:cs="Arial" w:eastAsia="Arial" w:hAnsi="Arial"/>
                <w:sz w:val="18"/>
                <w:szCs w:val="18"/>
              </w:rPr>
              <w:t xml:space="preserve"> Kad postoji sumnja, odlučujemo u korist bezbjednosti, i ako to znači prekid.</w:t>
            </w:r>
          </w:p>
          <w:p>
            <w:pPr>
              <w:pStyle w:val="ListParagraph"/>
              <w:numPr>
                <w:ilvl w:val="0"/>
                <w:numId w:val="2"/>
              </w:numPr>
              <w:spacing w:after="40"/>
            </w:pPr>
            <w:r>
              <w:rPr>
                <w:rFonts w:ascii="Arial" w:cs="Arial" w:eastAsia="Arial" w:hAnsi="Arial"/>
                <w:b/>
                <w:bCs/>
                <w:sz w:val="18"/>
                <w:szCs w:val="18"/>
              </w:rPr>
              <w:t xml:space="preserve">Novac je javan.</w:t>
            </w:r>
            <w:r>
              <w:rPr>
                <w:rFonts w:ascii="Arial" w:cs="Arial" w:eastAsia="Arial" w:hAnsi="Arial"/>
                <w:sz w:val="18"/>
                <w:szCs w:val="18"/>
              </w:rPr>
              <w:t xml:space="preserve"> Svaki euro koji prođe kroz nas vidi se u javnom registru; niko od nas ne rukuje novcem mimo pravila.</w:t>
            </w:r>
          </w:p>
          <w:p>
            <w:pPr>
              <w:pStyle w:val="ListParagraph"/>
              <w:numPr>
                <w:ilvl w:val="0"/>
                <w:numId w:val="2"/>
              </w:numPr>
              <w:spacing w:after="40"/>
            </w:pPr>
            <w:r>
              <w:rPr>
                <w:rFonts w:ascii="Arial" w:cs="Arial" w:eastAsia="Arial" w:hAnsi="Arial"/>
                <w:b/>
                <w:bCs/>
                <w:sz w:val="18"/>
                <w:szCs w:val="18"/>
              </w:rPr>
              <w:t xml:space="preserve">Djeca prije svega.</w:t>
            </w:r>
            <w:r>
              <w:rPr>
                <w:rFonts w:ascii="Arial" w:cs="Arial" w:eastAsia="Arial" w:hAnsi="Arial"/>
                <w:sz w:val="18"/>
                <w:szCs w:val="18"/>
              </w:rPr>
              <w:t xml:space="preserve"> Za sve što se tiče djece važi Politika zaštite djece, bez izuzetka.</w:t>
            </w:r>
          </w:p>
          <w:p>
            <w:pPr>
              <w:pStyle w:val="ListParagraph"/>
              <w:numPr>
                <w:ilvl w:val="0"/>
                <w:numId w:val="2"/>
              </w:numPr>
              <w:spacing w:after="40"/>
            </w:pPr>
            <w:r>
              <w:rPr>
                <w:rFonts w:ascii="Arial" w:cs="Arial" w:eastAsia="Arial" w:hAnsi="Arial"/>
                <w:b/>
                <w:bCs/>
                <w:sz w:val="18"/>
                <w:szCs w:val="18"/>
              </w:rPr>
              <w:t xml:space="preserve">Ovo je naš grad i naše more.</w:t>
            </w:r>
            <w:r>
              <w:rPr>
                <w:rFonts w:ascii="Arial" w:cs="Arial" w:eastAsia="Arial" w:hAnsi="Arial"/>
                <w:sz w:val="18"/>
                <w:szCs w:val="18"/>
              </w:rPr>
              <w:t xml:space="preserve"> Ponašamo se kao gosti u sopstvenoj zajednici: prema komšijama, prema ugostiteljima, prema obali.</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b/>
                <w:bCs/>
                <w:sz w:val="18"/>
                <w:szCs w:val="18"/>
              </w:rPr>
              <w:t xml:space="preserve">Everyone is welcome.</w:t>
            </w:r>
            <w:r>
              <w:rPr>
                <w:rFonts w:ascii="Arial" w:cs="Arial" w:eastAsia="Arial" w:hAnsi="Arial"/>
                <w:sz w:val="18"/>
                <w:szCs w:val="18"/>
              </w:rPr>
              <w:t xml:space="preserve"> Regardless of sex, age, origin, language, religion, disability, appearance, sexual orientation, means or fitness. Our events are for recreational runners, competitors and those who have come to cheer.</w:t>
            </w:r>
          </w:p>
          <w:p>
            <w:pPr>
              <w:pStyle w:val="ListParagraph"/>
              <w:numPr>
                <w:ilvl w:val="0"/>
                <w:numId w:val="3"/>
              </w:numPr>
              <w:spacing w:after="40"/>
            </w:pPr>
            <w:r>
              <w:rPr>
                <w:rFonts w:ascii="Arial" w:cs="Arial" w:eastAsia="Arial" w:hAnsi="Arial"/>
                <w:b/>
                <w:bCs/>
                <w:sz w:val="18"/>
                <w:szCs w:val="18"/>
              </w:rPr>
              <w:t xml:space="preserve">Nobody gets mocked.</w:t>
            </w:r>
            <w:r>
              <w:rPr>
                <w:rFonts w:ascii="Arial" w:cs="Arial" w:eastAsia="Arial" w:hAnsi="Arial"/>
                <w:sz w:val="18"/>
                <w:szCs w:val="18"/>
              </w:rPr>
              <w:t xml:space="preserve"> Not for being slow, for being in the water for the first time, for wearing a Santa suit or for dropping out.</w:t>
            </w:r>
          </w:p>
          <w:p>
            <w:pPr>
              <w:pStyle w:val="ListParagraph"/>
              <w:numPr>
                <w:ilvl w:val="0"/>
                <w:numId w:val="3"/>
              </w:numPr>
              <w:spacing w:after="40"/>
            </w:pPr>
            <w:r>
              <w:rPr>
                <w:rFonts w:ascii="Arial" w:cs="Arial" w:eastAsia="Arial" w:hAnsi="Arial"/>
                <w:b/>
                <w:bCs/>
                <w:sz w:val="18"/>
                <w:szCs w:val="18"/>
              </w:rPr>
              <w:t xml:space="preserve">Safety before the programme.</w:t>
            </w:r>
            <w:r>
              <w:rPr>
                <w:rFonts w:ascii="Arial" w:cs="Arial" w:eastAsia="Arial" w:hAnsi="Arial"/>
                <w:sz w:val="18"/>
                <w:szCs w:val="18"/>
              </w:rPr>
              <w:t xml:space="preserve"> When in doubt, we decide in favour of safety, even if that means stopping.</w:t>
            </w:r>
          </w:p>
          <w:p>
            <w:pPr>
              <w:pStyle w:val="ListParagraph"/>
              <w:numPr>
                <w:ilvl w:val="0"/>
                <w:numId w:val="3"/>
              </w:numPr>
              <w:spacing w:after="40"/>
            </w:pPr>
            <w:r>
              <w:rPr>
                <w:rFonts w:ascii="Arial" w:cs="Arial" w:eastAsia="Arial" w:hAnsi="Arial"/>
                <w:b/>
                <w:bCs/>
                <w:sz w:val="18"/>
                <w:szCs w:val="18"/>
              </w:rPr>
              <w:t xml:space="preserve">Money is public.</w:t>
            </w:r>
            <w:r>
              <w:rPr>
                <w:rFonts w:ascii="Arial" w:cs="Arial" w:eastAsia="Arial" w:hAnsi="Arial"/>
                <w:sz w:val="18"/>
                <w:szCs w:val="18"/>
              </w:rPr>
              <w:t xml:space="preserve"> Every euro that passes through us is visible in the public ledger; none of us handles money outside the rules.</w:t>
            </w:r>
          </w:p>
          <w:p>
            <w:pPr>
              <w:pStyle w:val="ListParagraph"/>
              <w:numPr>
                <w:ilvl w:val="0"/>
                <w:numId w:val="3"/>
              </w:numPr>
              <w:spacing w:after="40"/>
            </w:pPr>
            <w:r>
              <w:rPr>
                <w:rFonts w:ascii="Arial" w:cs="Arial" w:eastAsia="Arial" w:hAnsi="Arial"/>
                <w:b/>
                <w:bCs/>
                <w:sz w:val="18"/>
                <w:szCs w:val="18"/>
              </w:rPr>
              <w:t xml:space="preserve">Children first.</w:t>
            </w:r>
            <w:r>
              <w:rPr>
                <w:rFonts w:ascii="Arial" w:cs="Arial" w:eastAsia="Arial" w:hAnsi="Arial"/>
                <w:sz w:val="18"/>
                <w:szCs w:val="18"/>
              </w:rPr>
              <w:t xml:space="preserve"> For everything that concerns children the Child Safeguarding Policy applies, without exception.</w:t>
            </w:r>
          </w:p>
          <w:p>
            <w:pPr>
              <w:pStyle w:val="ListParagraph"/>
              <w:numPr>
                <w:ilvl w:val="0"/>
                <w:numId w:val="3"/>
              </w:numPr>
              <w:spacing w:after="40"/>
            </w:pPr>
            <w:r>
              <w:rPr>
                <w:rFonts w:ascii="Arial" w:cs="Arial" w:eastAsia="Arial" w:hAnsi="Arial"/>
                <w:b/>
                <w:bCs/>
                <w:sz w:val="18"/>
                <w:szCs w:val="18"/>
              </w:rPr>
              <w:t xml:space="preserve">This is our town and our sea.</w:t>
            </w:r>
            <w:r>
              <w:rPr>
                <w:rFonts w:ascii="Arial" w:cs="Arial" w:eastAsia="Arial" w:hAnsi="Arial"/>
                <w:sz w:val="18"/>
                <w:szCs w:val="18"/>
              </w:rPr>
              <w:t xml:space="preserve"> We behave as guests in our own community: towards neighbours, towards venues, towards the shore.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Poštovanje i uznemiravanje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Respect and harassment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Ponašaj se prema ljudima sa poštovanjem, uživo i onlajn. Uznemiravanje ne tolerišemo. Pod uznemiravanjem podrazumijevamo, između ostalog:</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Treat people with respect, in person and online. We do not tolerate harassment. By harassment we mean, among other things:</w:t>
            </w:r>
          </w:p>
        </w:tc>
      </w:tr>
      <w:tr>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uvrede, ponižavanje, prijetnje i zastrašivanje;</w:t>
            </w:r>
          </w:p>
          <w:p>
            <w:pPr>
              <w:pStyle w:val="ListParagraph"/>
              <w:numPr>
                <w:ilvl w:val="0"/>
                <w:numId w:val="4"/>
              </w:numPr>
              <w:spacing w:after="40"/>
            </w:pPr>
            <w:r>
              <w:rPr>
                <w:rFonts w:ascii="Arial" w:cs="Arial" w:eastAsia="Arial" w:hAnsi="Arial"/>
                <w:sz w:val="18"/>
                <w:szCs w:val="18"/>
              </w:rPr>
              <w:t xml:space="preserve">neželjene komentare o tijelu, izgledu ili sposobnostima, neželjene dodire i nasrtljivost;</w:t>
            </w:r>
          </w:p>
          <w:p>
            <w:pPr>
              <w:pStyle w:val="ListParagraph"/>
              <w:numPr>
                <w:ilvl w:val="0"/>
                <w:numId w:val="4"/>
              </w:numPr>
              <w:spacing w:after="40"/>
            </w:pPr>
            <w:r>
              <w:rPr>
                <w:rFonts w:ascii="Arial" w:cs="Arial" w:eastAsia="Arial" w:hAnsi="Arial"/>
                <w:sz w:val="18"/>
                <w:szCs w:val="18"/>
              </w:rPr>
              <w:t xml:space="preserve">diskriminatorne ispade, „šale“ i simbole po bilo kom osnovu iz člana 2;</w:t>
            </w:r>
          </w:p>
          <w:p>
            <w:pPr>
              <w:pStyle w:val="ListParagraph"/>
              <w:numPr>
                <w:ilvl w:val="0"/>
                <w:numId w:val="4"/>
              </w:numPr>
              <w:spacing w:after="40"/>
            </w:pPr>
            <w:r>
              <w:rPr>
                <w:rFonts w:ascii="Arial" w:cs="Arial" w:eastAsia="Arial" w:hAnsi="Arial"/>
                <w:sz w:val="18"/>
                <w:szCs w:val="18"/>
              </w:rPr>
              <w:t xml:space="preserve">fotografisanje ili snimanje nekoga ko je to odbio, i objavljivanje tuđih fotografija ili podataka bez saglasnosti;</w:t>
            </w:r>
          </w:p>
          <w:p>
            <w:pPr>
              <w:pStyle w:val="ListParagraph"/>
              <w:numPr>
                <w:ilvl w:val="0"/>
                <w:numId w:val="4"/>
              </w:numPr>
              <w:spacing w:after="40"/>
            </w:pPr>
            <w:r>
              <w:rPr>
                <w:rFonts w:ascii="Arial" w:cs="Arial" w:eastAsia="Arial" w:hAnsi="Arial"/>
                <w:sz w:val="18"/>
                <w:szCs w:val="18"/>
              </w:rPr>
              <w:t xml:space="preserve">uporno prekidanje, praćenje, pisanje ili pritiskanje nakon jasnog „ne“;</w:t>
            </w:r>
          </w:p>
          <w:p>
            <w:pPr>
              <w:pStyle w:val="ListParagraph"/>
              <w:numPr>
                <w:ilvl w:val="0"/>
                <w:numId w:val="4"/>
              </w:numPr>
              <w:spacing w:after="40"/>
            </w:pPr>
            <w:r>
              <w:rPr>
                <w:rFonts w:ascii="Arial" w:cs="Arial" w:eastAsia="Arial" w:hAnsi="Arial"/>
                <w:sz w:val="18"/>
                <w:szCs w:val="18"/>
              </w:rPr>
              <w:t xml:space="preserve">seksualno uznemiravanje u bilo kom obliku;</w:t>
            </w:r>
          </w:p>
          <w:p>
            <w:pPr>
              <w:pStyle w:val="ListParagraph"/>
              <w:numPr>
                <w:ilvl w:val="0"/>
                <w:numId w:val="4"/>
              </w:numPr>
              <w:spacing w:after="40"/>
            </w:pPr>
            <w:r>
              <w:rPr>
                <w:rFonts w:ascii="Arial" w:cs="Arial" w:eastAsia="Arial" w:hAnsi="Arial"/>
                <w:sz w:val="18"/>
                <w:szCs w:val="18"/>
              </w:rPr>
              <w:t xml:space="preserve">odmazdu prema nekome ko je prijavio problem ili odbio da učestvuje u nečemu.</w:t>
            </w:r>
          </w:p>
        </w:tc>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insults, humiliation, threats and intimidation;</w:t>
            </w:r>
          </w:p>
          <w:p>
            <w:pPr>
              <w:pStyle w:val="ListParagraph"/>
              <w:numPr>
                <w:ilvl w:val="0"/>
                <w:numId w:val="5"/>
              </w:numPr>
              <w:spacing w:after="40"/>
            </w:pPr>
            <w:r>
              <w:rPr>
                <w:rFonts w:ascii="Arial" w:cs="Arial" w:eastAsia="Arial" w:hAnsi="Arial"/>
                <w:sz w:val="18"/>
                <w:szCs w:val="18"/>
              </w:rPr>
              <w:t xml:space="preserve">unwanted comments about someone's body, appearance or ability, unwanted touching and pushiness;</w:t>
            </w:r>
          </w:p>
          <w:p>
            <w:pPr>
              <w:pStyle w:val="ListParagraph"/>
              <w:numPr>
                <w:ilvl w:val="0"/>
                <w:numId w:val="5"/>
              </w:numPr>
              <w:spacing w:after="40"/>
            </w:pPr>
            <w:r>
              <w:rPr>
                <w:rFonts w:ascii="Arial" w:cs="Arial" w:eastAsia="Arial" w:hAnsi="Arial"/>
                <w:sz w:val="18"/>
                <w:szCs w:val="18"/>
              </w:rPr>
              <w:t xml:space="preserve">discriminatory outbursts, "jokes" and symbols on any of the grounds in Article 2;</w:t>
            </w:r>
          </w:p>
          <w:p>
            <w:pPr>
              <w:pStyle w:val="ListParagraph"/>
              <w:numPr>
                <w:ilvl w:val="0"/>
                <w:numId w:val="5"/>
              </w:numPr>
              <w:spacing w:after="40"/>
            </w:pPr>
            <w:r>
              <w:rPr>
                <w:rFonts w:ascii="Arial" w:cs="Arial" w:eastAsia="Arial" w:hAnsi="Arial"/>
                <w:sz w:val="18"/>
                <w:szCs w:val="18"/>
              </w:rPr>
              <w:t xml:space="preserve">photographing or filming someone who has refused, and publishing other people's photographs or data without consent;</w:t>
            </w:r>
          </w:p>
          <w:p>
            <w:pPr>
              <w:pStyle w:val="ListParagraph"/>
              <w:numPr>
                <w:ilvl w:val="0"/>
                <w:numId w:val="5"/>
              </w:numPr>
              <w:spacing w:after="40"/>
            </w:pPr>
            <w:r>
              <w:rPr>
                <w:rFonts w:ascii="Arial" w:cs="Arial" w:eastAsia="Arial" w:hAnsi="Arial"/>
                <w:sz w:val="18"/>
                <w:szCs w:val="18"/>
              </w:rPr>
              <w:t xml:space="preserve">persistent interrupting, following, messaging or pressuring after a clear "no";</w:t>
            </w:r>
          </w:p>
          <w:p>
            <w:pPr>
              <w:pStyle w:val="ListParagraph"/>
              <w:numPr>
                <w:ilvl w:val="0"/>
                <w:numId w:val="5"/>
              </w:numPr>
              <w:spacing w:after="40"/>
            </w:pPr>
            <w:r>
              <w:rPr>
                <w:rFonts w:ascii="Arial" w:cs="Arial" w:eastAsia="Arial" w:hAnsi="Arial"/>
                <w:sz w:val="18"/>
                <w:szCs w:val="18"/>
              </w:rPr>
              <w:t xml:space="preserve">sexual harassment in any form;</w:t>
            </w:r>
          </w:p>
          <w:p>
            <w:pPr>
              <w:pStyle w:val="ListParagraph"/>
              <w:numPr>
                <w:ilvl w:val="0"/>
                <w:numId w:val="5"/>
              </w:numPr>
              <w:spacing w:after="40"/>
            </w:pPr>
            <w:r>
              <w:rPr>
                <w:rFonts w:ascii="Arial" w:cs="Arial" w:eastAsia="Arial" w:hAnsi="Arial"/>
                <w:sz w:val="18"/>
                <w:szCs w:val="18"/>
              </w:rPr>
              <w:t xml:space="preserve">retaliation against someone who reported a problem or declined to take part in something.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Nasilje, prijetnja nasiljem i seksualno uznemiravanje su najteže povrede i po pravilu znače trenutno udaljenje i zabranu.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Violence, threats of violence and sexual harassment are the gravest breaches and as a rule mean immediate removal and a ban.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Onlajn prostor</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Online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Stranice za prikupljanje, poruke uz donacije, komentari, timski razgovori i naši nalozi na društvenim mrežama dio su istog prostora. Pišite istinito i pristojno; ne objavljujte tuđe lične podatke; ne reklamirajte; ne koristite naše naloge i grupe za političke, vjerske ni komercijalne poruke. Poruke koje vrijeđaju, obmanjuju ili uznemiravaju uklanjamo, a naloge koji to ponavljaju suspendujemo, kako je opisano u Uslovima korišćenja.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Fundraiser pages, donation messages, comments, team chats and our social media accounts are part of the same space. Write truthfully and civilly; do not publish other people's personal data; do not advertise; do not use our accounts and groups for political, religious or commercial messages. We remove messages that insult, mislead or harass, and we suspend accounts that repeat this, as described in the Terms of Use.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Kada objavljujete o našim događajima na svojim nalozima, jasno je da govorite u svoje ime, osim ako vas udruženje nije ovlastilo. Ne dogovarajte ni ne vodite privatne razgovore sa djecom u vezi sa našim aktivnostima; komunikacija ide preko roditelja.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When you post about our events on your own accounts, it is clear that you speak for yourself, unless the association has authorised you. Do not arrange or hold private conversations with children in connection with our activities; communication goes through parents.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Fer igra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Fair play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trkama, plivanjima i regatama: startuj u svojoj grupi, drži se obilježene trase, ne skraćuj, ne koristi tuđi startni broj i ne daj svoj drugome, ne primaj nedozvoljenu pomoć (vozilo, bicikl, plovilo, vuča) i ne ometaj druge. Rezultat postignut varanjem se briše, a ponovljeno varanje isključuje iz budućih događaja. Kod izazova na platformi: prijavljuj samo aktivnosti koje si zaista uradio i samo sa svog naloga.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At races, swims and regattas: start in your own wave, keep to the marked course, do not cut it short, do not use someone else's race number and do not give yours to anyone else, do not accept unauthorised assistance (vehicle, bicycle, boat, towing) and do not obstruct others. A result achieved by cheating is struck, and repeated cheating means exclusion from future events. On platform challenges: log only activities you have really done, and only from your own account.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Pobjednici i brzi učesnici čekaju i pozdravljaju posljednje. To je naš običaj.</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Winners and fast finishers wait for and cheer the last ones in. That is our custom.</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Alkohol i supstance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Alcohol and substances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Neki naši događaji, poput novogodišnjeg obilaska lokala, uključuju alkohol. Pravila su jasna: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Some of our events, such as the New Year pub crawl, involve alcohol. The rules are clear:</w:t>
            </w:r>
          </w:p>
        </w:tc>
      </w:tr>
      <w:tr>
        <w:tc>
          <w:tcPr>
            <w:tcW w:type="dxa" w:w="4953"/>
            <w:tcMar>
              <w:top w:type="dxa" w:w="80"/>
              <w:left w:type="dxa" w:w="100"/>
              <w:bottom w:type="dxa" w:w="80"/>
              <w:right w:type="dxa" w:w="100"/>
            </w:tcMar>
          </w:tcPr>
          <w:p>
            <w:pPr>
              <w:pStyle w:val="ListParagraph"/>
              <w:numPr>
                <w:ilvl w:val="0"/>
                <w:numId w:val="6"/>
              </w:numPr>
              <w:spacing w:after="40"/>
            </w:pPr>
            <w:r>
              <w:rPr>
                <w:rFonts w:ascii="Arial" w:cs="Arial" w:eastAsia="Arial" w:hAnsi="Arial"/>
                <w:sz w:val="18"/>
                <w:szCs w:val="18"/>
              </w:rPr>
              <w:t xml:space="preserve">alkohol samo za punoljetne; organizatori i ugostitelji provjeravaju uzrast;</w:t>
            </w:r>
          </w:p>
          <w:p>
            <w:pPr>
              <w:pStyle w:val="ListParagraph"/>
              <w:numPr>
                <w:ilvl w:val="0"/>
                <w:numId w:val="6"/>
              </w:numPr>
              <w:spacing w:after="40"/>
            </w:pPr>
            <w:r>
              <w:rPr>
                <w:rFonts w:ascii="Arial" w:cs="Arial" w:eastAsia="Arial" w:hAnsi="Arial"/>
                <w:sz w:val="18"/>
                <w:szCs w:val="18"/>
              </w:rPr>
              <w:t xml:space="preserve">niko se ne nagovara na piće; bezalkoholna opcija uvijek postoji i ravnopravna je;</w:t>
            </w:r>
          </w:p>
          <w:p>
            <w:pPr>
              <w:pStyle w:val="ListParagraph"/>
              <w:numPr>
                <w:ilvl w:val="0"/>
                <w:numId w:val="6"/>
              </w:numPr>
              <w:spacing w:after="40"/>
            </w:pPr>
            <w:r>
              <w:rPr>
                <w:rFonts w:ascii="Arial" w:cs="Arial" w:eastAsia="Arial" w:hAnsi="Arial"/>
                <w:sz w:val="18"/>
                <w:szCs w:val="18"/>
              </w:rPr>
              <w:t xml:space="preserve">vidno alkoholisanoj osobi nećemo točiti dalje i možemo je zamoliti da napusti događaj;</w:t>
            </w:r>
          </w:p>
          <w:p>
            <w:pPr>
              <w:pStyle w:val="ListParagraph"/>
              <w:numPr>
                <w:ilvl w:val="0"/>
                <w:numId w:val="6"/>
              </w:numPr>
              <w:spacing w:after="40"/>
            </w:pPr>
            <w:r>
              <w:rPr>
                <w:rFonts w:ascii="Arial" w:cs="Arial" w:eastAsia="Arial" w:hAnsi="Arial"/>
                <w:sz w:val="18"/>
                <w:szCs w:val="18"/>
              </w:rPr>
              <w:t xml:space="preserve">ne sjedaj za volan poslije pića; pomoći ćemo ti da nađeš prevoz;</w:t>
            </w:r>
          </w:p>
          <w:p>
            <w:pPr>
              <w:pStyle w:val="ListParagraph"/>
              <w:numPr>
                <w:ilvl w:val="0"/>
                <w:numId w:val="6"/>
              </w:numPr>
              <w:spacing w:after="40"/>
            </w:pPr>
            <w:r>
              <w:rPr>
                <w:rFonts w:ascii="Arial" w:cs="Arial" w:eastAsia="Arial" w:hAnsi="Arial"/>
                <w:sz w:val="18"/>
                <w:szCs w:val="18"/>
              </w:rPr>
              <w:t xml:space="preserve">na sportskim događajima (trke, kupanja, regate) alkohol i druge supstance prije i tokom učešća nisu dozvoljeni; učesnik pod dejstvom se ne pušta na start;</w:t>
            </w:r>
          </w:p>
          <w:p>
            <w:pPr>
              <w:pStyle w:val="ListParagraph"/>
              <w:numPr>
                <w:ilvl w:val="0"/>
                <w:numId w:val="6"/>
              </w:numPr>
              <w:spacing w:after="40"/>
            </w:pPr>
            <w:r>
              <w:rPr>
                <w:rFonts w:ascii="Arial" w:cs="Arial" w:eastAsia="Arial" w:hAnsi="Arial"/>
                <w:sz w:val="18"/>
                <w:szCs w:val="18"/>
              </w:rPr>
              <w:t xml:space="preserve">volonteri i tim ne piju alkohol dok imaju zadatak, a posebno dok rade sa djecom, na vodi ili sa novcem.</w:t>
            </w:r>
          </w:p>
        </w:tc>
        <w:tc>
          <w:tcPr>
            <w:tcW w:type="dxa" w:w="4953"/>
            <w:tcMar>
              <w:top w:type="dxa" w:w="80"/>
              <w:left w:type="dxa" w:w="100"/>
              <w:bottom w:type="dxa" w:w="80"/>
              <w:right w:type="dxa" w:w="100"/>
            </w:tcMar>
          </w:tcPr>
          <w:p>
            <w:pPr>
              <w:pStyle w:val="ListParagraph"/>
              <w:numPr>
                <w:ilvl w:val="0"/>
                <w:numId w:val="7"/>
              </w:numPr>
              <w:spacing w:after="40"/>
            </w:pPr>
            <w:r>
              <w:rPr>
                <w:rFonts w:ascii="Arial" w:cs="Arial" w:eastAsia="Arial" w:hAnsi="Arial"/>
                <w:sz w:val="18"/>
                <w:szCs w:val="18"/>
              </w:rPr>
              <w:t xml:space="preserve">alcohol only for adults; organisers and venues check age;</w:t>
            </w:r>
          </w:p>
          <w:p>
            <w:pPr>
              <w:pStyle w:val="ListParagraph"/>
              <w:numPr>
                <w:ilvl w:val="0"/>
                <w:numId w:val="7"/>
              </w:numPr>
              <w:spacing w:after="40"/>
            </w:pPr>
            <w:r>
              <w:rPr>
                <w:rFonts w:ascii="Arial" w:cs="Arial" w:eastAsia="Arial" w:hAnsi="Arial"/>
                <w:sz w:val="18"/>
                <w:szCs w:val="18"/>
              </w:rPr>
              <w:t xml:space="preserve">nobody is talked into drinking; a non-alcoholic option always exists and is treated as equal;</w:t>
            </w:r>
          </w:p>
          <w:p>
            <w:pPr>
              <w:pStyle w:val="ListParagraph"/>
              <w:numPr>
                <w:ilvl w:val="0"/>
                <w:numId w:val="7"/>
              </w:numPr>
              <w:spacing w:after="40"/>
            </w:pPr>
            <w:r>
              <w:rPr>
                <w:rFonts w:ascii="Arial" w:cs="Arial" w:eastAsia="Arial" w:hAnsi="Arial"/>
                <w:sz w:val="18"/>
                <w:szCs w:val="18"/>
              </w:rPr>
              <w:t xml:space="preserve">we will not serve any more to a visibly intoxicated person and we may ask them to leave the event;</w:t>
            </w:r>
          </w:p>
          <w:p>
            <w:pPr>
              <w:pStyle w:val="ListParagraph"/>
              <w:numPr>
                <w:ilvl w:val="0"/>
                <w:numId w:val="7"/>
              </w:numPr>
              <w:spacing w:after="40"/>
            </w:pPr>
            <w:r>
              <w:rPr>
                <w:rFonts w:ascii="Arial" w:cs="Arial" w:eastAsia="Arial" w:hAnsi="Arial"/>
                <w:sz w:val="18"/>
                <w:szCs w:val="18"/>
              </w:rPr>
              <w:t xml:space="preserve">do not get behind the wheel after drinking; we will help you find a ride;</w:t>
            </w:r>
          </w:p>
          <w:p>
            <w:pPr>
              <w:pStyle w:val="ListParagraph"/>
              <w:numPr>
                <w:ilvl w:val="0"/>
                <w:numId w:val="7"/>
              </w:numPr>
              <w:spacing w:after="40"/>
            </w:pPr>
            <w:r>
              <w:rPr>
                <w:rFonts w:ascii="Arial" w:cs="Arial" w:eastAsia="Arial" w:hAnsi="Arial"/>
                <w:sz w:val="18"/>
                <w:szCs w:val="18"/>
              </w:rPr>
              <w:t xml:space="preserve">at sporting events (races, swims, regattas) alcohol and other substances before and during participation are not allowed; a participant under the influence is not allowed to start;</w:t>
            </w:r>
          </w:p>
          <w:p>
            <w:pPr>
              <w:pStyle w:val="ListParagraph"/>
              <w:numPr>
                <w:ilvl w:val="0"/>
                <w:numId w:val="7"/>
              </w:numPr>
              <w:spacing w:after="40"/>
            </w:pPr>
            <w:r>
              <w:rPr>
                <w:rFonts w:ascii="Arial" w:cs="Arial" w:eastAsia="Arial" w:hAnsi="Arial"/>
                <w:sz w:val="18"/>
                <w:szCs w:val="18"/>
              </w:rPr>
              <w:t xml:space="preserve">volunteers and staff do not drink alcohol while they have a task, and especially not while working with children, on the water or with money.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Droge na našim događajima nisu dozvoljene ni u kom obliku.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Drugs are not allowed at our events in any form.</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Djeca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Children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sve što se tiče djece važi naša Politika zaštite djece: djeca su uvijek sa najmanje dvije odrasle osobe i u vidokrugu drugih; nema kontakta nasamo ni privatnih poruka; fotografisanje samo uz saglasnost roditelja; roditelj se zove za svaku ličnu potrebu djeteta; sumnja se prijavljuje odgovornoj osobi za zaštitu djece na događaju. Ova pravila važe i za roditelje i navijače prema tuđoj djeci.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everything that concerns children our Child Safeguarding Policy applies: children are always with at least two adults and in view of others; there is no one-to-one contact and no private messaging; photographs only with a parent's consent; a parent is called for any personal need of the child; a concern is reported to the safeguarding lead at the event. These rules also apply to parents and supporters towards other people's children.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Bezbjednost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Safety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Prati uputstva organizatora, redara, spasilaca i medicinske službe, odmah i bez rasprave. Ne izlazi sa obilježene trase i ne ulazi u vodu van predviđenih zona i termina. Ne ulazi u vodu ako se ne osjećaš dobro. Ako vidiš nekoga u nevolji, javi najbližem članu tima; ako je u neposrednoj opasnosti, pozovi hitne službe pa nas. Ne donosi staklo, otvoreni plamen ni pirotehniku. Kostim mora biti bezbjedan za aktivnost.</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Follow the instructions of organisers, marshals, lifeguards and medical staff, at once and without argument. Do not leave the marked course and do not enter the water outside the designated zones and times. Do not enter the water if you do not feel well. If you see someone in trouble, tell the nearest team member; if they are in immediate danger, call the emergency services, then us. Do not bring glass, open flame or pyrotechnics. A costume must be safe for the activity.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Naš grad, naši komšije, naše more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Our town, our neighbours, our sea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 ostavljamo ništa za sobom: otpad ide u predviđene kese i kante, plastika se ne baca ni na kopnu ni u vodu, a staza i plaža nakon događaja izgledaju bolje nego prije. Poštujemo stanovnike, saobraćaj i lokale kroz koje prolazimo: bez buke van programa, bez blokiranja ulaza, bez oštećenja. Prema životinjama i obali ponašamo se pažljivo. Ko dođe da navija, dobrodošao je uz ista pravila.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leave nothing behind: waste goes in the bags and bins provided, plastic is not thrown away on land or in the water, and the course and the beach look better after the event than before. We respect the residents, the traffic and the venues we pass through: no noise outside the programme, no blocking of entrances, no damage. We treat animals and the shore with care. Anyone who comes to cheer is welcome under the same rules.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Dodatna pravila za volontere, tim i organe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Additional rules for volunteers, staff and officers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 nosi našu oznaku predstavlja udruženje. Volonteri, zaposleni, lica ogranaka, članovi organa i osnivači dodatno: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Whoever wears our badge represents the association. Volunteers, employees, chapter persons, officers and founders additionally:</w:t>
            </w:r>
          </w:p>
        </w:tc>
      </w:tr>
      <w:tr>
        <w:tc>
          <w:tcPr>
            <w:tcW w:type="dxa" w:w="4953"/>
            <w:tcMar>
              <w:top w:type="dxa" w:w="80"/>
              <w:left w:type="dxa" w:w="100"/>
              <w:bottom w:type="dxa" w:w="80"/>
              <w:right w:type="dxa" w:w="100"/>
            </w:tcMar>
          </w:tcPr>
          <w:p>
            <w:pPr>
              <w:pStyle w:val="ListParagraph"/>
              <w:numPr>
                <w:ilvl w:val="0"/>
                <w:numId w:val="8"/>
              </w:numPr>
              <w:spacing w:after="40"/>
            </w:pPr>
            <w:r>
              <w:rPr>
                <w:rFonts w:ascii="Arial" w:cs="Arial" w:eastAsia="Arial" w:hAnsi="Arial"/>
                <w:sz w:val="18"/>
                <w:szCs w:val="18"/>
              </w:rPr>
              <w:t xml:space="preserve">prolaze upoznavanje prije zadatka i rade samo zadatke za koje su upoznati;</w:t>
            </w:r>
          </w:p>
          <w:p>
            <w:pPr>
              <w:pStyle w:val="ListParagraph"/>
              <w:numPr>
                <w:ilvl w:val="0"/>
                <w:numId w:val="8"/>
              </w:numPr>
              <w:spacing w:after="40"/>
            </w:pPr>
            <w:r>
              <w:rPr>
                <w:rFonts w:ascii="Arial" w:cs="Arial" w:eastAsia="Arial" w:hAnsi="Arial"/>
                <w:sz w:val="18"/>
                <w:szCs w:val="18"/>
              </w:rPr>
              <w:t xml:space="preserve">nose vidljivu oznaku dok su na zadatku i skidaju je kada završe;</w:t>
            </w:r>
          </w:p>
          <w:p>
            <w:pPr>
              <w:pStyle w:val="ListParagraph"/>
              <w:numPr>
                <w:ilvl w:val="0"/>
                <w:numId w:val="8"/>
              </w:numPr>
              <w:spacing w:after="40"/>
            </w:pPr>
            <w:r>
              <w:rPr>
                <w:rFonts w:ascii="Arial" w:cs="Arial" w:eastAsia="Arial" w:hAnsi="Arial"/>
                <w:sz w:val="18"/>
                <w:szCs w:val="18"/>
              </w:rPr>
              <w:t xml:space="preserve">ne primaju novac, poklone ni pogodnosti od učesnika, korisnika, sponzora ni dobavljača mimo Pravila o sukobu interesa;</w:t>
            </w:r>
          </w:p>
          <w:p>
            <w:pPr>
              <w:pStyle w:val="ListParagraph"/>
              <w:numPr>
                <w:ilvl w:val="0"/>
                <w:numId w:val="8"/>
              </w:numPr>
              <w:spacing w:after="40"/>
            </w:pPr>
            <w:r>
              <w:rPr>
                <w:rFonts w:ascii="Arial" w:cs="Arial" w:eastAsia="Arial" w:hAnsi="Arial"/>
                <w:sz w:val="18"/>
                <w:szCs w:val="18"/>
              </w:rPr>
              <w:t xml:space="preserve">rukuju novcem samo po pravilima o gotovini, uvijek u dvoje, sa potvrdom i evidencijom;</w:t>
            </w:r>
          </w:p>
          <w:p>
            <w:pPr>
              <w:pStyle w:val="ListParagraph"/>
              <w:numPr>
                <w:ilvl w:val="0"/>
                <w:numId w:val="8"/>
              </w:numPr>
              <w:spacing w:after="40"/>
            </w:pPr>
            <w:r>
              <w:rPr>
                <w:rFonts w:ascii="Arial" w:cs="Arial" w:eastAsia="Arial" w:hAnsi="Arial"/>
                <w:sz w:val="18"/>
                <w:szCs w:val="18"/>
              </w:rPr>
              <w:t xml:space="preserve">ne otkrivaju podatke o donatorima, korisnicima pomoći, učesnicima i djeci koje saznaju na zadatku, ni tokom ni nakon angažmana;</w:t>
            </w:r>
          </w:p>
          <w:p>
            <w:pPr>
              <w:pStyle w:val="ListParagraph"/>
              <w:numPr>
                <w:ilvl w:val="0"/>
                <w:numId w:val="8"/>
              </w:numPr>
              <w:spacing w:after="40"/>
            </w:pPr>
            <w:r>
              <w:rPr>
                <w:rFonts w:ascii="Arial" w:cs="Arial" w:eastAsia="Arial" w:hAnsi="Arial"/>
                <w:sz w:val="18"/>
                <w:szCs w:val="18"/>
              </w:rPr>
              <w:t xml:space="preserve">ne daju izjave za medije o politici, finansijama, korisnicima ni incidentima; to radi Izvršni direktor ili lice koje on ovlasti;</w:t>
            </w:r>
          </w:p>
          <w:p>
            <w:pPr>
              <w:pStyle w:val="ListParagraph"/>
              <w:numPr>
                <w:ilvl w:val="0"/>
                <w:numId w:val="8"/>
              </w:numPr>
              <w:spacing w:after="40"/>
            </w:pPr>
            <w:r>
              <w:rPr>
                <w:rFonts w:ascii="Arial" w:cs="Arial" w:eastAsia="Arial" w:hAnsi="Arial"/>
                <w:sz w:val="18"/>
                <w:szCs w:val="18"/>
              </w:rPr>
              <w:t xml:space="preserve">ne koriste naziv, znak, naloge ni kontakte udruženja za lične svrhe;</w:t>
            </w:r>
          </w:p>
          <w:p>
            <w:pPr>
              <w:pStyle w:val="ListParagraph"/>
              <w:numPr>
                <w:ilvl w:val="0"/>
                <w:numId w:val="8"/>
              </w:numPr>
              <w:spacing w:after="40"/>
            </w:pPr>
            <w:r>
              <w:rPr>
                <w:rFonts w:ascii="Arial" w:cs="Arial" w:eastAsia="Arial" w:hAnsi="Arial"/>
                <w:sz w:val="18"/>
                <w:szCs w:val="18"/>
              </w:rPr>
              <w:t xml:space="preserve">prijavljuju svaki sukob interesa, incident i povredu ovog kodeksa, uključujući svoju.</w:t>
            </w:r>
          </w:p>
        </w:tc>
        <w:tc>
          <w:tcPr>
            <w:tcW w:type="dxa" w:w="4953"/>
            <w:tcMar>
              <w:top w:type="dxa" w:w="80"/>
              <w:left w:type="dxa" w:w="100"/>
              <w:bottom w:type="dxa" w:w="80"/>
              <w:right w:type="dxa" w:w="100"/>
            </w:tcMar>
          </w:tcPr>
          <w:p>
            <w:pPr>
              <w:pStyle w:val="ListParagraph"/>
              <w:numPr>
                <w:ilvl w:val="0"/>
                <w:numId w:val="9"/>
              </w:numPr>
              <w:spacing w:after="40"/>
            </w:pPr>
            <w:r>
              <w:rPr>
                <w:rFonts w:ascii="Arial" w:cs="Arial" w:eastAsia="Arial" w:hAnsi="Arial"/>
                <w:sz w:val="18"/>
                <w:szCs w:val="18"/>
              </w:rPr>
              <w:t xml:space="preserve">receive a briefing before a task and do only the tasks they have been briefed for;</w:t>
            </w:r>
          </w:p>
          <w:p>
            <w:pPr>
              <w:pStyle w:val="ListParagraph"/>
              <w:numPr>
                <w:ilvl w:val="0"/>
                <w:numId w:val="9"/>
              </w:numPr>
              <w:spacing w:after="40"/>
            </w:pPr>
            <w:r>
              <w:rPr>
                <w:rFonts w:ascii="Arial" w:cs="Arial" w:eastAsia="Arial" w:hAnsi="Arial"/>
                <w:sz w:val="18"/>
                <w:szCs w:val="18"/>
              </w:rPr>
              <w:t xml:space="preserve">wear visible identification while on a task and take it off when they finish;</w:t>
            </w:r>
          </w:p>
          <w:p>
            <w:pPr>
              <w:pStyle w:val="ListParagraph"/>
              <w:numPr>
                <w:ilvl w:val="0"/>
                <w:numId w:val="9"/>
              </w:numPr>
              <w:spacing w:after="40"/>
            </w:pPr>
            <w:r>
              <w:rPr>
                <w:rFonts w:ascii="Arial" w:cs="Arial" w:eastAsia="Arial" w:hAnsi="Arial"/>
                <w:sz w:val="18"/>
                <w:szCs w:val="18"/>
              </w:rPr>
              <w:t xml:space="preserve">do not accept money, gifts or favours from participants, beneficiaries, sponsors or suppliers outside the Conflict of Interest Policy;</w:t>
            </w:r>
          </w:p>
          <w:p>
            <w:pPr>
              <w:pStyle w:val="ListParagraph"/>
              <w:numPr>
                <w:ilvl w:val="0"/>
                <w:numId w:val="9"/>
              </w:numPr>
              <w:spacing w:after="40"/>
            </w:pPr>
            <w:r>
              <w:rPr>
                <w:rFonts w:ascii="Arial" w:cs="Arial" w:eastAsia="Arial" w:hAnsi="Arial"/>
                <w:sz w:val="18"/>
                <w:szCs w:val="18"/>
              </w:rPr>
              <w:t xml:space="preserve">handle money only under the cash rules, always in pairs, with a receipt and a record;</w:t>
            </w:r>
          </w:p>
          <w:p>
            <w:pPr>
              <w:pStyle w:val="ListParagraph"/>
              <w:numPr>
                <w:ilvl w:val="0"/>
                <w:numId w:val="9"/>
              </w:numPr>
              <w:spacing w:after="40"/>
            </w:pPr>
            <w:r>
              <w:rPr>
                <w:rFonts w:ascii="Arial" w:cs="Arial" w:eastAsia="Arial" w:hAnsi="Arial"/>
                <w:sz w:val="18"/>
                <w:szCs w:val="18"/>
              </w:rPr>
              <w:t xml:space="preserve">do not disclose data about donors, beneficiaries, participants and children that they learn on a task, neither during nor after the engagement;</w:t>
            </w:r>
          </w:p>
          <w:p>
            <w:pPr>
              <w:pStyle w:val="ListParagraph"/>
              <w:numPr>
                <w:ilvl w:val="0"/>
                <w:numId w:val="9"/>
              </w:numPr>
              <w:spacing w:after="40"/>
            </w:pPr>
            <w:r>
              <w:rPr>
                <w:rFonts w:ascii="Arial" w:cs="Arial" w:eastAsia="Arial" w:hAnsi="Arial"/>
                <w:sz w:val="18"/>
                <w:szCs w:val="18"/>
              </w:rPr>
              <w:t xml:space="preserve">do not give media statements on policy, finances, beneficiaries or incidents; that is done by the Executive Director or a person they authorise;</w:t>
            </w:r>
          </w:p>
          <w:p>
            <w:pPr>
              <w:pStyle w:val="ListParagraph"/>
              <w:numPr>
                <w:ilvl w:val="0"/>
                <w:numId w:val="9"/>
              </w:numPr>
              <w:spacing w:after="40"/>
            </w:pPr>
            <w:r>
              <w:rPr>
                <w:rFonts w:ascii="Arial" w:cs="Arial" w:eastAsia="Arial" w:hAnsi="Arial"/>
                <w:sz w:val="18"/>
                <w:szCs w:val="18"/>
              </w:rPr>
              <w:t xml:space="preserve">do not use the association's name, mark, accounts or contacts for personal purposes;</w:t>
            </w:r>
          </w:p>
          <w:p>
            <w:pPr>
              <w:pStyle w:val="ListParagraph"/>
              <w:numPr>
                <w:ilvl w:val="0"/>
                <w:numId w:val="9"/>
              </w:numPr>
              <w:spacing w:after="40"/>
            </w:pPr>
            <w:r>
              <w:rPr>
                <w:rFonts w:ascii="Arial" w:cs="Arial" w:eastAsia="Arial" w:hAnsi="Arial"/>
                <w:sz w:val="18"/>
                <w:szCs w:val="18"/>
              </w:rPr>
              <w:t xml:space="preserve">report every conflict of interest, incident and breach of this code, including their own.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 ima zadatak sa djecom potpisuje izjavu iz Politike zaštite djece.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Anyone with a task involving children signs the declaration from the Child Safeguarding Policy.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Partneri, sponzori i izvođači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Partners, sponsors and contractors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Klubovi, ugostitelji, sponzori, fotografi i drugi izvođači prihvataju ovaj kodeks kao dio saradnje sa nama. Sponzorstvo ne daje pravo na izuzetak ni na uticaj na to ko dobija sredstva. Lice partnera koje krši kodeks udaljavamo sa događaja kao i svakog drugog, a o ponovljenom kršenju obavještavamo partnera i preispitujemo saradnju.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Clubs, venues, sponsors, photographers and other contractors accept this code as part of their cooperation with us. Sponsorship gives no right to an exemption and no say over who receives funds. A partner's person who breaches the code is removed from the event like anyone else, and on a repeated breach we inform the partner and reconsider the cooperation.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Kako prijaviti problem</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How to report a problem</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događaju: obrati se bilo kom označenom članu tima, rukovodiocu događaja ili, ako se tiče djeteta, odgovornoj osobi za zaštitu djece; svi su vidljivo označeni. Pisanim putem: [[PLACEHOLDER: kontakt e-pošta]] ili obrazac na sajtu. Ako se prijava tiče Izvršnog direktora ili člana organa: predsjedniku Upravnog odbora na [[PLACEHOLDER: e-pošta]]. Ako je neko u neposrednoj opasnosti, prvo pozovi hitne službe (112), pa nas.</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At an event: speak to any identified team member, the event manager or, if it concerns a child, the safeguarding lead; all are visibly identified. In writing: [[PLACEHOLDER: contact email]] or the form on the site. If the report concerns the Executive Director or an officer: to the President of the Board at [[PLACEHOLDER: email]]. If someone is in immediate danger, call the emergency services (112) first, then us.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Prijava može biti anonimna. Svaku prijavu tretiramo povjerljivo: identitet prijavioca ne otkrivamo osobi na koju se prijava odnosi. Niko ne trpi posljedice zbog savjesne prijave, i kada se pokaže neosnovanom; odmazda je sama po sebi povreda kodeksa.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report may be anonymous. We treat every report confidentially: we do not reveal the reporter's identity to the person the report concerns. Nobody suffers consequences for a good-faith report, even when it proves unfounded; retaliation is in itself a breach of the code.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Šta se dešava nakon prijave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What happens after a report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Prijavu zabilježimo, odmah zaštitimo osobu koja je ugrožena (razdvajanje, pratnja, medicinska pomoć), saslušamo obje strane i odlučimo u roku iz Dijela B. O ishodu obavještavamo prijavioca u mjeri u kojoj to ne ugrožava povjerljivost drugih. Kada prijava upućuje na krivično djelo, obavještavamo policiju; kada se tiče djeteta, postupamo po Politici zaštite djece.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record the report, protect the person at risk at once (separation, escort, medical help), hear both sides and decide within the deadline in Part B. We inform the reporter of the outcome to the extent that this does not endanger the confidentiality of others. When a report points to a criminal offence, we inform the police; when it concerns a child, we act under the Child Safeguarding Policy.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Posljedice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Consequences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Zavisno od težine, namjere i ponavljanja: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Depending on gravity, intent and repetition:</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2376"/>
              <w:gridCol w:w="2376"/>
            </w:tblGrid>
            <w:tr>
              <w:trPr>
                <w:tblHeader/>
              </w:trPr>
              <w:tc>
                <w:tcPr>
                  <w:tcW w:type="dxa" w:w="2376"/>
                  <w:shd w:fill="E3EBED" w:color="auto" w:val="clear"/>
                  <w:tcMar>
                    <w:top w:type="dxa" w:w="40"/>
                    <w:left w:type="dxa" w:w="60"/>
                    <w:bottom w:type="dxa" w:w="40"/>
                    <w:right w:type="dxa" w:w="60"/>
                  </w:tcMar>
                </w:tcPr>
                <w:p>
                  <w:r>
                    <w:rPr>
                      <w:rFonts w:ascii="Arial" w:cs="Arial" w:eastAsia="Arial" w:hAnsi="Arial"/>
                      <w:b/>
                      <w:bCs/>
                      <w:sz w:val="16"/>
                      <w:szCs w:val="16"/>
                    </w:rPr>
                    <w:t xml:space="preserve">Mjera</w:t>
                  </w:r>
                </w:p>
              </w:tc>
              <w:tc>
                <w:tcPr>
                  <w:tcW w:type="dxa" w:w="2376"/>
                  <w:shd w:fill="E3EBED" w:color="auto" w:val="clear"/>
                  <w:tcMar>
                    <w:top w:type="dxa" w:w="40"/>
                    <w:left w:type="dxa" w:w="60"/>
                    <w:bottom w:type="dxa" w:w="40"/>
                    <w:right w:type="dxa" w:w="60"/>
                  </w:tcMar>
                </w:tcPr>
                <w:p>
                  <w:r>
                    <w:rPr>
                      <w:rFonts w:ascii="Arial" w:cs="Arial" w:eastAsia="Arial" w:hAnsi="Arial"/>
                      <w:b/>
                      <w:bCs/>
                      <w:sz w:val="16"/>
                      <w:szCs w:val="16"/>
                    </w:rPr>
                    <w:t xml:space="preserve">Kada</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Usmeno upozorenje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manja, prva povreda</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Pisano upozorenje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ponovljena manja povreda ili povreda pravila za tim</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Udaljenje sa događaja bez povraćaja kotizacije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ugrožavanje bezbjednosti, nepoštovanje uputstava, alkohol na sportskom događaju, uznemiravanje</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Brisanje rezultata</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varanje</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Uklanjanje sadržaja, suspenzija ili zatvaranje naloga</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povrede onlajn, po Uslovima korišćenja</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Prestanak volonterskog angažmana, razrješenje, prestanak članstva</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povrede pravila za tim i organe, po Statutu</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Zabrana učešća na budućim događajima</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nasilje, prijetnje, seksualno uznemiravanje, ponovljeno teško kršenje</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Prijava nadležnim organima</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krivično djelo</w:t>
                  </w: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2376"/>
              <w:gridCol w:w="2376"/>
            </w:tblGrid>
            <w:tr>
              <w:trPr>
                <w:tblHeader/>
              </w:trPr>
              <w:tc>
                <w:tcPr>
                  <w:tcW w:type="dxa" w:w="2376"/>
                  <w:shd w:fill="E3EBED" w:color="auto" w:val="clear"/>
                  <w:tcMar>
                    <w:top w:type="dxa" w:w="40"/>
                    <w:left w:type="dxa" w:w="60"/>
                    <w:bottom w:type="dxa" w:w="40"/>
                    <w:right w:type="dxa" w:w="60"/>
                  </w:tcMar>
                </w:tcPr>
                <w:p>
                  <w:r>
                    <w:rPr>
                      <w:rFonts w:ascii="Arial" w:cs="Arial" w:eastAsia="Arial" w:hAnsi="Arial"/>
                      <w:b/>
                      <w:bCs/>
                      <w:sz w:val="16"/>
                      <w:szCs w:val="16"/>
                    </w:rPr>
                    <w:t xml:space="preserve">Measure</w:t>
                  </w:r>
                </w:p>
              </w:tc>
              <w:tc>
                <w:tcPr>
                  <w:tcW w:type="dxa" w:w="2376"/>
                  <w:shd w:fill="E3EBED" w:color="auto" w:val="clear"/>
                  <w:tcMar>
                    <w:top w:type="dxa" w:w="40"/>
                    <w:left w:type="dxa" w:w="60"/>
                    <w:bottom w:type="dxa" w:w="40"/>
                    <w:right w:type="dxa" w:w="60"/>
                  </w:tcMar>
                </w:tcPr>
                <w:p>
                  <w:r>
                    <w:rPr>
                      <w:rFonts w:ascii="Arial" w:cs="Arial" w:eastAsia="Arial" w:hAnsi="Arial"/>
                      <w:b/>
                      <w:bCs/>
                      <w:sz w:val="16"/>
                      <w:szCs w:val="16"/>
                    </w:rPr>
                    <w:t xml:space="preserve">When</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Verbal warning</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minor first breach</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Written warning</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repeated minor breach or breach of the rules for the team</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Removal from the event without refund of the entry fee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endangering safety, ignoring instructions, alcohol at a sporting event, harassment</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Result struck</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cheating</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Content removal, account suspension or closure</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online breaches, under the Terms of Use</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End of volunteering, dismissal, end of membership</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breaches of the rules for the team and officers, under the Statute</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Ban from future events</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violence, threats, sexual harassment, repeated grave breaches</w:t>
                  </w:r>
                </w:p>
              </w:tc>
            </w:tr>
            <w:tr>
              <w:trPr>
                <w:tblHeader w:val="off"/>
              </w:trPr>
              <w:tc>
                <w:tcPr>
                  <w:tcW w:type="dxa" w:w="2376"/>
                  <w:tcMar>
                    <w:top w:type="dxa" w:w="40"/>
                    <w:left w:type="dxa" w:w="60"/>
                    <w:bottom w:type="dxa" w:w="40"/>
                    <w:right w:type="dxa" w:w="60"/>
                  </w:tcMar>
                </w:tcPr>
                <w:p>
                  <w:r>
                    <w:rPr>
                      <w:rFonts w:ascii="Arial" w:cs="Arial" w:eastAsia="Arial" w:hAnsi="Arial"/>
                      <w:b w:val="false"/>
                      <w:bCs w:val="false"/>
                      <w:sz w:val="16"/>
                      <w:szCs w:val="16"/>
                    </w:rPr>
                    <w:t xml:space="preserve">Referral to the competent authorities</w:t>
                  </w:r>
                </w:p>
              </w:tc>
              <w:tc>
                <w:tcPr>
                  <w:tcW w:type="dxa" w:w="2376"/>
                  <w:tcMar>
                    <w:top w:type="dxa" w:w="40"/>
                    <w:left w:type="dxa" w:w="60"/>
                    <w:bottom w:type="dxa" w:w="40"/>
                    <w:right w:type="dxa" w:w="60"/>
                  </w:tcMar>
                </w:tcPr>
                <w:p>
                  <w:r>
                    <w:rPr>
                      <w:rFonts w:ascii="Arial" w:cs="Arial" w:eastAsia="Arial" w:hAnsi="Arial"/>
                      <w:b w:val="false"/>
                      <w:bCs w:val="false"/>
                      <w:sz w:val="16"/>
                      <w:szCs w:val="16"/>
                    </w:rPr>
                    <w:t xml:space="preserve">a criminal offence</w:t>
                  </w:r>
                </w:p>
              </w:tc>
            </w:tr>
          </w:tbl>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Protiv pisane mjere možete uložiti prigovor u roku od 15 dana na adresu iz člana 12; odlučuje lice koje nije donijelo prvobitnu odluku. Udaljenje sa događaja i trenutne bezbjednosne mjere izvršavaju se odmah i ne čekaju prigovor.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may appeal a written measure within 15 days to the address in Article 12; the appeal is decided by a person who did not take the original decision. Removal from an event and immediate safety measures take effect at once and do not wait for an appeal.</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Preispitivanje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Review</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Kodeks preispitujemo poslije svakog većeg događaja i najmanje jednom godišnje, uz Politiku zaštite djece, i dopunjujemo ga onim što smo naučili. Kratku verziju objavljujemo na sajtu i čitamo na brifingu prije svakog događaja.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review the code after every major event and at least once a year, together with the Child Safeguarding Policy, and add what we have learned. We publish a short version on the site and read it at the briefing before every event.</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B: POSTUPANJE PO PRIJAVI (INTERNO)</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B: INCIDENT PROCEDURE (INTERNAL)</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Na događaju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At the event</w:t>
            </w:r>
          </w:p>
        </w:tc>
      </w:tr>
      <w:tr>
        <w:tc>
          <w:tcPr>
            <w:tcW w:type="dxa" w:w="4953"/>
            <w:tcMar>
              <w:top w:type="dxa" w:w="80"/>
              <w:left w:type="dxa" w:w="100"/>
              <w:bottom w:type="dxa" w:w="80"/>
              <w:right w:type="dxa" w:w="100"/>
            </w:tcMar>
          </w:tcPr>
          <w:p>
            <w:pPr>
              <w:pStyle w:val="ListParagraph"/>
              <w:numPr>
                <w:ilvl w:val="0"/>
                <w:numId w:val="10"/>
              </w:numPr>
              <w:spacing w:after="40"/>
            </w:pPr>
            <w:r>
              <w:rPr>
                <w:rFonts w:ascii="Arial" w:cs="Arial" w:eastAsia="Arial" w:hAnsi="Arial"/>
                <w:sz w:val="18"/>
                <w:szCs w:val="18"/>
              </w:rPr>
              <w:t xml:space="preserve">Član tima koji primi prijavu ili primijeti incident odmah obavještava rukovodioca događaja; ako se tiče djeteta, odgovornu osobu za zaštitu djece; ako se tiče povrede ili nesreće, medicinsku službu.</w:t>
            </w:r>
          </w:p>
          <w:p>
            <w:pPr>
              <w:pStyle w:val="ListParagraph"/>
              <w:numPr>
                <w:ilvl w:val="0"/>
                <w:numId w:val="10"/>
              </w:numPr>
              <w:spacing w:after="40"/>
            </w:pPr>
            <w:r>
              <w:rPr>
                <w:rFonts w:ascii="Arial" w:cs="Arial" w:eastAsia="Arial" w:hAnsi="Arial"/>
                <w:sz w:val="18"/>
                <w:szCs w:val="18"/>
              </w:rPr>
              <w:t xml:space="preserve">Rukovodilac događaja prvo obezbjeđuje osobu koja je ugrožena, zatim razdvaja strane i, kada je potrebno, udaljava osobu na koju se prijava odnosi iz zone događaja uz pratnju dva člana tima. Udaljenje se saopštava mirno, bez rasprave pred drugima.</w:t>
            </w:r>
          </w:p>
          <w:p>
            <w:pPr>
              <w:pStyle w:val="ListParagraph"/>
              <w:numPr>
                <w:ilvl w:val="0"/>
                <w:numId w:val="10"/>
              </w:numPr>
              <w:spacing w:after="40"/>
            </w:pPr>
            <w:r>
              <w:rPr>
                <w:rFonts w:ascii="Arial" w:cs="Arial" w:eastAsia="Arial" w:hAnsi="Arial"/>
                <w:sz w:val="18"/>
                <w:szCs w:val="18"/>
              </w:rPr>
              <w:t xml:space="preserve">Prijava se bilježi na obrascu za incidente iz Paketa za ogranak istog dana: ko, kada, gdje, šta se dogodilo, svjedoci, šta je preduzeto. Ne uzimaju se izjave od djece preko onoga što su sama rekla.</w:t>
            </w:r>
          </w:p>
          <w:p>
            <w:pPr>
              <w:pStyle w:val="ListParagraph"/>
              <w:numPr>
                <w:ilvl w:val="0"/>
                <w:numId w:val="10"/>
              </w:numPr>
              <w:spacing w:after="40"/>
            </w:pPr>
            <w:r>
              <w:rPr>
                <w:rFonts w:ascii="Arial" w:cs="Arial" w:eastAsia="Arial" w:hAnsi="Arial"/>
                <w:sz w:val="18"/>
                <w:szCs w:val="18"/>
              </w:rPr>
              <w:t xml:space="preserve">Rukovodilac događaja obavještava Izvršnog direktora u roku od 24 sata o svakom udaljenju, povredi, incidentu sa djetetom, sukobu sa partnerom ili medijskom događaju.</w:t>
            </w:r>
          </w:p>
        </w:tc>
        <w:tc>
          <w:tcPr>
            <w:tcW w:type="dxa" w:w="4953"/>
            <w:tcMar>
              <w:top w:type="dxa" w:w="80"/>
              <w:left w:type="dxa" w:w="100"/>
              <w:bottom w:type="dxa" w:w="80"/>
              <w:right w:type="dxa" w:w="100"/>
            </w:tcMar>
          </w:tcPr>
          <w:p>
            <w:pPr>
              <w:pStyle w:val="ListParagraph"/>
              <w:numPr>
                <w:ilvl w:val="0"/>
                <w:numId w:val="11"/>
              </w:numPr>
              <w:spacing w:after="40"/>
            </w:pPr>
            <w:r>
              <w:rPr>
                <w:rFonts w:ascii="Arial" w:cs="Arial" w:eastAsia="Arial" w:hAnsi="Arial"/>
                <w:sz w:val="18"/>
                <w:szCs w:val="18"/>
              </w:rPr>
              <w:t xml:space="preserve">The team member who receives a report or notices an incident immediately informs the event manager; if it concerns a child, the safeguarding lead; if it concerns an injury or an accident, the medical staff.</w:t>
            </w:r>
          </w:p>
          <w:p>
            <w:pPr>
              <w:pStyle w:val="ListParagraph"/>
              <w:numPr>
                <w:ilvl w:val="0"/>
                <w:numId w:val="11"/>
              </w:numPr>
              <w:spacing w:after="40"/>
            </w:pPr>
            <w:r>
              <w:rPr>
                <w:rFonts w:ascii="Arial" w:cs="Arial" w:eastAsia="Arial" w:hAnsi="Arial"/>
                <w:sz w:val="18"/>
                <w:szCs w:val="18"/>
              </w:rPr>
              <w:t xml:space="preserve">The event manager first secures the person at risk, then separates the parties and, where necessary, removes the person the report concerns from the event zone, escorted by two team members. The removal is communicated calmly, without argument in front of others.</w:t>
            </w:r>
          </w:p>
          <w:p>
            <w:pPr>
              <w:pStyle w:val="ListParagraph"/>
              <w:numPr>
                <w:ilvl w:val="0"/>
                <w:numId w:val="11"/>
              </w:numPr>
              <w:spacing w:after="40"/>
            </w:pPr>
            <w:r>
              <w:rPr>
                <w:rFonts w:ascii="Arial" w:cs="Arial" w:eastAsia="Arial" w:hAnsi="Arial"/>
                <w:sz w:val="18"/>
                <w:szCs w:val="18"/>
              </w:rPr>
              <w:t xml:space="preserve">The report is recorded on the incident form from the Chapter Pack the same day: who, when, where, what happened, witnesses, what was done. No statements are taken from children beyond what they said themselves.</w:t>
            </w:r>
          </w:p>
          <w:p>
            <w:pPr>
              <w:pStyle w:val="ListParagraph"/>
              <w:numPr>
                <w:ilvl w:val="0"/>
                <w:numId w:val="11"/>
              </w:numPr>
              <w:spacing w:after="40"/>
            </w:pPr>
            <w:r>
              <w:rPr>
                <w:rFonts w:ascii="Arial" w:cs="Arial" w:eastAsia="Arial" w:hAnsi="Arial"/>
                <w:sz w:val="18"/>
                <w:szCs w:val="18"/>
              </w:rPr>
              <w:t xml:space="preserve">The event manager informs the Executive Director within 24 hours of every removal, injury, incident involving a child, dispute with a partner or media event.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Nakon događaja i onlajn</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After the event and online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Prijave van događaja i onlajn prijave prima Izvršni direktor ili lice koje on odredi; prijave koje se tiču Izvršnog direktora ili člana organa prima predsjednik Upravnog odbora. Primalac u roku od tri radna dana potvrđuje prijem, u roku od [[PLACEHOLDER: broj, npr. 15]] dana saslušava obje strane (odvojeno, uz mogućnost pratnje osobe od povjerenja) i odlučuje o mjeri. Mjere iz člana 14 koje se tiču volontera i naloga izriče Izvršni direktor; razrješenje, prestanak članstva i zabranu učešća izriče Upravni odbor na predlog Izvršnog direktora; o prigovoru odlučuje predsjednik Upravnog odbora, odnosno Upravni odbor bez lica koje je odlučivalo.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Reports outside events and online reports are received by the Executive Director or a person they designate; reports concerning the Executive Director or an officer are received by the President of the Board. The recipient acknowledges receipt within three working days, hears both sides within [[PLACEHOLDER: number, e.g. 15]] days (separately, with the option of being accompanied by a trusted person) and decides on the measure. The measures in Article 14 concerning volunteers and accounts are imposed by the Executive Director; dismissal, end of membership and a ban are imposed by the Board on the proposal of the Executive Director; an appeal is decided by the President of the Board, or by the Board without the person who took the decision.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povrede koje se tiču sukoba interesa primjenjuju se Pravila o sukobu interesa; za povrede koje se tiču djece Politika zaštite djece; za onlajn sadržaj postupak moderacije iz Uslova korišćenja.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breaches concerning conflicts of interest the Conflict of Interest Policy applies; for breaches concerning children the Child Safeguarding Policy; for online content the moderation procedure in the Terms of Use.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18 — Evidencija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18 — Records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Izvršni direktor vodi evidenciju prijava i mjera (datum, vrsta, mjera, prigovor, ishod) odvojeno od drugih evidencija, sa pristupom za Izvršnog direktora, predsjednika Upravnog odbora i lice za zaštitu djece kada se tiče djeteta. Evidencija se čuva [[PLACEHOLDER: broj]] godina. Godišnji izvještaj Upravnom odboru sadrži broj prijava po vrsti i broj mjera, bez ličnih podataka. Zabrane učešća vode se na posebnoj listi koju rukovodilac događaja provjerava pri prijavama.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Executive Director keeps a register of reports and measures (date, type, measure, appeal, outcome) separately from other records, with access for the Executive Director, the President of the Board and the safeguarding lead where a child is concerned. The register is kept for [[PLACEHOLDER: number]] years. The annual report to the Board contains the number of reports by type and the number of measures, without personal data. Bans are kept on a separate list which the event manager checks at registration.</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2026-09-28T12:40:26.784Z</dcterms:created>
  <dcterms:modified xsi:type="dcterms:W3CDTF">2026-09-28T12:40:26.784Z</dcterms:modified>
</cp:coreProperties>
</file>

<file path=docProps/custom.xml><?xml version="1.0" encoding="utf-8"?>
<Properties xmlns="http://schemas.openxmlformats.org/officeDocument/2006/custom-properties" xmlns:vt="http://schemas.openxmlformats.org/officeDocument/2006/docPropsVTypes"/>
</file>