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Kriterijumi za dodjelu sredstava korisnicima / Criteria for allocating funds to beneficiaries</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 Svrha i osnov</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 Purpose and basis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Ovim kriterijumima uređuje se ko može dobiti sredstva udruženja, za šta, u kom postupku i pod kojim uslovima, kao i šta se o svakoj dodjeli objavljuje.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These criteria set out who may receive the association's funds, for what, by which procedure and on what conditions, and what is published about each allocation.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Kriterijume predlaže Komisija za dodjelu sredstava, a usvaja Upravni odbor; objavljuju se na internet stranici udruženja prije primjene, u skladu sa članom 38 Statuta. Komisija odlučuje isključivo po ovim kriterijumima. Izvršni direktor, Upravni odbor, osnivači i sponzori ne odlučuju o tome ko dobija sredstva.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criteria are proposed by the Grants Committee and adopted by the Board; they are published on the association's website before they are applied, in accordance with Article 38 of the Statute. The Committee decides solely by these criteria. The Executive Director, the Board, the founders and sponsors do not decide who receives funds.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se koriste samo za ostvarivanje ciljeva udruženja, u skladu sa članom 30 Zakona o nevladinim organizacijama.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Funds are used only to achieve the association's goals, in accordance with Article 30 of the Law on Non-Governmental Organisations.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2. Koja sredstva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2. Which funds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Kriterijumi se odnose na sredstva prikupljena za korisnike (Fond za pomoć): dobrovoljne priloge i donacije pojedinaca i privrednih društava, sredstva koja prikupe učesnici događaja u ime udruženja, priloge iz kutija za priloge i poklone u sjećanje na preminule. Ta sredstva se korisnicima dodjeljuju u cjelini, bez odbitaka; troškovi rada udruženja pokrivaju se iz drugih prihoda.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criteria apply to funds collected for beneficiaries (the Impact Fund): voluntary contributions and donations from individuals and companies, funds raised by event participants on the association's behalf, contributions from collection boxes and gifts in memory of the deceased. These funds are allocated to beneficiaries in full, without deductions; the association's operating costs are covered from other income.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prikupljena za konkretnu kampanju (na primjer, za liječenje određenog lica ili za određeni događaj sa objavljenom namjenom) koriste se samo za tu namjenu. Ako po ostvarenju namjene preostanu sredstva, ili ako namjena postane nemoguća, Komisija ih dodjeljuje korisniku sa istog područja i iz iste kategorije potrebe, uz objavljeno obrazloženje.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Funds collected for a specific cause (for example, for the treatment of a named person or for a particular event with a published purpose) are used only for that purpose. If funds remain after the purpose has been achieved, or if the purpose becomes impossible, the Committee allocates them to a beneficiary from the same area and the same category of need, with published reasons.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prikupljena na području ogranka namijenjena su korisnicima sa tog područja (član 42 Statuta).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Funds collected in a chapter's area are intended for beneficiaries from that area (Article 42 of the Statute).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3. Ko može biti korisnik</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3. Who can be a beneficiary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Korisnik može biti: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beneficiary may be: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fizičko lice ili porodica sa prebivalištem u Crnoj Gori, u stanju socijalne potrebe ili pogođena bolešću, nesrećom, elementarnom nepogodom ili drugim iznenadnim događajem;</w:t>
            </w:r>
          </w:p>
          <w:p>
            <w:pPr>
              <w:pStyle w:val="ListParagraph"/>
              <w:numPr>
                <w:ilvl w:val="0"/>
                <w:numId w:val="2"/>
              </w:numPr>
              <w:spacing w:after="40"/>
            </w:pPr>
            <w:r>
              <w:rPr>
                <w:rFonts w:ascii="Arial" w:cs="Arial" w:eastAsia="Arial" w:hAnsi="Arial"/>
                <w:sz w:val="18"/>
                <w:szCs w:val="18"/>
              </w:rPr>
              <w:t xml:space="preserve">dijete ili mlada osoba do 26 godina, preko roditelja, staratelja ili ustanove;</w:t>
            </w:r>
          </w:p>
          <w:p>
            <w:pPr>
              <w:pStyle w:val="ListParagraph"/>
              <w:numPr>
                <w:ilvl w:val="0"/>
                <w:numId w:val="2"/>
              </w:numPr>
              <w:spacing w:after="40"/>
            </w:pPr>
            <w:r>
              <w:rPr>
                <w:rFonts w:ascii="Arial" w:cs="Arial" w:eastAsia="Arial" w:hAnsi="Arial"/>
                <w:sz w:val="18"/>
                <w:szCs w:val="18"/>
              </w:rPr>
              <w:t xml:space="preserve">malo preduzeće ili preduzetnik sa sjedištem na području ogranka, čiji je rad ugrožen štetom od nesreće ili nepogode, a od čijeg opstanka zavise radna mjesta ili snabdijevanje zajednice;</w:t>
            </w:r>
          </w:p>
          <w:p>
            <w:pPr>
              <w:pStyle w:val="ListParagraph"/>
              <w:numPr>
                <w:ilvl w:val="0"/>
                <w:numId w:val="2"/>
              </w:numPr>
              <w:spacing w:after="40"/>
            </w:pPr>
            <w:r>
              <w:rPr>
                <w:rFonts w:ascii="Arial" w:cs="Arial" w:eastAsia="Arial" w:hAnsi="Arial"/>
                <w:sz w:val="18"/>
                <w:szCs w:val="18"/>
              </w:rPr>
              <w:t xml:space="preserve">škola, vrtić, sportski klub, zdravstvena ili socijalna ustanova ili druga nevladina organizacija, za konkretnu nabavku ili aktivnost sa jasno određenim krajnjim korisnicima.</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an individual or a family resident in Montenegro, in social need or affected by illness, accident, natural disaster or another sudden event;</w:t>
            </w:r>
          </w:p>
          <w:p>
            <w:pPr>
              <w:pStyle w:val="ListParagraph"/>
              <w:numPr>
                <w:ilvl w:val="0"/>
                <w:numId w:val="3"/>
              </w:numPr>
              <w:spacing w:after="40"/>
            </w:pPr>
            <w:r>
              <w:rPr>
                <w:rFonts w:ascii="Arial" w:cs="Arial" w:eastAsia="Arial" w:hAnsi="Arial"/>
                <w:sz w:val="18"/>
                <w:szCs w:val="18"/>
              </w:rPr>
              <w:t xml:space="preserve">a child or a young person up to the age of 26, through a parent, guardian or institution;</w:t>
            </w:r>
          </w:p>
          <w:p>
            <w:pPr>
              <w:pStyle w:val="ListParagraph"/>
              <w:numPr>
                <w:ilvl w:val="0"/>
                <w:numId w:val="3"/>
              </w:numPr>
              <w:spacing w:after="40"/>
            </w:pPr>
            <w:r>
              <w:rPr>
                <w:rFonts w:ascii="Arial" w:cs="Arial" w:eastAsia="Arial" w:hAnsi="Arial"/>
                <w:sz w:val="18"/>
                <w:szCs w:val="18"/>
              </w:rPr>
              <w:t xml:space="preserve">a small business or sole trader with its seat in a chapter's area, whose operation is threatened by damage from an accident or disaster and on whose survival jobs or the community's supply depend;</w:t>
            </w:r>
          </w:p>
          <w:p>
            <w:pPr>
              <w:pStyle w:val="ListParagraph"/>
              <w:numPr>
                <w:ilvl w:val="0"/>
                <w:numId w:val="3"/>
              </w:numPr>
              <w:spacing w:after="40"/>
            </w:pPr>
            <w:r>
              <w:rPr>
                <w:rFonts w:ascii="Arial" w:cs="Arial" w:eastAsia="Arial" w:hAnsi="Arial"/>
                <w:sz w:val="18"/>
                <w:szCs w:val="18"/>
              </w:rPr>
              <w:t xml:space="preserve">a school, kindergarten, sports club, health or social institution or another non-governmental organisation, for a specific purchase or activity with clearly identified end beneficiaries.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Prednost imaju korisnici sa područja ogranka na kojem su sredstva prikupljena.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Priority goes to beneficiaries from the area of the chapter in which the funds were raised.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Korisnik ne može biti: osnivač, član organa, zaposleni ili volonter sa funkcijom u udruženju, niti njihov bračni drug, dijete, roditelj, brat ili sestra; politička partija ili kampanja; vjerska zajednica za potrebe vjerskih obreda; lice koje je u prethodnih [[PLACEHOLDER: broj]] mjeseci već primilo sredstva udruženja, osim u izuzetnom slučaju iz odjeljka 8.</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following cannot be beneficiaries: a founder, a member of a governing body, an employee or a volunteer holding a function in the association, or their spouse, child, parent, brother or sister; a political party or campaign; a religious community for the purposes of worship; a person who has already received the association's funds within the previous [[PLACEHOLDER: number]] months, except in the exceptional case under section 8.</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4. Šta se finansira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4. What is funded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se dodjeljuju za konkretan, dokumentovan trošak ili nabavku, u sljedećim kategorijama: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Funds are allocated for a specific, documented cost or purchase, in the following categories:</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b/>
                <w:bCs/>
                <w:sz w:val="18"/>
                <w:szCs w:val="18"/>
              </w:rPr>
              <w:t xml:space="preserve">Zdravlje:</w:t>
            </w:r>
            <w:r>
              <w:rPr>
                <w:rFonts w:ascii="Arial" w:cs="Arial" w:eastAsia="Arial" w:hAnsi="Arial"/>
                <w:sz w:val="18"/>
                <w:szCs w:val="18"/>
              </w:rPr>
              <w:t xml:space="preserve"> liječenje, operacije, ljekovi, pomagala, rehabilitacija, prevoz do ustanove, boravak pratioca, kada trošak nije pokriven obaveznim osiguranjem ili je pokriven djelimično;</w:t>
            </w:r>
          </w:p>
          <w:p>
            <w:pPr>
              <w:pStyle w:val="ListParagraph"/>
              <w:numPr>
                <w:ilvl w:val="0"/>
                <w:numId w:val="4"/>
              </w:numPr>
              <w:spacing w:after="40"/>
            </w:pPr>
            <w:r>
              <w:rPr>
                <w:rFonts w:ascii="Arial" w:cs="Arial" w:eastAsia="Arial" w:hAnsi="Arial"/>
                <w:b/>
                <w:bCs/>
                <w:sz w:val="18"/>
                <w:szCs w:val="18"/>
              </w:rPr>
              <w:t xml:space="preserve">Dom:</w:t>
            </w:r>
            <w:r>
              <w:rPr>
                <w:rFonts w:ascii="Arial" w:cs="Arial" w:eastAsia="Arial" w:hAnsi="Arial"/>
                <w:sz w:val="18"/>
                <w:szCs w:val="18"/>
              </w:rPr>
              <w:t xml:space="preserve"> hitne popravke koje ugrožavaju bezbjednost stanovanja, grijanje, osnovni namještaj i aparati nakon požara, poplave ili sličnog događaja, zaostala stanarina ili račun kada prijeti gubitak doma;</w:t>
            </w:r>
          </w:p>
          <w:p>
            <w:pPr>
              <w:pStyle w:val="ListParagraph"/>
              <w:numPr>
                <w:ilvl w:val="0"/>
                <w:numId w:val="4"/>
              </w:numPr>
              <w:spacing w:after="40"/>
            </w:pPr>
            <w:r>
              <w:rPr>
                <w:rFonts w:ascii="Arial" w:cs="Arial" w:eastAsia="Arial" w:hAnsi="Arial"/>
                <w:b/>
                <w:bCs/>
                <w:sz w:val="18"/>
                <w:szCs w:val="18"/>
              </w:rPr>
              <w:t xml:space="preserve">Djeca i obrazovanje:</w:t>
            </w:r>
            <w:r>
              <w:rPr>
                <w:rFonts w:ascii="Arial" w:cs="Arial" w:eastAsia="Arial" w:hAnsi="Arial"/>
                <w:sz w:val="18"/>
                <w:szCs w:val="18"/>
              </w:rPr>
              <w:t xml:space="preserve"> školski pribor, udžbenici, prevoz, terapije, oprema za dijete sa smetnjama u razvoju, učešće u sportu i vannastavnim aktivnostima;</w:t>
            </w:r>
          </w:p>
          <w:p>
            <w:pPr>
              <w:pStyle w:val="ListParagraph"/>
              <w:numPr>
                <w:ilvl w:val="0"/>
                <w:numId w:val="4"/>
              </w:numPr>
              <w:spacing w:after="40"/>
            </w:pPr>
            <w:r>
              <w:rPr>
                <w:rFonts w:ascii="Arial" w:cs="Arial" w:eastAsia="Arial" w:hAnsi="Arial"/>
                <w:b/>
                <w:bCs/>
                <w:sz w:val="18"/>
                <w:szCs w:val="18"/>
              </w:rPr>
              <w:t xml:space="preserve">Nesreća i nepogoda:</w:t>
            </w:r>
            <w:r>
              <w:rPr>
                <w:rFonts w:ascii="Arial" w:cs="Arial" w:eastAsia="Arial" w:hAnsi="Arial"/>
                <w:sz w:val="18"/>
                <w:szCs w:val="18"/>
              </w:rPr>
              <w:t xml:space="preserve"> neposredna pomoć porodicama i malim preduzećima pogođenim požarom, poplavom, nevremenom ili nesrećom;</w:t>
            </w:r>
          </w:p>
          <w:p>
            <w:pPr>
              <w:pStyle w:val="ListParagraph"/>
              <w:numPr>
                <w:ilvl w:val="0"/>
                <w:numId w:val="4"/>
              </w:numPr>
              <w:spacing w:after="40"/>
            </w:pPr>
            <w:r>
              <w:rPr>
                <w:rFonts w:ascii="Arial" w:cs="Arial" w:eastAsia="Arial" w:hAnsi="Arial"/>
                <w:b/>
                <w:bCs/>
                <w:sz w:val="18"/>
                <w:szCs w:val="18"/>
              </w:rPr>
              <w:t xml:space="preserve">Zajednica:</w:t>
            </w:r>
            <w:r>
              <w:rPr>
                <w:rFonts w:ascii="Arial" w:cs="Arial" w:eastAsia="Arial" w:hAnsi="Arial"/>
                <w:sz w:val="18"/>
                <w:szCs w:val="18"/>
              </w:rPr>
              <w:t xml:space="preserve"> oprema ili aktivnost škole, kluba ili ustanove sa određenim krajnjim korisnicima, kada je korist za zajednicu jasna i mjerljiva.</w:t>
            </w:r>
          </w:p>
        </w:tc>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b/>
                <w:bCs/>
                <w:sz w:val="18"/>
                <w:szCs w:val="18"/>
              </w:rPr>
              <w:t xml:space="preserve">Health:</w:t>
            </w:r>
            <w:r>
              <w:rPr>
                <w:rFonts w:ascii="Arial" w:cs="Arial" w:eastAsia="Arial" w:hAnsi="Arial"/>
                <w:sz w:val="18"/>
                <w:szCs w:val="18"/>
              </w:rPr>
              <w:t xml:space="preserve"> treatment, surgery, medicines, aids, rehabilitation, transport to an institution, a carer's stay, where the cost is not covered by compulsory insurance or is covered only in part;</w:t>
            </w:r>
          </w:p>
          <w:p>
            <w:pPr>
              <w:pStyle w:val="ListParagraph"/>
              <w:numPr>
                <w:ilvl w:val="0"/>
                <w:numId w:val="4"/>
              </w:numPr>
              <w:spacing w:after="40"/>
            </w:pPr>
            <w:r>
              <w:rPr>
                <w:rFonts w:ascii="Arial" w:cs="Arial" w:eastAsia="Arial" w:hAnsi="Arial"/>
                <w:b/>
                <w:bCs/>
                <w:sz w:val="18"/>
                <w:szCs w:val="18"/>
              </w:rPr>
              <w:t xml:space="preserve">Home:</w:t>
            </w:r>
            <w:r>
              <w:rPr>
                <w:rFonts w:ascii="Arial" w:cs="Arial" w:eastAsia="Arial" w:hAnsi="Arial"/>
                <w:sz w:val="18"/>
                <w:szCs w:val="18"/>
              </w:rPr>
              <w:t xml:space="preserve"> urgent repairs where the safety of the home is at risk, heating, basic furniture and appliances after a fire, flood or similar event, rent or bill arrears where the home is at risk of being lost;</w:t>
            </w:r>
          </w:p>
          <w:p>
            <w:pPr>
              <w:pStyle w:val="ListParagraph"/>
              <w:numPr>
                <w:ilvl w:val="0"/>
                <w:numId w:val="4"/>
              </w:numPr>
              <w:spacing w:after="40"/>
            </w:pPr>
            <w:r>
              <w:rPr>
                <w:rFonts w:ascii="Arial" w:cs="Arial" w:eastAsia="Arial" w:hAnsi="Arial"/>
                <w:b/>
                <w:bCs/>
                <w:sz w:val="18"/>
                <w:szCs w:val="18"/>
              </w:rPr>
              <w:t xml:space="preserve">Children and education:</w:t>
            </w:r>
            <w:r>
              <w:rPr>
                <w:rFonts w:ascii="Arial" w:cs="Arial" w:eastAsia="Arial" w:hAnsi="Arial"/>
                <w:sz w:val="18"/>
                <w:szCs w:val="18"/>
              </w:rPr>
              <w:t xml:space="preserve"> school supplies, textbooks, transport, therapies, equipment for a child with a developmental disability, participation in sport and extracurricular activities;</w:t>
            </w:r>
          </w:p>
          <w:p>
            <w:pPr>
              <w:pStyle w:val="ListParagraph"/>
              <w:numPr>
                <w:ilvl w:val="0"/>
                <w:numId w:val="4"/>
              </w:numPr>
              <w:spacing w:after="40"/>
            </w:pPr>
            <w:r>
              <w:rPr>
                <w:rFonts w:ascii="Arial" w:cs="Arial" w:eastAsia="Arial" w:hAnsi="Arial"/>
                <w:b/>
                <w:bCs/>
                <w:sz w:val="18"/>
                <w:szCs w:val="18"/>
              </w:rPr>
              <w:t xml:space="preserve">Accident and disaster:</w:t>
            </w:r>
            <w:r>
              <w:rPr>
                <w:rFonts w:ascii="Arial" w:cs="Arial" w:eastAsia="Arial" w:hAnsi="Arial"/>
                <w:sz w:val="18"/>
                <w:szCs w:val="18"/>
              </w:rPr>
              <w:t xml:space="preserve"> immediate help to families and small businesses affected by fire, flood, storm or accident;</w:t>
            </w:r>
          </w:p>
          <w:p>
            <w:pPr>
              <w:pStyle w:val="ListParagraph"/>
              <w:numPr>
                <w:ilvl w:val="0"/>
                <w:numId w:val="4"/>
              </w:numPr>
              <w:spacing w:after="40"/>
            </w:pPr>
            <w:r>
              <w:rPr>
                <w:rFonts w:ascii="Arial" w:cs="Arial" w:eastAsia="Arial" w:hAnsi="Arial"/>
                <w:b/>
                <w:bCs/>
                <w:sz w:val="18"/>
                <w:szCs w:val="18"/>
              </w:rPr>
              <w:t xml:space="preserve">Community:</w:t>
            </w:r>
            <w:r>
              <w:rPr>
                <w:rFonts w:ascii="Arial" w:cs="Arial" w:eastAsia="Arial" w:hAnsi="Arial"/>
                <w:sz w:val="18"/>
                <w:szCs w:val="18"/>
              </w:rPr>
              <w:t xml:space="preserve"> equipment or an activity of a school, club or institution with identified end beneficiaries, where the benefit to the community is clear and measurable.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finansiraju se: redovni troškovi života bez konkretnog događaja koji ih je izazvao; otplata kredita, kazni, kockarskih ili sličnih dugova; trošak koji je već plaćen prije podnošenja prijave, osim u hitnom slučaju iz odjeljka 8; zarade i honorari; troškovi koje po zakonu snosi država, osiguranje ili poslodavac, dok se ta mogućnost ne iscrpi ili ne pokaže nedostupnom u razumnom roku; nabavke bez ponude ili predračuna; politička, vjerska ili komercijalna aktivnost.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following are not funded: ordinary living costs without a specific event that caused them; repayment of loans, fines, gambling or similar debts; a cost already paid before the application was submitted, except in an urgent case under section 8; wages and fees; costs that by law are borne by the state, insurance or an employer, until that route has been exhausted or shown to be unavailable within a reasonable time; purchases without a quote or pro forma invoice; political, religious or commercial activity.</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5. Kako se podnosi prijava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5. How to apply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se podnosi na obrascu na internet stranici udruženja (stranica „Prijava za pomoć“), a može se podnijeti i u pisanom obliku preko rukovodioca ogranka. Prijavu može podnijeti sam korisnik, član porodice, staratelj, ljekar, škola, centar za socijalni rad, rukovodilac ogranka ili član udruženja koji korisnika poznaje, uz saglasnost korisnika.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application is submitted on the form on the association's website (the "Prijava za pomoć" page), and may also be submitted in writing through a chapter lead. An application may be submitted by the beneficiary, a family member, a guardian, a doctor, a school, a social work centre, a chapter lead or a member of the association who knows the beneficiary, with the beneficiary's consent.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sadrži: ime i prezime i kontakt podnosioca; kategoriju potrebe; traženi iznos; opis situacije i tačno za šta se sredstva traže; priloge.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application contains: the applicant's name and contact details; the category of need; the amount requested; a description of the situation and exactly what the funds are requested for; attachments.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Uz prijavu se prilaže, zavisno od kategorije: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Depending on the category, the following are attached to the application:</w:t>
            </w:r>
          </w:p>
        </w:tc>
      </w:tr>
      <w:tr>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dokaz identiteta i prebivališta korisnika (kopija lične karte ili potvrda o prebivalištu);</w:t>
            </w:r>
          </w:p>
          <w:p>
            <w:pPr>
              <w:pStyle w:val="ListParagraph"/>
              <w:numPr>
                <w:ilvl w:val="0"/>
                <w:numId w:val="5"/>
              </w:numPr>
              <w:spacing w:after="40"/>
            </w:pPr>
            <w:r>
              <w:rPr>
                <w:rFonts w:ascii="Arial" w:cs="Arial" w:eastAsia="Arial" w:hAnsi="Arial"/>
                <w:sz w:val="18"/>
                <w:szCs w:val="18"/>
              </w:rPr>
              <w:t xml:space="preserve">dokaz potrebe: medicinska dokumentacija, zapisnik o šteti, potvrda centra za socijalni rad, škole ili ljekara, fotografije;</w:t>
            </w:r>
          </w:p>
          <w:p>
            <w:pPr>
              <w:pStyle w:val="ListParagraph"/>
              <w:numPr>
                <w:ilvl w:val="0"/>
                <w:numId w:val="5"/>
              </w:numPr>
              <w:spacing w:after="40"/>
            </w:pPr>
            <w:r>
              <w:rPr>
                <w:rFonts w:ascii="Arial" w:cs="Arial" w:eastAsia="Arial" w:hAnsi="Arial"/>
                <w:sz w:val="18"/>
                <w:szCs w:val="18"/>
              </w:rPr>
              <w:t xml:space="preserve">ponuda, predračun ili račun za trošak koji se traži, sa nazivom dobavljača;</w:t>
            </w:r>
          </w:p>
          <w:p>
            <w:pPr>
              <w:pStyle w:val="ListParagraph"/>
              <w:numPr>
                <w:ilvl w:val="0"/>
                <w:numId w:val="5"/>
              </w:numPr>
              <w:spacing w:after="40"/>
            </w:pPr>
            <w:r>
              <w:rPr>
                <w:rFonts w:ascii="Arial" w:cs="Arial" w:eastAsia="Arial" w:hAnsi="Arial"/>
                <w:sz w:val="18"/>
                <w:szCs w:val="18"/>
              </w:rPr>
              <w:t xml:space="preserve">izjava o drugim izvorima: da li je zatražena i dobijena pomoć od države, osiguranja, poslodavca ili druge organizacije, i u kom iznosu;</w:t>
            </w:r>
          </w:p>
          <w:p>
            <w:pPr>
              <w:pStyle w:val="ListParagraph"/>
              <w:numPr>
                <w:ilvl w:val="0"/>
                <w:numId w:val="5"/>
              </w:numPr>
              <w:spacing w:after="40"/>
            </w:pPr>
            <w:r>
              <w:rPr>
                <w:rFonts w:ascii="Arial" w:cs="Arial" w:eastAsia="Arial" w:hAnsi="Arial"/>
                <w:sz w:val="18"/>
                <w:szCs w:val="18"/>
              </w:rPr>
              <w:t xml:space="preserve">saglasnost korisnika za obradu ličnih podataka i, posebno, za objavljivanje priče ili fotografije, ako se traži.</w:t>
            </w:r>
          </w:p>
        </w:tc>
        <w:tc>
          <w:tcPr>
            <w:tcW w:type="dxa" w:w="4953"/>
            <w:tcMar>
              <w:top w:type="dxa" w:w="80"/>
              <w:left w:type="dxa" w:w="100"/>
              <w:bottom w:type="dxa" w:w="80"/>
              <w:right w:type="dxa" w:w="100"/>
            </w:tcMar>
          </w:tcPr>
          <w:p>
            <w:pPr>
              <w:pStyle w:val="ListParagraph"/>
              <w:numPr>
                <w:ilvl w:val="0"/>
                <w:numId w:val="6"/>
              </w:numPr>
              <w:spacing w:after="40"/>
            </w:pPr>
            <w:r>
              <w:rPr>
                <w:rFonts w:ascii="Arial" w:cs="Arial" w:eastAsia="Arial" w:hAnsi="Arial"/>
                <w:sz w:val="18"/>
                <w:szCs w:val="18"/>
              </w:rPr>
              <w:t xml:space="preserve">proof of the beneficiary's identity and residence (a copy of the identity card or a certificate of residence);</w:t>
            </w:r>
          </w:p>
          <w:p>
            <w:pPr>
              <w:pStyle w:val="ListParagraph"/>
              <w:numPr>
                <w:ilvl w:val="0"/>
                <w:numId w:val="6"/>
              </w:numPr>
              <w:spacing w:after="40"/>
            </w:pPr>
            <w:r>
              <w:rPr>
                <w:rFonts w:ascii="Arial" w:cs="Arial" w:eastAsia="Arial" w:hAnsi="Arial"/>
                <w:sz w:val="18"/>
                <w:szCs w:val="18"/>
              </w:rPr>
              <w:t xml:space="preserve">proof of need: medical records, a damage report, a confirmation from a social work centre, school or doctor, photographs;</w:t>
            </w:r>
          </w:p>
          <w:p>
            <w:pPr>
              <w:pStyle w:val="ListParagraph"/>
              <w:numPr>
                <w:ilvl w:val="0"/>
                <w:numId w:val="6"/>
              </w:numPr>
              <w:spacing w:after="40"/>
            </w:pPr>
            <w:r>
              <w:rPr>
                <w:rFonts w:ascii="Arial" w:cs="Arial" w:eastAsia="Arial" w:hAnsi="Arial"/>
                <w:sz w:val="18"/>
                <w:szCs w:val="18"/>
              </w:rPr>
              <w:t xml:space="preserve">a quote, pro forma invoice or invoice for the cost requested, naming the supplier;</w:t>
            </w:r>
          </w:p>
          <w:p>
            <w:pPr>
              <w:pStyle w:val="ListParagraph"/>
              <w:numPr>
                <w:ilvl w:val="0"/>
                <w:numId w:val="6"/>
              </w:numPr>
              <w:spacing w:after="40"/>
            </w:pPr>
            <w:r>
              <w:rPr>
                <w:rFonts w:ascii="Arial" w:cs="Arial" w:eastAsia="Arial" w:hAnsi="Arial"/>
                <w:sz w:val="18"/>
                <w:szCs w:val="18"/>
              </w:rPr>
              <w:t xml:space="preserve">a statement of other sources: whether help has been requested and received from the state, insurance, an employer or another organisation, and in what amount;</w:t>
            </w:r>
          </w:p>
          <w:p>
            <w:pPr>
              <w:pStyle w:val="ListParagraph"/>
              <w:numPr>
                <w:ilvl w:val="0"/>
                <w:numId w:val="6"/>
              </w:numPr>
              <w:spacing w:after="40"/>
            </w:pPr>
            <w:r>
              <w:rPr>
                <w:rFonts w:ascii="Arial" w:cs="Arial" w:eastAsia="Arial" w:hAnsi="Arial"/>
                <w:sz w:val="18"/>
                <w:szCs w:val="18"/>
              </w:rPr>
              <w:t xml:space="preserve">the beneficiary's consent to the processing of personal data and, separately, to the publication of a story or photograph, if requested.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Nepotpuna prijava ne odbija se; podnosilac se u roku od tri radna dana obavještava šta nedostaje.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incomplete application is not refused; within three working days the applicant is told what is missing.</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6. Kriterijumi ocjene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6. Assessment criteria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svaku potpunu prijavu ocjenjuje po šest kriterijuma, sa 0 do 3 boda po kriterijumu: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Committee assesses each complete application against six criteria, with 0 to 3 points per criterion:</w:t>
            </w:r>
          </w:p>
        </w:tc>
      </w:tr>
      <w:tr>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Kriterijum</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0</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3</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Hitnost i težina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može čekati, ne ugrožava zdravlje, dom ili egzistenciju</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odlaganje nanosi nepovratnu štetu</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Konkretnost i učinak po euru</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uopšten zahtjev, bez ponude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tačan trošak sa ponudom, jasan i trajan učinak</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Nedostatak drugih izvora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trošak pokriva država, osiguranje ili drugi</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nijedan drugi izvor nije dostupan u potrebnom roku, dokazano</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Veza sa zajednicom</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van područja svih ogranaka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na području ogranka gdje su sredstva prikupljena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Provjerljivost i izvodljivost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plaćanje samo u gotovini korisniku, bez dokaza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plaćanje direktno dobavljaču, potpuna dokumentacija</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Pravičnost</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korisnik je nedavno već primio sredstva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prvi put, a sredstva su dostupna i za druge prijave u toku</w:t>
                  </w:r>
                </w:p>
              </w:tc>
            </w:tr>
          </w:tbl>
          <w:p/>
        </w:tc>
        <w:tc>
          <w:tcPr>
            <w:tcW w:type="dxa" w:w="4953"/>
            <w:tcMar>
              <w:top w:type="dxa" w:w="80"/>
              <w:left w:type="dxa" w:w="100"/>
              <w:bottom w:type="dxa" w:w="80"/>
              <w:right w:type="dxa" w:w="100"/>
            </w:tcMar>
          </w:tcPr>
          <w:tbl>
            <w:tblPr>
              <w:tblW w:type="dxa" w:w="4753"/>
              <w:tblBorders>
                <w:top w:val="single" w:color="C9D3D7" w:sz="4"/>
                <w:left w:val="single" w:color="C9D3D7" w:sz="4"/>
                <w:bottom w:val="single" w:color="C9D3D7" w:sz="4"/>
                <w:right w:val="single" w:color="C9D3D7" w:sz="4"/>
                <w:insideH w:val="single" w:color="C9D3D7" w:sz="4"/>
                <w:insideV w:val="single" w:color="C9D3D7" w:sz="4"/>
              </w:tblBorders>
            </w:tblPr>
            <w:tblGrid>
              <w:gridCol w:w="1584"/>
              <w:gridCol w:w="1584"/>
              <w:gridCol w:w="1584"/>
            </w:tblGrid>
            <w:tr>
              <w:trPr>
                <w:tblHeader/>
              </w:trPr>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Criterion</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0</w:t>
                  </w:r>
                </w:p>
              </w:tc>
              <w:tc>
                <w:tcPr>
                  <w:tcW w:type="dxa" w:w="1584"/>
                  <w:shd w:fill="E3EBED" w:color="auto" w:val="clear"/>
                  <w:tcMar>
                    <w:top w:type="dxa" w:w="40"/>
                    <w:left w:type="dxa" w:w="60"/>
                    <w:bottom w:type="dxa" w:w="40"/>
                    <w:right w:type="dxa" w:w="60"/>
                  </w:tcMar>
                </w:tcPr>
                <w:p>
                  <w:r>
                    <w:rPr>
                      <w:rFonts w:ascii="Arial" w:cs="Arial" w:eastAsia="Arial" w:hAnsi="Arial"/>
                      <w:b/>
                      <w:bCs/>
                      <w:sz w:val="16"/>
                      <w:szCs w:val="16"/>
                    </w:rPr>
                    <w:t xml:space="preserve">3</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Urgency and severity</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can wait, no threat to health, home or livelihood</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delay causes irreversible harm</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Concreteness and impact per euro</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general request, no quote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exact cost with a quote, clear and lasting effect</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Lack of other sources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cost covered by the state, insurance or others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no other source available in the time needed, evidenced</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Local connection</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outside every chapter area</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in the chapter area where the funds were raised</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Verifiability and feasibility</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cash to the beneficiary only, no evidence</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paid directly to the supplier, full documentation</w:t>
                  </w:r>
                </w:p>
              </w:tc>
            </w:tr>
            <w:tr>
              <w:trPr>
                <w:tblHeader w:val="off"/>
              </w:trPr>
              <w:tc>
                <w:tcPr>
                  <w:tcW w:type="dxa" w:w="1584"/>
                  <w:tcMar>
                    <w:top w:type="dxa" w:w="40"/>
                    <w:left w:type="dxa" w:w="60"/>
                    <w:bottom w:type="dxa" w:w="40"/>
                    <w:right w:type="dxa" w:w="60"/>
                  </w:tcMar>
                </w:tcPr>
                <w:p>
                  <w:r>
                    <w:rPr>
                      <w:rFonts w:ascii="Arial" w:cs="Arial" w:eastAsia="Arial" w:hAnsi="Arial"/>
                      <w:b w:val="false"/>
                      <w:bCs w:val="false"/>
                      <w:sz w:val="16"/>
                      <w:szCs w:val="16"/>
                    </w:rPr>
                    <w:t xml:space="preserve">Fairness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the beneficiary has recently received funds</w:t>
                  </w:r>
                </w:p>
              </w:tc>
              <w:tc>
                <w:tcPr>
                  <w:tcW w:type="dxa" w:w="1584"/>
                  <w:tcMar>
                    <w:top w:type="dxa" w:w="40"/>
                    <w:left w:type="dxa" w:w="60"/>
                    <w:bottom w:type="dxa" w:w="40"/>
                    <w:right w:type="dxa" w:w="60"/>
                  </w:tcMar>
                </w:tcPr>
                <w:p>
                  <w:r>
                    <w:rPr>
                      <w:rFonts w:ascii="Arial" w:cs="Arial" w:eastAsia="Arial" w:hAnsi="Arial"/>
                      <w:b w:val="false"/>
                      <w:bCs w:val="false"/>
                      <w:sz w:val="16"/>
                      <w:szCs w:val="16"/>
                    </w:rPr>
                    <w:t xml:space="preserve">first time, and funds remain available for other pending applications</w:t>
                  </w:r>
                </w:p>
              </w:tc>
            </w:tr>
          </w:tbl>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sa manje od [[PLACEHOLDER: prag, npr. 9]] bodova, ili sa 0 bodova na kriterijumu hitnosti ili provjerljivosti, po pravilu se ne odobrava. Bodovi služe Komisiji kao okvir, a ne kao automatska odluka; Komisija u odluci navodi razloge kada odstupa od bodova.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application with fewer than [[PLACEHOLDER: threshold, e.g. 9]] points, or with 0 points on the urgency or verifiability criterion, is as a rule not approved. The points serve the Committee as a framework, not as an automatic decision; the Committee states its reasons in the decision when it departs from the points.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Kada više prijava ispunjava kriterijume a sredstva nijesu dovoljna za sve, prednost imaju prijave sa više bodova na hitnosti, zatim na nedostatku drugih izvora.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When several applications meet the criteria and the funds are not sufficient for all of them, priority goes to the applications with more points on urgency, then on lack of other sources.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7. Iznosi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7. Amounts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Standardna dodjela iznosi do [[PLACEHOLDER: iznos]] EUR po korisniku i odluci. Komisija je odobrava većinom glasova svih članova.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standard allocation is up to [[PLACEHOLDER: amount]] EUR per beneficiary and per decision. The Committee approves it by a majority of the votes of all members.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Dodjela preko tog iznosa moguća je samo jednoglasnom odlukom svih članova Komisije, uz pisano obrazloženje zašto manji iznos ne bi ostvario svrhu.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allocation above that amount is possible only by a unanimous decision of all members of the Committee, with written reasons why a smaller amount would not achieve the purpose.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Ukupan iznos dodjela u jednoj godini ne može preći sredstva stvarno prikupljena za korisnike u tekućoj i prethodnim godinama, umanjena za već dodijeljena sredstva. Komisija ne dodjeljuje sredstva na račun očekivanih budućih priloga.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total amount allocated in one year cannot exceed the funds actually collected for beneficiaries in the current and previous years, less the funds already allocated. The Committee does not allocate funds against expected future contributions.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može odobriti manji iznos od traženog, ili dio troška uz uslov da ostatak pokrije drugi izvor.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Committee may approve a smaller amount than requested, or a share of the cost on condition that the remainder is covered by another source.</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8. Hitna pomoć</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8. Urgent aid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Kada odlaganje do redovne sjednice nanosi nepovratnu štetu (hitno liječenje, gubitak doma, nesreća), predsjednik Komisije može pokrenuti skraćeni postupak: prijavu sa dokazima dostavlja elektronskim putem svim članovima, a odluka je donesena kada za nju glasa većina svih članova, najkasnije u roku od 48 sati.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Where delay until the regular meeting would cause irreversible harm (urgent treatment, loss of a home, an accident), the chair of the Committee may start a fast procedure: the application with its evidence is sent electronically to all members, and the decision is taken when a majority of all members vote for it, within 48 hours at the latest.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 skraćenom postupku može se odobriti najviše [[PLACEHOLDER: iznos]] EUR, u granici koju utvrdi Upravni odbor. U hitnom slučaju može se naknadno priznati i trošak plaćen najviše 30 dana prije prijave, uz račun.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 the fast procedure at most [[PLACEHOLDER: amount]] EUR may be approved, within the limit set by the Board. In an urgent case a cost paid at most 30 days before the application may also be recognised afterwards, against an invoice.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Svaka hitna odluka se na prvoj narednoj sjednici Komisije unosi u zapisnik i objavljuje kao i svaka druga.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Every urgent decision is entered in the minutes at the next meeting of the Committee and published like any other.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Izuzetno od odjeljka 3, korisnik koji je već primio sredstva može ponovo dobiti hitnu pomoć ako je nastupio novi, nepredvidivi događaj; Komisija to posebno obrazlaže.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By way of exception to section 3, a beneficiary who has already received funds may receive urgent aid again if a new, unforeseeable event has occurred; the Committee gives specific reasons for this.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9. Postupak i rokovi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9. Procedure and timelines</w:t>
            </w:r>
          </w:p>
        </w:tc>
      </w:tr>
      <w:tr>
        <w:tc>
          <w:tcPr>
            <w:tcW w:type="dxa" w:w="4953"/>
            <w:tcMar>
              <w:top w:type="dxa" w:w="80"/>
              <w:left w:type="dxa" w:w="100"/>
              <w:bottom w:type="dxa" w:w="80"/>
              <w:right w:type="dxa" w:w="100"/>
            </w:tcMar>
          </w:tcPr>
          <w:p>
            <w:pPr>
              <w:pStyle w:val="ListParagraph"/>
              <w:numPr>
                <w:ilvl w:val="0"/>
                <w:numId w:val="7"/>
              </w:numPr>
              <w:spacing w:after="40"/>
            </w:pPr>
            <w:r>
              <w:rPr>
                <w:rFonts w:ascii="Arial" w:cs="Arial" w:eastAsia="Arial" w:hAnsi="Arial"/>
                <w:b/>
                <w:bCs/>
                <w:sz w:val="18"/>
                <w:szCs w:val="18"/>
              </w:rPr>
              <w:t xml:space="preserve">Prijem.</w:t>
            </w:r>
            <w:r>
              <w:rPr>
                <w:rFonts w:ascii="Arial" w:cs="Arial" w:eastAsia="Arial" w:hAnsi="Arial"/>
                <w:sz w:val="18"/>
                <w:szCs w:val="18"/>
              </w:rPr>
              <w:t xml:space="preserve"> Izvršni direktor ili lice koje on odredi potvrđuje prijem u roku od tri radna dana i provjerava samo potpunost prijave, bez ocjene osnovanosti.</w:t>
            </w:r>
          </w:p>
          <w:p>
            <w:pPr>
              <w:pStyle w:val="ListParagraph"/>
              <w:numPr>
                <w:ilvl w:val="0"/>
                <w:numId w:val="7"/>
              </w:numPr>
              <w:spacing w:after="40"/>
            </w:pPr>
            <w:r>
              <w:rPr>
                <w:rFonts w:ascii="Arial" w:cs="Arial" w:eastAsia="Arial" w:hAnsi="Arial"/>
                <w:b/>
                <w:bCs/>
                <w:sz w:val="18"/>
                <w:szCs w:val="18"/>
              </w:rPr>
              <w:t xml:space="preserve">Priprema.</w:t>
            </w:r>
            <w:r>
              <w:rPr>
                <w:rFonts w:ascii="Arial" w:cs="Arial" w:eastAsia="Arial" w:hAnsi="Arial"/>
                <w:sz w:val="18"/>
                <w:szCs w:val="18"/>
              </w:rPr>
              <w:t xml:space="preserve"> Kompletna prijava sa prilozima i kratkim sažetkom dostavlja se članovima Komisije najmanje pet dana prije sjednice. Sažetak ne sadrži preporuku.</w:t>
            </w:r>
          </w:p>
          <w:p>
            <w:pPr>
              <w:pStyle w:val="ListParagraph"/>
              <w:numPr>
                <w:ilvl w:val="0"/>
                <w:numId w:val="7"/>
              </w:numPr>
              <w:spacing w:after="40"/>
            </w:pPr>
            <w:r>
              <w:rPr>
                <w:rFonts w:ascii="Arial" w:cs="Arial" w:eastAsia="Arial" w:hAnsi="Arial"/>
                <w:b/>
                <w:bCs/>
                <w:sz w:val="18"/>
                <w:szCs w:val="18"/>
              </w:rPr>
              <w:t xml:space="preserve">Provjera.</w:t>
            </w:r>
            <w:r>
              <w:rPr>
                <w:rFonts w:ascii="Arial" w:cs="Arial" w:eastAsia="Arial" w:hAnsi="Arial"/>
                <w:sz w:val="18"/>
                <w:szCs w:val="18"/>
              </w:rPr>
              <w:t xml:space="preserve"> Komisija može zatražiti dodatne dokaze, razgovor sa podnosiocem, ili da rukovodilac ogranka ili član udruženja obiđe korisnika. Nalaz obilaska se unosi u spis.</w:t>
            </w:r>
          </w:p>
          <w:p>
            <w:pPr>
              <w:pStyle w:val="ListParagraph"/>
              <w:numPr>
                <w:ilvl w:val="0"/>
                <w:numId w:val="7"/>
              </w:numPr>
              <w:spacing w:after="40"/>
            </w:pPr>
            <w:r>
              <w:rPr>
                <w:rFonts w:ascii="Arial" w:cs="Arial" w:eastAsia="Arial" w:hAnsi="Arial"/>
                <w:b/>
                <w:bCs/>
                <w:sz w:val="18"/>
                <w:szCs w:val="18"/>
              </w:rPr>
              <w:t xml:space="preserve">Odluka.</w:t>
            </w:r>
            <w:r>
              <w:rPr>
                <w:rFonts w:ascii="Arial" w:cs="Arial" w:eastAsia="Arial" w:hAnsi="Arial"/>
                <w:sz w:val="18"/>
                <w:szCs w:val="18"/>
              </w:rPr>
              <w:t xml:space="preserve"> Komisija odlučuje u roku od 21 dan od dana kompletiranja prijave. Odluka sadrži: korisnika, iznos, namjenu, način isplate, uslove, bodove po kriterijumima i razloge.</w:t>
            </w:r>
          </w:p>
          <w:p>
            <w:pPr>
              <w:pStyle w:val="ListParagraph"/>
              <w:numPr>
                <w:ilvl w:val="0"/>
                <w:numId w:val="7"/>
              </w:numPr>
              <w:spacing w:after="40"/>
            </w:pPr>
            <w:r>
              <w:rPr>
                <w:rFonts w:ascii="Arial" w:cs="Arial" w:eastAsia="Arial" w:hAnsi="Arial"/>
                <w:b/>
                <w:bCs/>
                <w:sz w:val="18"/>
                <w:szCs w:val="18"/>
              </w:rPr>
              <w:t xml:space="preserve">Obavještenje.</w:t>
            </w:r>
            <w:r>
              <w:rPr>
                <w:rFonts w:ascii="Arial" w:cs="Arial" w:eastAsia="Arial" w:hAnsi="Arial"/>
                <w:sz w:val="18"/>
                <w:szCs w:val="18"/>
              </w:rPr>
              <w:t xml:space="preserve"> Podnosilac se pisano obavještava u roku od pet dana od odluke. Odbijeni podnosilac dobija razloge i može jednom zatražiti ponovno razmatranje u roku od 15 dana, sa novim dokazima; Komisija odlučuje na prvoj narednoj sjednici i ta odluka je konačna.</w:t>
            </w:r>
          </w:p>
          <w:p>
            <w:pPr>
              <w:pStyle w:val="ListParagraph"/>
              <w:numPr>
                <w:ilvl w:val="0"/>
                <w:numId w:val="7"/>
              </w:numPr>
              <w:spacing w:after="40"/>
            </w:pPr>
            <w:r>
              <w:rPr>
                <w:rFonts w:ascii="Arial" w:cs="Arial" w:eastAsia="Arial" w:hAnsi="Arial"/>
                <w:b/>
                <w:bCs/>
                <w:sz w:val="18"/>
                <w:szCs w:val="18"/>
              </w:rPr>
              <w:t xml:space="preserve">Sprovođenje.</w:t>
            </w:r>
            <w:r>
              <w:rPr>
                <w:rFonts w:ascii="Arial" w:cs="Arial" w:eastAsia="Arial" w:hAnsi="Arial"/>
                <w:sz w:val="18"/>
                <w:szCs w:val="18"/>
              </w:rPr>
              <w:t xml:space="preserve"> Izvršni direktor sprovodi odluku u roku od deset dana od ispunjenja uslova.</w:t>
            </w:r>
          </w:p>
        </w:tc>
        <w:tc>
          <w:tcPr>
            <w:tcW w:type="dxa" w:w="4953"/>
            <w:tcMar>
              <w:top w:type="dxa" w:w="80"/>
              <w:left w:type="dxa" w:w="100"/>
              <w:bottom w:type="dxa" w:w="80"/>
              <w:right w:type="dxa" w:w="100"/>
            </w:tcMar>
          </w:tcPr>
          <w:p>
            <w:pPr>
              <w:pStyle w:val="ListParagraph"/>
              <w:numPr>
                <w:ilvl w:val="0"/>
                <w:numId w:val="8"/>
              </w:numPr>
              <w:spacing w:after="40"/>
            </w:pPr>
            <w:r>
              <w:rPr>
                <w:rFonts w:ascii="Arial" w:cs="Arial" w:eastAsia="Arial" w:hAnsi="Arial"/>
                <w:b/>
                <w:bCs/>
                <w:sz w:val="18"/>
                <w:szCs w:val="18"/>
              </w:rPr>
              <w:t xml:space="preserve">Receipt.</w:t>
            </w:r>
            <w:r>
              <w:rPr>
                <w:rFonts w:ascii="Arial" w:cs="Arial" w:eastAsia="Arial" w:hAnsi="Arial"/>
                <w:sz w:val="18"/>
                <w:szCs w:val="18"/>
              </w:rPr>
              <w:t xml:space="preserve"> The Executive Director, or a person designated by the Director, acknowledges receipt within three working days and checks only whether the application is complete, without assessing its merits.</w:t>
            </w:r>
          </w:p>
          <w:p>
            <w:pPr>
              <w:pStyle w:val="ListParagraph"/>
              <w:numPr>
                <w:ilvl w:val="0"/>
                <w:numId w:val="8"/>
              </w:numPr>
              <w:spacing w:after="40"/>
            </w:pPr>
            <w:r>
              <w:rPr>
                <w:rFonts w:ascii="Arial" w:cs="Arial" w:eastAsia="Arial" w:hAnsi="Arial"/>
                <w:b/>
                <w:bCs/>
                <w:sz w:val="18"/>
                <w:szCs w:val="18"/>
              </w:rPr>
              <w:t xml:space="preserve">Preparation.</w:t>
            </w:r>
            <w:r>
              <w:rPr>
                <w:rFonts w:ascii="Arial" w:cs="Arial" w:eastAsia="Arial" w:hAnsi="Arial"/>
                <w:sz w:val="18"/>
                <w:szCs w:val="18"/>
              </w:rPr>
              <w:t xml:space="preserve"> The complete application with its attachments and a short summary is sent to the members of the Committee at least five days before the meeting. The summary contains no recommendation.</w:t>
            </w:r>
          </w:p>
          <w:p>
            <w:pPr>
              <w:pStyle w:val="ListParagraph"/>
              <w:numPr>
                <w:ilvl w:val="0"/>
                <w:numId w:val="8"/>
              </w:numPr>
              <w:spacing w:after="40"/>
            </w:pPr>
            <w:r>
              <w:rPr>
                <w:rFonts w:ascii="Arial" w:cs="Arial" w:eastAsia="Arial" w:hAnsi="Arial"/>
                <w:b/>
                <w:bCs/>
                <w:sz w:val="18"/>
                <w:szCs w:val="18"/>
              </w:rPr>
              <w:t xml:space="preserve">Verification.</w:t>
            </w:r>
            <w:r>
              <w:rPr>
                <w:rFonts w:ascii="Arial" w:cs="Arial" w:eastAsia="Arial" w:hAnsi="Arial"/>
                <w:sz w:val="18"/>
                <w:szCs w:val="18"/>
              </w:rPr>
              <w:t xml:space="preserve"> The Committee may request further evidence, an interview with the applicant, or a visit to the beneficiary by a chapter lead or a member of the association. The findings of the visit are entered in the file.</w:t>
            </w:r>
          </w:p>
          <w:p>
            <w:pPr>
              <w:pStyle w:val="ListParagraph"/>
              <w:numPr>
                <w:ilvl w:val="0"/>
                <w:numId w:val="8"/>
              </w:numPr>
              <w:spacing w:after="40"/>
            </w:pPr>
            <w:r>
              <w:rPr>
                <w:rFonts w:ascii="Arial" w:cs="Arial" w:eastAsia="Arial" w:hAnsi="Arial"/>
                <w:b/>
                <w:bCs/>
                <w:sz w:val="18"/>
                <w:szCs w:val="18"/>
              </w:rPr>
              <w:t xml:space="preserve">Decision.</w:t>
            </w:r>
            <w:r>
              <w:rPr>
                <w:rFonts w:ascii="Arial" w:cs="Arial" w:eastAsia="Arial" w:hAnsi="Arial"/>
                <w:sz w:val="18"/>
                <w:szCs w:val="18"/>
              </w:rPr>
              <w:t xml:space="preserve"> The Committee decides within 21 days of the day the application is complete. The decision contains: the beneficiary, the amount, the purpose, the method of payment, the conditions, the points per criterion and the reasons.</w:t>
            </w:r>
          </w:p>
          <w:p>
            <w:pPr>
              <w:pStyle w:val="ListParagraph"/>
              <w:numPr>
                <w:ilvl w:val="0"/>
                <w:numId w:val="8"/>
              </w:numPr>
              <w:spacing w:after="40"/>
            </w:pPr>
            <w:r>
              <w:rPr>
                <w:rFonts w:ascii="Arial" w:cs="Arial" w:eastAsia="Arial" w:hAnsi="Arial"/>
                <w:b/>
                <w:bCs/>
                <w:sz w:val="18"/>
                <w:szCs w:val="18"/>
              </w:rPr>
              <w:t xml:space="preserve">Notification.</w:t>
            </w:r>
            <w:r>
              <w:rPr>
                <w:rFonts w:ascii="Arial" w:cs="Arial" w:eastAsia="Arial" w:hAnsi="Arial"/>
                <w:sz w:val="18"/>
                <w:szCs w:val="18"/>
              </w:rPr>
              <w:t xml:space="preserve"> The applicant is notified in writing within five days of the decision. A declined applicant receives the reasons and may once request reconsideration within 15 days, with new evidence; the Committee decides at its next meeting and that decision is final.</w:t>
            </w:r>
          </w:p>
          <w:p>
            <w:pPr>
              <w:pStyle w:val="ListParagraph"/>
              <w:numPr>
                <w:ilvl w:val="0"/>
                <w:numId w:val="8"/>
              </w:numPr>
              <w:spacing w:after="40"/>
            </w:pPr>
            <w:r>
              <w:rPr>
                <w:rFonts w:ascii="Arial" w:cs="Arial" w:eastAsia="Arial" w:hAnsi="Arial"/>
                <w:b/>
                <w:bCs/>
                <w:sz w:val="18"/>
                <w:szCs w:val="18"/>
              </w:rPr>
              <w:t xml:space="preserve">Implementation.</w:t>
            </w:r>
            <w:r>
              <w:rPr>
                <w:rFonts w:ascii="Arial" w:cs="Arial" w:eastAsia="Arial" w:hAnsi="Arial"/>
                <w:sz w:val="18"/>
                <w:szCs w:val="18"/>
              </w:rPr>
              <w:t xml:space="preserve"> The Executive Director implements the decision within ten days of the conditions being met.</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10. Sukob interesa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10. Conflicts of interest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Komisije koji je sa korisnikom ili podnosiocem u srodstvu, poslovnom, radnom, susjedskom ili drugom ličnom odnosu, ili je sam predložio korisnika, prijavljuje to prije rasprave i ne učestvuje ni u raspravi ni u glasanju. Prijava i izuzeće se unose u zapisnik i u objavljeni sažetak odluke.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of the Committee who is related to the beneficiary or the applicant, or is in a business, employment, neighbourly or other personal relationship with them, or who proposed the beneficiary, declares this before the discussion and takes no part in the discussion or the vote. The declaration and the recusal are entered in the minutes and in the published summary of the decision.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se zbog izuzeća ne može obezbijediti kvorum, odluku donose preostali članovi jednoglasno.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a quorum cannot be reached because of recusals, the remaining members take the decision unanimously.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Član Komisije ne smije primiti nikakvu korist, poklon ili uslugu od korisnika, podnosioca ili dobavljača.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member of the Committee may not accept any benefit, gift or favour from a beneficiary, applicant or supplier.</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11. Isplata i dokumentacija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11. Payment and documentation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se po pravilu plaćaju direktno dobavljaču (bolnici, apoteci, prodavcu, izvođaču, školi) na osnovu računa ili predračuna. Isplata korisniku na račun moguća je kada plaćanje dobavljaču nije moguće; isplata u gotovini samo izuzetno, do [[PLACEHOLDER: iznos]] EUR, uz potpisanu potvrdu o prijemu.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Funds are as a rule paid directly to the supplier (hospital, pharmacy, seller, contractor, school) against an invoice or pro forma invoice. Payment to the beneficiary's account is possible where payment to the supplier is not possible; payment in cash only exceptionally, up to [[PLACEHOLDER: amount]] EUR, against a signed receipt.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svaku dodjelu se u spisu čuvaju: odluka Komisije sa oznakom, prijava sa prilozima, račun ili predračun, dokaz o plaćanju, i potvrda korisnika da je trošak izvršen ili roba primljena, u roku od 30 dana od isplate.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each allocation the file keeps: the Committee's decision with its reference, the application with its attachments, the invoice or pro forma invoice, proof of payment, and the beneficiary's confirmation that the cost has been met or the goods received, within 30 days of payment.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Neiskorišćena sredstva se vraćaju udruženju. Ako se sredstva iskoriste suprotno namjeni, Komisija može zatražiti povraćaj, a korisnik gubi pravo na nove prijave narednih [[PLACEHOLDER: broj]] mjeseci.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Unused funds are returned to the association. If funds are used contrary to their purpose, the Committee may request their return, and the beneficiary loses the right to make new applications for the following [[PLACEHOLDER: number]] months.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12. Objavljivanje i zaštita privatnosti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12. Publication and privacy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svaku dodjelu udruženje u javnom registru na svojoj internet stranici objavljuje: datum, iznos, kategoriju, ogranak i opis korisnika u obliku koji ne otkriva identitet (na primjer: „Porodica iz Tivta, troškovi liječenja, 1.200 EUR“), kao i oznaku odluke Komisije.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each allocation the association publishes in the public ledger on its website: the date, the amount, the category, the chapter and a description of the beneficiary in a form that does not reveal their identity (for example: "Family from Tivat, medical costs, 1,200 EUR"), together with the reference of the Committee's decision.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objavljuju se: ime i prezime, adresa, dijagnoza, fotografije ni bilo koji podatak koji omogućava prepoznavanje korisnika, osim uz izričitu, posebnu i opozivu pisanu saglasnost korisnika. Dijete se ne može prepoznati ni uz saglasnost roditelja, osim imenom i uzrastom u priči objavljenoj uz saglasnost oba roditelja ili staratelja.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following are not published: name and surname, address, diagnosis, photographs or any data that would allow the beneficiary to be identified, except with the beneficiary's explicit, separate and revocable written consent. A child may not be made identifiable even with a parent's consent, other than by first name and age in a story published with the consent of both parents or the guardian.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Lični podaci iz prijava dostupni su samo članovima Komisije i licima koja pripremaju spis. Čuvaju se [[PLACEHOLDER: broj]] godina od posljednje isplate, zatim se brišu, osim podataka koje zakon nalaže duže čuvati.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Personal data from applications is accessible only to the members of the Committee and to the persons who prepare the file. It is kept for [[PLACEHOLDER: number]] years from the last payment and then deleted, except for data that the law requires to be kept longer.</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13. Evidencija, izvještavanje i izmjene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13. Records, reporting and amendments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vodi registar odluka sa rednim brojem, datumom, iznosom, kategorijom i ishodom, koji se koristi kao oznaka odluke u javnom registru.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Committee keeps a register of decisions with a serial number, date, amount, category and outcome, which is used as the decision reference in the public ledger.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podnosi Skupštini i Upravnom odboru godišnji izvještaj sa brojem primljenih, odobrenih i odbijenih prijava, ukupnim iznosima po kategoriji i ogranku, prosječnim rokom odlučivanja i brojem izuzeća zbog sukoba interesa.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Committee submits to the Assembly and the Board an annual report with the number of applications received, approved and declined, the total amounts by category and chapter, the average time to decision and the number of recusals for conflict of interest.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Komisija najmanje jednom godišnje preispituje ove kriterijume i predlaže Upravnom odboru izmjene. Izmjene se objavljuju najmanje 15 dana prije primjene i ne primjenjuju se na prijave podnijete prije objavljivanja.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Committee reviews these criteria at least once a year and proposes amendments to the Board. Amendments are published at least 15 days before they apply and do not apply to applications submitted before publication.</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2026-09-28T12:40:27.811Z</dcterms:created>
  <dcterms:modified xsi:type="dcterms:W3CDTF">2026-09-28T12:40:27.812Z</dcterms:modified>
</cp:coreProperties>
</file>

<file path=docProps/custom.xml><?xml version="1.0" encoding="utf-8"?>
<Properties xmlns="http://schemas.openxmlformats.org/officeDocument/2006/custom-properties" xmlns:vt="http://schemas.openxmlformats.org/officeDocument/2006/docPropsVTypes"/>
</file>