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Politika zaštite djece / Child Safeguarding Policy</w:t>
      </w:r>
    </w:p>
    <w:tbl>
      <w:tblPr>
        <w:tblW w:type="dxa" w:w="9906"/>
        <w:tblBorders>
          <w:top w:val="single" w:color="C9D3D7" w:sz="4"/>
          <w:left w:val="single" w:color="C9D3D7" w:sz="4"/>
          <w:bottom w:val="single" w:color="C9D3D7" w:sz="4"/>
          <w:right w:val="single" w:color="C9D3D7" w:sz="4"/>
          <w:insideH w:val="single" w:color="C9D3D7" w:sz="4"/>
          <w:insideV w:val="single" w:color="C9D3D7" w:sz="4"/>
        </w:tblBorders>
      </w:tblPr>
      <w:tblGrid>
        <w:gridCol w:w="4953"/>
        <w:gridCol w:w="4953"/>
      </w:tblGrid>
      <w:tr>
        <w:trPr>
          <w:tblHeader/>
        </w:trPr>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Crnogorski (mjerodavan tekst)</w:t>
            </w:r>
          </w:p>
        </w:tc>
        <w:tc>
          <w:tcPr>
            <w:tcW w:type="dxa" w:w="4953"/>
            <w:shd w:fill="F6F3EE" w:color="auto" w:val="clear"/>
            <w:tcMar>
              <w:top w:type="dxa" w:w="80"/>
              <w:left w:type="dxa" w:w="100"/>
              <w:bottom w:type="dxa" w:w="80"/>
              <w:right w:type="dxa" w:w="100"/>
            </w:tcMar>
          </w:tcPr>
          <w:p>
            <w:r>
              <w:rPr>
                <w:rFonts w:ascii="Arial" w:cs="Arial" w:eastAsia="Arial" w:hAnsi="Arial"/>
                <w:b/>
                <w:bCs/>
                <w:color w:val="36434B"/>
                <w:sz w:val="18"/>
                <w:szCs w:val="18"/>
              </w:rPr>
              <w:t xml:space="preserve">English (translation)</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 OPŠTE ODREDBE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 GENERAL PROVISIONS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 — Svrha i načelo</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 — Purpose and principle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Ova politika uređuje kako udruženje štiti djecu i ranjiva lica u svemu što radi: na događajima, u radu sa korisnicima, u komunikaciji i objavljivanju, i u radu ogranaka.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This policy governs how the association protects children and vulnerable adults in everything it does: at events, in work with beneficiaries, in communication and publishing, and in the work of chapters.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Dobrobit djeteta ide ispred programa, fotografije, rezultata, sponzora i rasporeda. U sumnji se odlučuje u korist djeteta, i ako to znači prekid aktivnosti ili neprijatnu odluku.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welfare of the child comes before the programme, the photograph, the result, the sponsor and the schedule. In doubt, the decision is made in the child's favour, even if that means stopping an activity or taking an uncomfortable decision.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 — Pojmovi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 — Definitions</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Dijete</w:t>
            </w:r>
            <w:r>
              <w:rPr>
                <w:rFonts w:ascii="Arial" w:cs="Arial" w:eastAsia="Arial" w:hAnsi="Arial"/>
                <w:sz w:val="18"/>
                <w:szCs w:val="18"/>
              </w:rPr>
              <w:t xml:space="preserve"> je svako lice mlađe od 18 godina.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w:t>
            </w:r>
            <w:r>
              <w:rPr>
                <w:rFonts w:ascii="Arial" w:cs="Arial" w:eastAsia="Arial" w:hAnsi="Arial"/>
                <w:b/>
                <w:bCs/>
                <w:sz w:val="18"/>
                <w:szCs w:val="18"/>
              </w:rPr>
              <w:t xml:space="preserve">child</w:t>
            </w:r>
            <w:r>
              <w:rPr>
                <w:rFonts w:ascii="Arial" w:cs="Arial" w:eastAsia="Arial" w:hAnsi="Arial"/>
                <w:sz w:val="18"/>
                <w:szCs w:val="18"/>
              </w:rPr>
              <w:t xml:space="preserve"> is any person under 18 years of age.</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Ranjivo lice</w:t>
            </w:r>
            <w:r>
              <w:rPr>
                <w:rFonts w:ascii="Arial" w:cs="Arial" w:eastAsia="Arial" w:hAnsi="Arial"/>
                <w:sz w:val="18"/>
                <w:szCs w:val="18"/>
              </w:rPr>
              <w:t xml:space="preserve"> je punoljetno lice koje zbog invaliditeta, bolesti, starosti ili životnih okolnosti nije u stanju da se samo zaštiti od zanemarivanja, iskorišćavanja ili zlostavljanja, uključujući korisnike sredstava udruženja u takvom položaju.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w:t>
            </w:r>
            <w:r>
              <w:rPr>
                <w:rFonts w:ascii="Arial" w:cs="Arial" w:eastAsia="Arial" w:hAnsi="Arial"/>
                <w:b/>
                <w:bCs/>
                <w:sz w:val="18"/>
                <w:szCs w:val="18"/>
              </w:rPr>
              <w:t xml:space="preserve">vulnerable adult</w:t>
            </w:r>
            <w:r>
              <w:rPr>
                <w:rFonts w:ascii="Arial" w:cs="Arial" w:eastAsia="Arial" w:hAnsi="Arial"/>
                <w:sz w:val="18"/>
                <w:szCs w:val="18"/>
              </w:rPr>
              <w:t xml:space="preserve"> is an adult who, because of disability, illness, age or life circumstances, is unable to protect themselves from neglect, exploitation or abuse, including beneficiaries of the association's funds who are in that position.</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Zlostavljanje</w:t>
            </w:r>
            <w:r>
              <w:rPr>
                <w:rFonts w:ascii="Arial" w:cs="Arial" w:eastAsia="Arial" w:hAnsi="Arial"/>
                <w:sz w:val="18"/>
                <w:szCs w:val="18"/>
              </w:rPr>
              <w:t xml:space="preserve"> obuhvata fizičko, emocionalno i seksualno zlostavljanje, zanemarivanje, iskorišćavanje, vršnjačko nasilje i nasilje putem interneta.</w:t>
            </w:r>
          </w:p>
        </w:tc>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Abuse</w:t>
            </w:r>
            <w:r>
              <w:rPr>
                <w:rFonts w:ascii="Arial" w:cs="Arial" w:eastAsia="Arial" w:hAnsi="Arial"/>
                <w:sz w:val="18"/>
                <w:szCs w:val="18"/>
              </w:rPr>
              <w:t xml:space="preserve"> covers physical, emotional and sexual abuse, neglect, exploitation, peer violence and online abuse.</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Obveznik</w:t>
            </w:r>
            <w:r>
              <w:rPr>
                <w:rFonts w:ascii="Arial" w:cs="Arial" w:eastAsia="Arial" w:hAnsi="Arial"/>
                <w:sz w:val="18"/>
                <w:szCs w:val="18"/>
              </w:rPr>
              <w:t xml:space="preserve"> je svako lice iz člana 3.</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w:t>
            </w:r>
            <w:r>
              <w:rPr>
                <w:rFonts w:ascii="Arial" w:cs="Arial" w:eastAsia="Arial" w:hAnsi="Arial"/>
                <w:b/>
                <w:bCs/>
                <w:sz w:val="18"/>
                <w:szCs w:val="18"/>
              </w:rPr>
              <w:t xml:space="preserve">covered person</w:t>
            </w:r>
            <w:r>
              <w:rPr>
                <w:rFonts w:ascii="Arial" w:cs="Arial" w:eastAsia="Arial" w:hAnsi="Arial"/>
                <w:sz w:val="18"/>
                <w:szCs w:val="18"/>
              </w:rPr>
              <w:t xml:space="preserve"> is any person listed in Article 3.</w:t>
            </w:r>
          </w:p>
        </w:tc>
      </w:tr>
      <w:tr>
        <w:tc>
          <w:tcPr>
            <w:tcW w:type="dxa" w:w="4953"/>
            <w:tcMar>
              <w:top w:type="dxa" w:w="80"/>
              <w:left w:type="dxa" w:w="100"/>
              <w:bottom w:type="dxa" w:w="80"/>
              <w:right w:type="dxa" w:w="100"/>
            </w:tcMar>
          </w:tcPr>
          <w:p>
            <w:pPr>
              <w:spacing w:after="100"/>
            </w:pPr>
            <w:r>
              <w:rPr>
                <w:rFonts w:ascii="Arial" w:cs="Arial" w:eastAsia="Arial" w:hAnsi="Arial"/>
                <w:b/>
                <w:bCs/>
                <w:sz w:val="18"/>
                <w:szCs w:val="18"/>
              </w:rPr>
              <w:t xml:space="preserve">Lice za zaštitu</w:t>
            </w:r>
            <w:r>
              <w:rPr>
                <w:rFonts w:ascii="Arial" w:cs="Arial" w:eastAsia="Arial" w:hAnsi="Arial"/>
                <w:sz w:val="18"/>
                <w:szCs w:val="18"/>
              </w:rPr>
              <w:t xml:space="preserve"> je nacionalno lice za zaštitu djece ili lice za zaštitu djece na događaju (dio III).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w:t>
            </w:r>
            <w:r>
              <w:rPr>
                <w:rFonts w:ascii="Arial" w:cs="Arial" w:eastAsia="Arial" w:hAnsi="Arial"/>
                <w:b/>
                <w:bCs/>
                <w:sz w:val="18"/>
                <w:szCs w:val="18"/>
              </w:rPr>
              <w:t xml:space="preserve">safeguarding lead</w:t>
            </w:r>
            <w:r>
              <w:rPr>
                <w:rFonts w:ascii="Arial" w:cs="Arial" w:eastAsia="Arial" w:hAnsi="Arial"/>
                <w:sz w:val="18"/>
                <w:szCs w:val="18"/>
              </w:rPr>
              <w:t xml:space="preserve"> is the national child safeguarding lead or the event child safeguarding lead (Part III).</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3 — Na koga se primjenjuje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3 — Who is bound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Politika obavezuje: osnivače, članove organa, Izvršnog direktora, zaposlene, lica i članove ogranaka, volontere, fotografe i snimatelje, spoljne saradnike, i partnere (klubove, škole, izvođače) u dijelu u kome učestvuju u aktivnosti udruženja. Partner koji ima sopstvenu politiku zaštite djece primjenjuje strožije pravilo od dva.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policy binds: the founders, members of the bodies, the Executive Director, employees, chapter officers and members, volunteers, photographers and camera operators, external contractors, and partners (clubs, schools, suppliers) for the part in which they take part in the association's activity. A partner with its own child safeguarding policy applies the stricter of the two rules.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Prihvatanje funkcije, zadatka ili angažmana podrazumijeva prihvatanje ove politike. Obveznici sa zadacima koji uključuju djecu potpisuju izjavu iz člana 9.</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Accepting a function, task or engagement means accepting this policy. Covered persons with child-facing tasks sign the declaration under Article 9.</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II. PRAVILA PONAŠANJA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II. CODE OF CONDUCT</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4 — Uvijek</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4 — Always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Obveznik:</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covered person:</w:t>
            </w:r>
          </w:p>
        </w:tc>
      </w:tr>
      <w:tr>
        <w:tc>
          <w:tcPr>
            <w:tcW w:type="dxa" w:w="4953"/>
            <w:tcMar>
              <w:top w:type="dxa" w:w="80"/>
              <w:left w:type="dxa" w:w="100"/>
              <w:bottom w:type="dxa" w:w="80"/>
              <w:right w:type="dxa" w:w="100"/>
            </w:tcMar>
          </w:tcPr>
          <w:p>
            <w:pPr>
              <w:pStyle w:val="ListParagraph"/>
              <w:numPr>
                <w:ilvl w:val="0"/>
                <w:numId w:val="2"/>
              </w:numPr>
              <w:spacing w:after="40"/>
            </w:pPr>
            <w:r>
              <w:rPr>
                <w:rFonts w:ascii="Arial" w:cs="Arial" w:eastAsia="Arial" w:hAnsi="Arial"/>
                <w:sz w:val="18"/>
                <w:szCs w:val="18"/>
              </w:rPr>
              <w:t xml:space="preserve">postupa prema svakom djetetu sa poštovanjem, bez obzira na pol, porijeklo, jezik, vjeru, invaliditet ili porodične prilike;</w:t>
            </w:r>
          </w:p>
          <w:p>
            <w:pPr>
              <w:pStyle w:val="ListParagraph"/>
              <w:numPr>
                <w:ilvl w:val="0"/>
                <w:numId w:val="2"/>
              </w:numPr>
              <w:spacing w:after="40"/>
            </w:pPr>
            <w:r>
              <w:rPr>
                <w:rFonts w:ascii="Arial" w:cs="Arial" w:eastAsia="Arial" w:hAnsi="Arial"/>
                <w:sz w:val="18"/>
                <w:szCs w:val="18"/>
              </w:rPr>
              <w:t xml:space="preserve">radi sa djecom samo u prisustvu najmanje još jedne odrasle osobe, u vidokrugu drugih;</w:t>
            </w:r>
          </w:p>
          <w:p>
            <w:pPr>
              <w:pStyle w:val="ListParagraph"/>
              <w:numPr>
                <w:ilvl w:val="0"/>
                <w:numId w:val="2"/>
              </w:numPr>
              <w:spacing w:after="40"/>
            </w:pPr>
            <w:r>
              <w:rPr>
                <w:rFonts w:ascii="Arial" w:cs="Arial" w:eastAsia="Arial" w:hAnsi="Arial"/>
                <w:sz w:val="18"/>
                <w:szCs w:val="18"/>
              </w:rPr>
              <w:t xml:space="preserve">razgovor sa djetetom vodi na otvorenom, u vidokrugu drugih;</w:t>
            </w:r>
          </w:p>
          <w:p>
            <w:pPr>
              <w:pStyle w:val="ListParagraph"/>
              <w:numPr>
                <w:ilvl w:val="0"/>
                <w:numId w:val="2"/>
              </w:numPr>
              <w:spacing w:after="40"/>
            </w:pPr>
            <w:r>
              <w:rPr>
                <w:rFonts w:ascii="Arial" w:cs="Arial" w:eastAsia="Arial" w:hAnsi="Arial"/>
                <w:sz w:val="18"/>
                <w:szCs w:val="18"/>
              </w:rPr>
              <w:t xml:space="preserve">kada dijete zatraži pomoć (toalet, presvlačenje, povreda), zove roditelja ili staratelja, a do tada ostaju prisutne dvije odrasle osobe;</w:t>
            </w:r>
          </w:p>
          <w:p>
            <w:pPr>
              <w:pStyle w:val="ListParagraph"/>
              <w:numPr>
                <w:ilvl w:val="0"/>
                <w:numId w:val="2"/>
              </w:numPr>
              <w:spacing w:after="40"/>
            </w:pPr>
            <w:r>
              <w:rPr>
                <w:rFonts w:ascii="Arial" w:cs="Arial" w:eastAsia="Arial" w:hAnsi="Arial"/>
                <w:sz w:val="18"/>
                <w:szCs w:val="18"/>
              </w:rPr>
              <w:t xml:space="preserve">sluša dijete i shvata ozbiljno ono što kaže;</w:t>
            </w:r>
          </w:p>
          <w:p>
            <w:pPr>
              <w:pStyle w:val="ListParagraph"/>
              <w:numPr>
                <w:ilvl w:val="0"/>
                <w:numId w:val="2"/>
              </w:numPr>
              <w:spacing w:after="40"/>
            </w:pPr>
            <w:r>
              <w:rPr>
                <w:rFonts w:ascii="Arial" w:cs="Arial" w:eastAsia="Arial" w:hAnsi="Arial"/>
                <w:sz w:val="18"/>
                <w:szCs w:val="18"/>
              </w:rPr>
              <w:t xml:space="preserve">na događaju nosi vidljivu oznaku udruženja da ga djeca i roditelji prepoznaju;</w:t>
            </w:r>
          </w:p>
          <w:p>
            <w:pPr>
              <w:pStyle w:val="ListParagraph"/>
              <w:numPr>
                <w:ilvl w:val="0"/>
                <w:numId w:val="2"/>
              </w:numPr>
              <w:spacing w:after="40"/>
            </w:pPr>
            <w:r>
              <w:rPr>
                <w:rFonts w:ascii="Arial" w:cs="Arial" w:eastAsia="Arial" w:hAnsi="Arial"/>
                <w:sz w:val="18"/>
                <w:szCs w:val="18"/>
              </w:rPr>
              <w:t xml:space="preserve">prijavljuje svaku sumnju, svaki incident i svako kršenje ove politike, uključujući svoje.</w:t>
            </w:r>
          </w:p>
        </w:tc>
        <w:tc>
          <w:tcPr>
            <w:tcW w:type="dxa" w:w="4953"/>
            <w:tcMar>
              <w:top w:type="dxa" w:w="80"/>
              <w:left w:type="dxa" w:w="100"/>
              <w:bottom w:type="dxa" w:w="80"/>
              <w:right w:type="dxa" w:w="100"/>
            </w:tcMar>
          </w:tcPr>
          <w:p>
            <w:pPr>
              <w:pStyle w:val="ListParagraph"/>
              <w:numPr>
                <w:ilvl w:val="0"/>
                <w:numId w:val="3"/>
              </w:numPr>
              <w:spacing w:after="40"/>
            </w:pPr>
            <w:r>
              <w:rPr>
                <w:rFonts w:ascii="Arial" w:cs="Arial" w:eastAsia="Arial" w:hAnsi="Arial"/>
                <w:sz w:val="18"/>
                <w:szCs w:val="18"/>
              </w:rPr>
              <w:t xml:space="preserve">treats every child with respect, regardless of sex, origin, language, religion, disability or family circumstances;</w:t>
            </w:r>
          </w:p>
          <w:p>
            <w:pPr>
              <w:pStyle w:val="ListParagraph"/>
              <w:numPr>
                <w:ilvl w:val="0"/>
                <w:numId w:val="3"/>
              </w:numPr>
              <w:spacing w:after="40"/>
            </w:pPr>
            <w:r>
              <w:rPr>
                <w:rFonts w:ascii="Arial" w:cs="Arial" w:eastAsia="Arial" w:hAnsi="Arial"/>
                <w:sz w:val="18"/>
                <w:szCs w:val="18"/>
              </w:rPr>
              <w:t xml:space="preserve">works with children only in the presence of at least one other adult, in view of others;</w:t>
            </w:r>
          </w:p>
          <w:p>
            <w:pPr>
              <w:pStyle w:val="ListParagraph"/>
              <w:numPr>
                <w:ilvl w:val="0"/>
                <w:numId w:val="3"/>
              </w:numPr>
              <w:spacing w:after="40"/>
            </w:pPr>
            <w:r>
              <w:rPr>
                <w:rFonts w:ascii="Arial" w:cs="Arial" w:eastAsia="Arial" w:hAnsi="Arial"/>
                <w:sz w:val="18"/>
                <w:szCs w:val="18"/>
              </w:rPr>
              <w:t xml:space="preserve">talks with a child in the open, in view of others;</w:t>
            </w:r>
          </w:p>
          <w:p>
            <w:pPr>
              <w:pStyle w:val="ListParagraph"/>
              <w:numPr>
                <w:ilvl w:val="0"/>
                <w:numId w:val="3"/>
              </w:numPr>
              <w:spacing w:after="40"/>
            </w:pPr>
            <w:r>
              <w:rPr>
                <w:rFonts w:ascii="Arial" w:cs="Arial" w:eastAsia="Arial" w:hAnsi="Arial"/>
                <w:sz w:val="18"/>
                <w:szCs w:val="18"/>
              </w:rPr>
              <w:t xml:space="preserve">when a child asks for help (toilet, changing, injury), calls the parent or guardian, and until then two adults remain present;</w:t>
            </w:r>
          </w:p>
          <w:p>
            <w:pPr>
              <w:pStyle w:val="ListParagraph"/>
              <w:numPr>
                <w:ilvl w:val="0"/>
                <w:numId w:val="3"/>
              </w:numPr>
              <w:spacing w:after="40"/>
            </w:pPr>
            <w:r>
              <w:rPr>
                <w:rFonts w:ascii="Arial" w:cs="Arial" w:eastAsia="Arial" w:hAnsi="Arial"/>
                <w:sz w:val="18"/>
                <w:szCs w:val="18"/>
              </w:rPr>
              <w:t xml:space="preserve">listens to the child and takes seriously what the child says;</w:t>
            </w:r>
          </w:p>
          <w:p>
            <w:pPr>
              <w:pStyle w:val="ListParagraph"/>
              <w:numPr>
                <w:ilvl w:val="0"/>
                <w:numId w:val="3"/>
              </w:numPr>
              <w:spacing w:after="40"/>
            </w:pPr>
            <w:r>
              <w:rPr>
                <w:rFonts w:ascii="Arial" w:cs="Arial" w:eastAsia="Arial" w:hAnsi="Arial"/>
                <w:sz w:val="18"/>
                <w:szCs w:val="18"/>
              </w:rPr>
              <w:t xml:space="preserve">at an event wears the association's visible identification so that children and parents recognise them;</w:t>
            </w:r>
          </w:p>
          <w:p>
            <w:pPr>
              <w:pStyle w:val="ListParagraph"/>
              <w:numPr>
                <w:ilvl w:val="0"/>
                <w:numId w:val="3"/>
              </w:numPr>
              <w:spacing w:after="40"/>
            </w:pPr>
            <w:r>
              <w:rPr>
                <w:rFonts w:ascii="Arial" w:cs="Arial" w:eastAsia="Arial" w:hAnsi="Arial"/>
                <w:sz w:val="18"/>
                <w:szCs w:val="18"/>
              </w:rPr>
              <w:t xml:space="preserve">reports every concern, every incident and every breach of this policy, including their own.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5 — Nikada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5 — Never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Obveznik nikada: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covered person never:</w:t>
            </w:r>
          </w:p>
        </w:tc>
      </w:tr>
      <w:tr>
        <w:tc>
          <w:tcPr>
            <w:tcW w:type="dxa" w:w="4953"/>
            <w:tcMar>
              <w:top w:type="dxa" w:w="80"/>
              <w:left w:type="dxa" w:w="100"/>
              <w:bottom w:type="dxa" w:w="80"/>
              <w:right w:type="dxa" w:w="100"/>
            </w:tcMar>
          </w:tcPr>
          <w:p>
            <w:pPr>
              <w:pStyle w:val="ListParagraph"/>
              <w:numPr>
                <w:ilvl w:val="0"/>
                <w:numId w:val="4"/>
              </w:numPr>
              <w:spacing w:after="40"/>
            </w:pPr>
            <w:r>
              <w:rPr>
                <w:rFonts w:ascii="Arial" w:cs="Arial" w:eastAsia="Arial" w:hAnsi="Arial"/>
                <w:sz w:val="18"/>
                <w:szCs w:val="18"/>
              </w:rPr>
              <w:t xml:space="preserve">ne ostaje nasamo sa djetetom van vidokruga drugih, ni u prostoriji, ni u vozilu, ni na vodi;</w:t>
            </w:r>
          </w:p>
          <w:p>
            <w:pPr>
              <w:pStyle w:val="ListParagraph"/>
              <w:numPr>
                <w:ilvl w:val="0"/>
                <w:numId w:val="4"/>
              </w:numPr>
              <w:spacing w:after="40"/>
            </w:pPr>
            <w:r>
              <w:rPr>
                <w:rFonts w:ascii="Arial" w:cs="Arial" w:eastAsia="Arial" w:hAnsi="Arial"/>
                <w:sz w:val="18"/>
                <w:szCs w:val="18"/>
              </w:rPr>
              <w:t xml:space="preserve">ne prevozi dijete svojim vozilom, osim u hitnom slučaju uz saglasnost roditelja i prisustvo druge odrasle osobe;</w:t>
            </w:r>
          </w:p>
          <w:p>
            <w:pPr>
              <w:pStyle w:val="ListParagraph"/>
              <w:numPr>
                <w:ilvl w:val="0"/>
                <w:numId w:val="4"/>
              </w:numPr>
              <w:spacing w:after="40"/>
            </w:pPr>
            <w:r>
              <w:rPr>
                <w:rFonts w:ascii="Arial" w:cs="Arial" w:eastAsia="Arial" w:hAnsi="Arial"/>
                <w:sz w:val="18"/>
                <w:szCs w:val="18"/>
              </w:rPr>
              <w:t xml:space="preserve">ne dogovara kontakt sa djetetom van aktivnosti udruženja niti komunicira sa djetetom privatnim porukama, pozivima ili na društvenim mrežama; komunikacija sa djetetom ide preko roditelja ili grupne poruke u kojoj je roditelj;</w:t>
            </w:r>
          </w:p>
          <w:p>
            <w:pPr>
              <w:pStyle w:val="ListParagraph"/>
              <w:numPr>
                <w:ilvl w:val="0"/>
                <w:numId w:val="4"/>
              </w:numPr>
              <w:spacing w:after="40"/>
            </w:pPr>
            <w:r>
              <w:rPr>
                <w:rFonts w:ascii="Arial" w:cs="Arial" w:eastAsia="Arial" w:hAnsi="Arial"/>
                <w:sz w:val="18"/>
                <w:szCs w:val="18"/>
              </w:rPr>
              <w:t xml:space="preserve">ne dodiruje dijete osim kada je to nužno radi bezbjednosti ili prve pomoći, i tada uz objašnjenje djetetu i u prisustvu drugih;</w:t>
            </w:r>
          </w:p>
          <w:p>
            <w:pPr>
              <w:pStyle w:val="ListParagraph"/>
              <w:numPr>
                <w:ilvl w:val="0"/>
                <w:numId w:val="4"/>
              </w:numPr>
              <w:spacing w:after="40"/>
            </w:pPr>
            <w:r>
              <w:rPr>
                <w:rFonts w:ascii="Arial" w:cs="Arial" w:eastAsia="Arial" w:hAnsi="Arial"/>
                <w:sz w:val="18"/>
                <w:szCs w:val="18"/>
              </w:rPr>
              <w:t xml:space="preserve">ne koristi neprimjeren jezik, ne zadirkuje, ne ponižava, ne prijeti i ne kažnjava;</w:t>
            </w:r>
          </w:p>
          <w:p>
            <w:pPr>
              <w:pStyle w:val="ListParagraph"/>
              <w:numPr>
                <w:ilvl w:val="0"/>
                <w:numId w:val="4"/>
              </w:numPr>
              <w:spacing w:after="40"/>
            </w:pPr>
            <w:r>
              <w:rPr>
                <w:rFonts w:ascii="Arial" w:cs="Arial" w:eastAsia="Arial" w:hAnsi="Arial"/>
                <w:sz w:val="18"/>
                <w:szCs w:val="18"/>
              </w:rPr>
              <w:t xml:space="preserve">ne fotografiše ni ne snima dijete privatnim uređajem; fotografije se prave samo po članu 15;</w:t>
            </w:r>
          </w:p>
          <w:p>
            <w:pPr>
              <w:pStyle w:val="ListParagraph"/>
              <w:numPr>
                <w:ilvl w:val="0"/>
                <w:numId w:val="4"/>
              </w:numPr>
              <w:spacing w:after="40"/>
            </w:pPr>
            <w:r>
              <w:rPr>
                <w:rFonts w:ascii="Arial" w:cs="Arial" w:eastAsia="Arial" w:hAnsi="Arial"/>
                <w:sz w:val="18"/>
                <w:szCs w:val="18"/>
              </w:rPr>
              <w:t xml:space="preserve">ne daje djetetu poklone, novac ni privilegije mimo programa;</w:t>
            </w:r>
          </w:p>
          <w:p>
            <w:pPr>
              <w:pStyle w:val="ListParagraph"/>
              <w:numPr>
                <w:ilvl w:val="0"/>
                <w:numId w:val="4"/>
              </w:numPr>
              <w:spacing w:after="40"/>
            </w:pPr>
            <w:r>
              <w:rPr>
                <w:rFonts w:ascii="Arial" w:cs="Arial" w:eastAsia="Arial" w:hAnsi="Arial"/>
                <w:sz w:val="18"/>
                <w:szCs w:val="18"/>
              </w:rPr>
              <w:t xml:space="preserve">ne konzumira alkohol ni druge supstance dok ima zadatak koji uključuje djecu;</w:t>
            </w:r>
          </w:p>
          <w:p>
            <w:pPr>
              <w:pStyle w:val="ListParagraph"/>
              <w:numPr>
                <w:ilvl w:val="0"/>
                <w:numId w:val="4"/>
              </w:numPr>
              <w:spacing w:after="40"/>
            </w:pPr>
            <w:r>
              <w:rPr>
                <w:rFonts w:ascii="Arial" w:cs="Arial" w:eastAsia="Arial" w:hAnsi="Arial"/>
                <w:sz w:val="18"/>
                <w:szCs w:val="18"/>
              </w:rPr>
              <w:t xml:space="preserve">ne dozvoljava djeci da rade zadatke koji su za odrasle (rukovanje novcem, rad na vodi, nošenje tereta, rad noću).</w:t>
            </w:r>
          </w:p>
        </w:tc>
        <w:tc>
          <w:tcPr>
            <w:tcW w:type="dxa" w:w="4953"/>
            <w:tcMar>
              <w:top w:type="dxa" w:w="80"/>
              <w:left w:type="dxa" w:w="100"/>
              <w:bottom w:type="dxa" w:w="80"/>
              <w:right w:type="dxa" w:w="100"/>
            </w:tcMar>
          </w:tcPr>
          <w:p>
            <w:pPr>
              <w:pStyle w:val="ListParagraph"/>
              <w:numPr>
                <w:ilvl w:val="0"/>
                <w:numId w:val="5"/>
              </w:numPr>
              <w:spacing w:after="40"/>
            </w:pPr>
            <w:r>
              <w:rPr>
                <w:rFonts w:ascii="Arial" w:cs="Arial" w:eastAsia="Arial" w:hAnsi="Arial"/>
                <w:sz w:val="18"/>
                <w:szCs w:val="18"/>
              </w:rPr>
              <w:t xml:space="preserve">stays alone with a child out of sight of others, whether in a room, in a vehicle or on the water;</w:t>
            </w:r>
          </w:p>
          <w:p>
            <w:pPr>
              <w:pStyle w:val="ListParagraph"/>
              <w:numPr>
                <w:ilvl w:val="0"/>
                <w:numId w:val="5"/>
              </w:numPr>
              <w:spacing w:after="40"/>
            </w:pPr>
            <w:r>
              <w:rPr>
                <w:rFonts w:ascii="Arial" w:cs="Arial" w:eastAsia="Arial" w:hAnsi="Arial"/>
                <w:sz w:val="18"/>
                <w:szCs w:val="18"/>
              </w:rPr>
              <w:t xml:space="preserve">transports a child in their own vehicle, except in an emergency with the parent's consent and another adult present;</w:t>
            </w:r>
          </w:p>
          <w:p>
            <w:pPr>
              <w:pStyle w:val="ListParagraph"/>
              <w:numPr>
                <w:ilvl w:val="0"/>
                <w:numId w:val="5"/>
              </w:numPr>
              <w:spacing w:after="40"/>
            </w:pPr>
            <w:r>
              <w:rPr>
                <w:rFonts w:ascii="Arial" w:cs="Arial" w:eastAsia="Arial" w:hAnsi="Arial"/>
                <w:sz w:val="18"/>
                <w:szCs w:val="18"/>
              </w:rPr>
              <w:t xml:space="preserve">arranges contact with a child outside the association's activity or communicates with a child by private messages, calls or on social networks; communication with a child goes through the parent or a group message that includes the parent;</w:t>
            </w:r>
          </w:p>
          <w:p>
            <w:pPr>
              <w:pStyle w:val="ListParagraph"/>
              <w:numPr>
                <w:ilvl w:val="0"/>
                <w:numId w:val="5"/>
              </w:numPr>
              <w:spacing w:after="40"/>
            </w:pPr>
            <w:r>
              <w:rPr>
                <w:rFonts w:ascii="Arial" w:cs="Arial" w:eastAsia="Arial" w:hAnsi="Arial"/>
                <w:sz w:val="18"/>
                <w:szCs w:val="18"/>
              </w:rPr>
              <w:t xml:space="preserve">touches a child except when necessary for safety or first aid, and then with an explanation to the child and in the presence of others;</w:t>
            </w:r>
          </w:p>
          <w:p>
            <w:pPr>
              <w:pStyle w:val="ListParagraph"/>
              <w:numPr>
                <w:ilvl w:val="0"/>
                <w:numId w:val="5"/>
              </w:numPr>
              <w:spacing w:after="40"/>
            </w:pPr>
            <w:r>
              <w:rPr>
                <w:rFonts w:ascii="Arial" w:cs="Arial" w:eastAsia="Arial" w:hAnsi="Arial"/>
                <w:sz w:val="18"/>
                <w:szCs w:val="18"/>
              </w:rPr>
              <w:t xml:space="preserve">uses inappropriate language, teases, humiliates, threatens or punishes;</w:t>
            </w:r>
          </w:p>
          <w:p>
            <w:pPr>
              <w:pStyle w:val="ListParagraph"/>
              <w:numPr>
                <w:ilvl w:val="0"/>
                <w:numId w:val="5"/>
              </w:numPr>
              <w:spacing w:after="40"/>
            </w:pPr>
            <w:r>
              <w:rPr>
                <w:rFonts w:ascii="Arial" w:cs="Arial" w:eastAsia="Arial" w:hAnsi="Arial"/>
                <w:sz w:val="18"/>
                <w:szCs w:val="18"/>
              </w:rPr>
              <w:t xml:space="preserve">photographs or films a child with a private device; photographs are taken only under Article 15;</w:t>
            </w:r>
          </w:p>
          <w:p>
            <w:pPr>
              <w:pStyle w:val="ListParagraph"/>
              <w:numPr>
                <w:ilvl w:val="0"/>
                <w:numId w:val="5"/>
              </w:numPr>
              <w:spacing w:after="40"/>
            </w:pPr>
            <w:r>
              <w:rPr>
                <w:rFonts w:ascii="Arial" w:cs="Arial" w:eastAsia="Arial" w:hAnsi="Arial"/>
                <w:sz w:val="18"/>
                <w:szCs w:val="18"/>
              </w:rPr>
              <w:t xml:space="preserve">gives a child gifts, money or privileges outside the programme;</w:t>
            </w:r>
          </w:p>
          <w:p>
            <w:pPr>
              <w:pStyle w:val="ListParagraph"/>
              <w:numPr>
                <w:ilvl w:val="0"/>
                <w:numId w:val="5"/>
              </w:numPr>
              <w:spacing w:after="40"/>
            </w:pPr>
            <w:r>
              <w:rPr>
                <w:rFonts w:ascii="Arial" w:cs="Arial" w:eastAsia="Arial" w:hAnsi="Arial"/>
                <w:sz w:val="18"/>
                <w:szCs w:val="18"/>
              </w:rPr>
              <w:t xml:space="preserve">consumes alcohol or other substances while on a task that involves children;</w:t>
            </w:r>
          </w:p>
          <w:p>
            <w:pPr>
              <w:pStyle w:val="ListParagraph"/>
              <w:numPr>
                <w:ilvl w:val="0"/>
                <w:numId w:val="5"/>
              </w:numPr>
              <w:spacing w:after="40"/>
            </w:pPr>
            <w:r>
              <w:rPr>
                <w:rFonts w:ascii="Arial" w:cs="Arial" w:eastAsia="Arial" w:hAnsi="Arial"/>
                <w:sz w:val="18"/>
                <w:szCs w:val="18"/>
              </w:rPr>
              <w:t xml:space="preserve">lets children do tasks meant for adults (handling money, work on the water, carrying loads, night work).</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6 — Vršnjačko nasilje i uključivanje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6 — Peer abuse and inclusion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Obveznici sprečavaju i prekidaju zadirkivanje, isključivanje i nasilje među djecom i o tome obavještavaju lice za zaštitu na događaju. Program se prilagođava tako da dijete sa invaliditetom ili smetnjama u razvoju može učestvovati, uz dogovor sa roditeljem o potrebnoj podršci.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Covered persons prevent and stop teasing, exclusion and violence among children and inform the event safeguarding lead. The programme is adapted so that a child with a disability or developmental difficulties can take part, with the parent agreeing on the support needed.</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III. ULOGE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III. ROLES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7 — Nacionalno lice za zaštitu djece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7 — National child safeguarding lead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Upravni odbor imenuje nacionalno lice za zaštitu djece, po mogućnosti sa iskustvom u radu sa djecom (obrazovanje, socijalni rad, zdravstvo, sport). Nacionalno lice: vodi primjenu ove politike; odobrava lica za zaštitu na događajima; daje saglasnost na događaje sa djecom i u vodi (Pravila o ograncima, član 11); vodi obuku; prima prijave i odlučuje o obavještavanju nadležnih organa zajedno sa Izvršnim direktorom; vodi evidenciju prijava; podnosi Upravnom odboru godišnji izvještaj i predlaže izmjene.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Board appoints a national child safeguarding lead, preferably with experience of working with children (education, social work, health, sport). The national lead: leads the application of this policy; approves the event safeguarding leads; gives consent to events with children and on the water (Chapter Rules, Article 11); runs training; receives reports and decides together with the Executive Director on notifying the competent authorities; keeps the register of reports; submits an annual report to the Board and proposes changes.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Nacionalno lice ne može biti Izvršni direktor. Njegovo ime i kontakt objavljuju se na internet stranici udruženja.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national lead may not be the Executive Director. Their name and contact details are published on the association's website.</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8 — Lice za zaštitu djece na događaju</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8 — Event child safeguarding lead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svaki događaj rukovodilac događaja imenuje lice za zaštitu djece na događaju, koje odobrava nacionalno lice. Ono: provjerava da su svi volonteri sa zadacima koji uključuju djecu prošli upoznavanje; sprovodi postupak za izgubljeno dijete i preuzimanje djece; prima prijave na događaju i postupa po dijelu VII; vidljivo je označeno i dostupno cijelo vrijeme događaja; ime mu se objavljuje na stranici događaja.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For every event the event manager appoints an event child safeguarding lead, approved by the national lead. The event lead: checks that all volunteers with child-facing tasks have been briefed; runs the lost-child and collection procedures; receives reports at the event and acts under Part VII; is visibly identified and reachable for the whole event; is named on the event page.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Lice za zaštitu na događaju ne može istovremeno biti rukovodilac događaja, sudija ni fotograf.</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event safeguarding lead may not at the same time be the event manager, a race official or the photographer.</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IV. IZBOR I OBUKA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IV. RECRUITMENT AND TRAINING</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9 — Zadaci koji uključuju djecu</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9 — Child-facing tasks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Zadaci koji uključuju rad sa djecom (dječija trka, čuvanje djece, animacija, podjela kostima djeci, lice za zaštitu) dodjeljuju se samo licima koja su: punoljetna; prošla upoznavanje iz člana 10; potpisala izjavu da prihvataju ovu politiku i da protiv njih nije vođen niti se vodi postupak za krivično djelo protiv djece, polne slobode ili nasilja u porodici; za stalne uloge (nacionalno lice, lica za zaštitu na događajima, zaposleni sa redovnim kontaktom sa djecom) dostavila uvjerenje o nekažnjavanju ne starije od šest mjeseci, [[PLACEHOLDER: potvrditi pravni osnov i obim, dio IX]].</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Tasks that involve working with children (the children's race, childminding, entertainment, handing out costumes to children, safeguarding lead) are assigned only to persons who: are adults; have been briefed under Article 10; have signed a declaration that they accept this policy and that no proceedings for a criminal offence against children, sexual freedom or domestic violence have been or are being conducted against them; and, for permanent roles (the national lead, event safeguarding leads, employees in regular contact with children), have provided a criminal record certificate not older than six months, [[PLACEHOLDER: confirm the legal basis and scope, Part IX]].</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Lice koje ne ispunjava uslove može volontirati na zadacima bez kontakta sa djecom.</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person who does not meet the conditions may volunteer on tasks without contact with children.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10 — Upoznavanje i obuka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10 — Briefing and training</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Svaki volonter prije svakog događaja prolazi upoznavanje od najmanje 15 minuta: pravila ponašanja iz dijela II, ko je lice za zaštitu, kako se prijavljuje sumnja, postupak za izgubljeno dijete, pravila fotografisanja. Evidencija upoznavanja (ime, datum, ko je vodio) unosi se u registar volontera.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Before every event, every volunteer receives a briefing of at least 15 minutes: the code of conduct in Part II, who the safeguarding lead is, how a concern is reported, the lost-child procedure, the photography rules. A record of the briefing (name, date, who gave it) is entered in the volunteer register.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Lica za zaštitu i lica ogranaka prolaze obuku od najmanje [[PLACEHOLDER: broj]] sati pri imenovanju i osvježenje jednom godišnje. Nacionalno lice vodi evidenciju obuka.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Safeguarding leads and chapter officers receive at least [[PLACEHOLDER: number]] hours' training on appointment and a refresher once a year. The national lead keeps the training records.</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 DOGAĐAJI</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 EVENTS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11 — Planiranje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11 — Planning</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Procjena rizika za svaki događaj sadrži poseban odjeljak o djeci: očekivani broj djece, uzrasne kategorije, odnos broja odraslih i djece za dječije aktivnosti (najmanje [[PLACEHOLDER: odnos, npr. 1 : 8]] za djecu do 8 godina i 1 : 12 za stariju djecu), tačku okupljanja za izgubljenu djecu, način preuzimanja djece, prvu pomoć, sanitarne uslove i posebne rizike (voda, saobraćaj, hladnoća, gužva).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risk assessment for every event contains a separate section on children: the expected number of children, age categories, the adult-to-child ratio for children's activities (at least [[PLACEHOLDER: ratio, e.g. 1 : 8]] for children up to 8 years and 1 : 12 for older children), the meeting point for lost children, the collection arrangements, first aid, sanitary facilities and specific risks (water, traffic, cold, crowds).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Događaj sa djecom odobrava se samo uz saglasnost nacionalnog lica (Pravila o ograncima, član 11).</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An event with children is approved only with the consent of the national lead (Chapter Rules, Article 11).</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12 — Prijava, uzrast i saglasnost roditelja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12 — Registration, age and parental consent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Dijete se prijavljuje na događaj isključivo preko roditelja ili staratelja, koji prihvata Uslove učešća i Izjavu o učešću i odlučuje o saglasnosti za fotografisanje. Minimalni uzrast po aktivnosti i distanci utvrđen je Uslovima učešća.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child is registered for an event exclusively through a parent or guardian, who accepts the Event Terms and the Participation Waiver and decides on consent to photography. The minimum age by activity and distance is set by the Event Terms.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Roditelj ili staratelj, ili punoljetno lice koje roditelj pisano odredi, prisutan je na događaju za dijete mlađe od [[PLACEHOLDER: uzrast, npr. 12]] godina. Za stariju djecu roditelj ostavlja broj telefona na kome je dostupan tokom događaja.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parent or guardian, or an adult designated by the parent in writing, is present at the event for a child under [[PLACEHOLDER: age, e.g. 12]] years of age. For older children the parent leaves a telephone number on which they can be reached during the event.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Dijete mlađe od [[PLACEHOLDER: uzrast]] godina predaje se po završetku aktivnosti samo roditelju ili licu koje je roditelj naveo pri prijavi; lice za zaštitu provjerava identitet ako ne poznaje lice.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child under [[PLACEHOLDER: age]] years of age is handed over at the end of the activity only to the parent or to the person the parent named at registration; the safeguarding lead checks identity if they do not know the person.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13 — Izgubljeno dijete i hitni slučajevi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13 — Lost child and emergencies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Kada se dijete izgubi: obveznik koji sazna obavještava lice za zaštitu; lice za zaštitu organizuje pretragu po zonama, obavještava roditelja i, ako se dijete ne nađe u roku od 15 minuta ili je u pitanju voda, policiju; pronađeno dijete ostaje sa dvije odrasle osobe na tački okupljanja do dolaska roditelja. Dijete koje je tim pronašao ne napušta tačku okupljanja ni sa kim osim sa roditeljem ili licem iz člana 12.</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When a child is lost: the covered person who learns of it informs the safeguarding lead; the safeguarding lead organises a search by zones, informs the parent and, if the child is not found within 15 minutes or water is involved, the police; a found child stays with two adults at the meeting point until the parent arrives. A child found by the team does not leave the meeting point with anyone other than the parent or the person under Article 12.</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Kod povrede djeteta prvu pomoć pruža medicinska služba događaja; roditelj se zove odmah; dvije odrasle osobe ostaju sa djetetom.</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If a child is injured, first aid is given by the event medical team; the parent is called at once; two adults stay with the child.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14 — Djeca u vodi i na dječijoj trci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14 — Children on the water and at the children's race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Aktivnosti djece u vodi održavaju se samo uz kvalifikovane spasioce u broju koji utvrdi nacionalno lice za bezbjednost, u označenoj plitkoj zoni, sa prisutnim roditeljem za svako dijete mlađe od [[PLACEHOLDER: uzrast]] godina i sa brojem djece u vodi ograničenim na kapacitet spasilaca.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Children's activities on the water are held only with qualified lifeguards in the numbers set by the national safety lead, in a marked shallow zone, with a parent present for every child under [[PLACEHOLDER: age]] years of age and with the number of children in the water limited to the lifeguards' capacity.</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Dječija trka ima odvojenu stazu ili termin od trke odraslih, redare na svakom skretanju, start i cilj u ograđenoj zoni u koju roditelji imaju pristup, i predaju djece po članu 12.</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children's race has a course or time slot separate from the adults' race, marshals at every turn, a start and finish in a fenced zone to which parents have access, and handover of children under Article 12.</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VI. FOTOGRAFIJE, PODACI I KOMUNIKACIJA</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VI. PHOTOGRAPHS, DATA AND COMMUNICATION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15 — Fotografisanje i objavljivanje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15 — Photography and publishing</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Fotografišu i snimaju samo lica koja je udruženje ovlastilo, označena i upoznata sa ovom politikom, uređajima ili nalozima koje udruženje kontroliše. Objavljena napomena na događaju obavještava da se fotografiše.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Only persons authorised by the association, identified and briefed on this policy, photograph and film, using devices or accounts the association controls. A notice displayed at the event informs that photographs are being taken.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Fotografija ili snimak na kome je dijete prepoznatljivo objavljuje se samo uz saglasnost roditelja datu pri prijavi ili posebno, koja se evidentira uz fotografiju u galeriji udruženja. Bez saglasnosti dijete se ne objavljuje ili se učini neprepoznatljivim. Uz fotografiju se ne objavljuje ime djeteta, škola, adresa ni drugi podatak po kome se može naći. Djeca se fotografišu obučena i u aktivnosti; ne fotografišu se u svlačionicama, pri presvlačenju ni u nevolji.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photograph or recording in which a child is identifiable is published only with the parent's consent given at registration or separately, which is recorded with the photograph in the association's gallery. Without consent the child is not published or is made unidentifiable. The child's name, school, address or any other detail by which the child could be located is not published with the photograph. Children are photographed clothed and in activity; they are not photographed in changing rooms, while changing or in distress.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Roditelj može povući saglasnost u svakom trenutku; fotografija se uklanja u roku od tri radna dana, bez pitanja. Sponzori i mediji dobijaju samo fotografije za koje postoji saglasnost, uz zabranu daljeg prenosa.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parent may withdraw consent at any time; the photograph is removed within three working days, without questions. Sponsors and the media receive only photographs for which consent exists, with onward transfer prohibited.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16 — Podaci o djeci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16 — Children's data</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Podaci o djeci (ime, uzrast, kontakt roditelja, zdravstvene napomene, saglasnosti) prikupljaju se samo preko platforme udruženja, u obimu potrebnom za bezbjedno učešće, i dostupni su samo rukovodiocu događaja, licu za zaštitu i medicinskoj službi. Spiskovi za dan događaja štampaju se u najmanjem obimu i uništavaju u roku od sedam dana. Podaci se čuvaju [[PLACEHOLDER: broj]] mjeseci nakon događaja, osim saglasnosti za fotografije, koje se čuvaju dok je fotografija objavljena.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Data on children (name, age, parent's contact details, health notes, consents) is collected only through the association's platform, to the extent needed for safe participation, and is available only to the event manager, the safeguarding lead and the medical team. Lists for the day of the event are printed to the smallest extent necessary and destroyed within seven days. Data is kept for [[PLACEHOLDER: number]] months after the event, except consents to photography, which are kept while the photograph is published.</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17 — Komunikacija sa djecom</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17 — Communication with children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Udruženje komunicira sa djecom preko roditelja. Grupne poruke za dječije aktivnosti uključuju roditelje. Nalozi udruženja na društvenim mrežama ne šalju privatne poruke djeci i ne prate naloge djece. Dijete koje se javi udruženju sa zabrinutošću dobija odgovor od lica za zaštitu, uz obavještenje roditelja osim kada bi to dijete ugrozilo.</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association communicates with children through their parents. Group messages for children's activities include the parents. The association's social network accounts send no private messages to children and follow no children's accounts. A child who contacts the association with a concern receives a reply from a safeguarding lead, with the parent informed unless that would endanger the child.</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VII. PREPOZNAVANJE I PRIJAVLJIVANJE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VII. RECOGNISING AND REPORTING</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18 — Znaci i sumnja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18 — Signs and concern</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Razlog za sumnju je sve što obveznika brine: neobjašnjene povrede, strah od određene odrasle osobe, promjena ponašanja, zapuštenost, ono što dijete kaže, ponašanje odrasle osobe prema djetetu koje krši dio II, ili kršenje ove politike od strane bilo koga. Obveznik ne mora biti siguran; dovoljna je sumnja.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Anything that worries a covered person is a reason for concern: unexplained injuries, fear of a particular adult, a change in behaviour, neglect, what a child says, an adult's behaviour towards a child that breaches Part II, or a breach of this policy by anyone. The covered person does not have to be certain; concern is enough.</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19 — Kada dijete nešto povjeri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19 — When a child discloses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Obveznik kome se dijete povjeri: sasluša mirno i ne prekida; ne obećava tajnu; ne postavlja sugestivna pitanja i ne istražuje; kaže djetetu da je dobro uradilo što je reklo i da će obavijestiti osobu koja može pomoći; što prije zapiše što tačnije ono što je dijete reklo, riječima djeteta, sa datumom i vremenom; odmah obavijesti lice za zaštitu. Ne suočava osobu na koju se sumnja i ne razgovara o slučaju sa drugima.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covered person to whom a child discloses something: listens calmly and does not interrupt; does not promise secrecy; asks no leading questions and does not investigate; tells the child that they did right to speak and that they will inform a person who can help; writes down as soon as possible and as exactly as possible what the child said, in the child's words, with the date and time; informs the safeguarding lead at once. They do not confront the person concerned and do not discuss the case with others.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20 — Prijava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20 — Reporting</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Sumnja se prijavljuje odmah: na događaju licu za zaštitu na događaju; van događaja nacionalnom licu; ako se sumnja odnosi na nacionalno lice, predsjedniku Upravnog odbora. Ako je dijete u neposrednoj opasnosti, prvo se zove 112, odnosno policija, pa udruženje. [[PLACEHOLDER: potvrditi brojeve policije, hitne pomoći i Centra za socijalni rad Tivat i unijeti ih ovdje i u Paket za ogranak]]</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concern is reported at once: at an event, to the event safeguarding lead; outside an event, to the national lead; if the concern relates to the national lead, to the President of the Board. If a child is in immediate danger, 112 or the police is called first, then the association. [[PLACEHOLDER: confirm the numbers of the police, the ambulance service and the Tivat Centre for Social Work and enter them here and in the Chapter in a Box]]</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Prijava se u roku od 24 sata unosi na obrazac iz Paketa za ogranak: ko prijavljuje, kada i gdje se dogodilo, ko je uključen, šta je viđeno ili rečeno, šta je odmah preduzeto. Prijava može biti anonimna. Roditelji, djeca, učesnici i javnost prijavljuju preko kontakata objavljenih na internet stranici.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Within 24 hours the report is entered on the form from the Chapter in a Box: who is reporting, when and where it happened, who is involved, what was seen or said, what was done immediately. A report may be anonymous. Parents, children, participants and the public report through the contacts published on the website.</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Niko ne trpi posljedice zbog savjesne prijave, i kada se pokaže neosnovanom. Ometanje ili odvraćanje od prijave je teška povreda ove politike.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No one suffers consequences for a report made in good faith, even when it proves unfounded. Obstructing or discouraging a report is a serious breach of this policy.</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21 — Postupanje po prijavi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21 — Acting on a report</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Lice za zaštitu koje primi prijavu odmah: obezbjeđuje da dijete bude bezbjedno i u prisustvu osobe od povjerenja; udaljava osobu na koju se sumnja od svakog kontakta sa djecom do razjašnjenja, bez obzira na funkciju; obavještava roditelja, osim kada je roditelj osoba na koju se sumnja ili bi obavještavanje ugrozilo dijete; obavještava nacionalno lice i Izvršnog direktora.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safeguarding lead who receives a report immediately: ensures that the child is safe and in the presence of a trusted person; removes the person concerned from all contact with children until the matter is clarified, regardless of their function; informs the parent, unless the parent is the person concerned or informing them would endanger the child; informs the national lead and the Executive Director.</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Nacionalno lice i Izvršni direktor u roku od 24 sata odlučuju o obavještavanju nadležnog centra za socijalni rad ili policije. Sumnja na krivično djelo prijavljuje se nadležnim organima bez odlaganja; udruženje ne vodi sopstvenu istragu krivičnih djela i ne uzima iskaze od djeteta preko onoga što je dijete samo reklo. Sumnja na kršenje ove politike koje nije krivično djelo razjašnjava se interno u roku od 15 dana.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Within 24 hours the national lead and the Executive Director decide on notifying the competent centre for social work or the police. A suspected criminal offence is reported to the competent authorities without delay; the association conducts no criminal investigation of its own and takes no statements from the child beyond what the child has said. A suspected breach of this policy that is not a criminal offence is clarified internally within 15 days.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Za vrijeme postupka lice na koje se sumnja privremeno gubi sve zadatke koji uključuju djecu. Ishod postupka i mjere iz člana 23 unose se u evidenciju.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During the proceedings the person concerned temporarily loses all tasks that involve children. The outcome of the proceedings and the measures under Article 23 are entered in the register.</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22 — Povjerljivost i evidencija</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22 — Confidentiality and records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Prijave i sve što se uz njih sazna povjerljivi su. Identitet prijavioca ne otkriva se osobi na koju se prijava odnosi. Podaci se dijele samo sa onima koji moraju znati radi zaštite djeteta i sa nadležnim organima.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Reports and everything learned in connection with them are confidential. The identity of the reporter is not disclosed to the person the report concerns. Data is shared only with those who need to know in order to protect the child and with the competent authorities.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Nacionalno lice vodi evidenciju prijava odvojeno od drugih evidencija udruženja, sa ograničenim pristupom (nacionalno lice, Izvršni direktor, predsjednik Upravnog odbora). Evidencija se čuva [[PLACEHOLDER: broj]] godina, a u slučaju obavještavanja nadležnih organa dok traje njihov postupak i [[PLACEHOLDER: broj]] godina nakon toga.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national lead keeps the register of reports separately from the association's other records, with restricted access (the national lead, the Executive Director, the President of the Board). The register is kept for [[PLACEHOLDER: number]] years, or, where the competent authorities have been notified, for as long as their proceedings last and [[PLACEHOLDER: number]] years after that.</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VIII. MJERE, KORISNICI I OGRANCI</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VIII. MEASURES, BENEFICIARIES AND CHAPTERS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23 — Mjere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23 — Measures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Kršenje ove politike povlači, srazmjerno težini: upozorenje i ponovnu obuku; trajno oduzimanje zadataka koji uključuju djecu; prestanak volonterskog angažmana; razrješenje sa funkcije po Statutu; prestanak radnog odnosa po ugovoru i zakonu; prestanak članstva (Statut, član 37); raskid saradnje sa partnerom. Osoba pravosnažno osuđena za djelo protiv djece trajno ne može imati nikakav zadatak u udruženju.</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breach of this policy entails, in proportion to its seriousness: a warning and retraining; permanent removal of tasks that involve children; the end of the volunteer engagement; dismissal from a function under the Statute; termination of employment under the contract and the law; termination of membership (Statute, Article 37); ending the cooperation with a partner. A person finally convicted of an offence against children may never hold any task in the association.</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24 — Djeca korisnici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24 — Child beneficiaries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Kada je korisnik sredstava dijete ili ranjivo lice: prijavu podnosi roditelj, staratelj ili ustanova; obilazak korisnika (Kriterijumi za dodjelu sredstava, odjeljak 9) vrše dvije osobe, u prisustvu roditelja ili staratelja; sredstva se isplaćuju dobavljaču ili roditelju, nikada djetetu; o korisniku se objavljuje samo ono što dopušta odjeljak 12 Kriterijuma; priča ili fotografija djeteta korisnika objavljuje se samo uz posebnu saglasnost oba roditelja ili staratelja i samo ako to ne može naštetiti djetetu, o čemu odlučuje nacionalno lice.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Where a beneficiary of funds is a child or a vulnerable adult: the application is submitted by a parent, guardian or institution; the visit to the beneficiary (Grant Criteria, section 9) is made by two people, in the presence of the parent or guardian; funds are paid to the supplier or the parent, never to the child; only what section 12 of the Criteria allows is published about the beneficiary; the story or photograph of a child beneficiary is published only with the separate consent of both parents or the guardian and only if it cannot harm the child, as the national lead decides.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25 — Ogranci i partneri</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25 — Chapters and partners</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Rukovodilac ogranka odgovara za primjenu ove politike u ogranku. Ogranak ne održava aktivnost sa djecom bez lica za zaštitu na događaju odobrenog od nacionalnog lica. Ugovor ili dogovor sa klubom, školom ili izvođačem koji učestvuje u aktivnosti sa djecom sadrži obavezu poštovanja ove politike i pravo udruženja da udalji svako lice koje je krši.</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chapter lead is responsible for the application of this policy in the chapter. A chapter holds no activity with children without an event safeguarding lead approved by the national lead. A contract or arrangement with a club, school or supplier taking part in an activity with children contains the obligation to comply with this policy and the association's right to remove any person who breaches it.</w:t>
            </w:r>
          </w:p>
        </w:tc>
      </w:tr>
      <w:tr>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IX. ZAVRŠNE ODREDBE</w:t>
            </w:r>
          </w:p>
        </w:tc>
        <w:tc>
          <w:tcPr>
            <w:tcW w:type="dxa" w:w="4953"/>
            <w:shd w:fill="E3EBED" w:color="auto" w:val="clear"/>
            <w:tcMar>
              <w:top w:type="dxa" w:w="80"/>
              <w:left w:type="dxa" w:w="100"/>
              <w:bottom w:type="dxa" w:w="80"/>
              <w:right w:type="dxa" w:w="100"/>
            </w:tcMar>
          </w:tcPr>
          <w:p>
            <w:r>
              <w:rPr>
                <w:rFonts w:ascii="Arial" w:cs="Arial" w:eastAsia="Arial" w:hAnsi="Arial"/>
                <w:b/>
                <w:bCs/>
                <w:color w:val="0E3A46"/>
                <w:sz w:val="22"/>
                <w:szCs w:val="22"/>
              </w:rPr>
              <w:t xml:space="preserve">IX. FINAL PROVISIONS</w:t>
            </w:r>
          </w:p>
        </w:tc>
      </w:tr>
      <w:tr>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Član 26 — Objavljivanje i preispitivanje</w:t>
            </w:r>
          </w:p>
        </w:tc>
        <w:tc>
          <w:tcPr>
            <w:tcW w:type="dxa" w:w="4953"/>
            <w:shd w:fill="F1F5F6" w:color="auto" w:val="clear"/>
            <w:tcMar>
              <w:top w:type="dxa" w:w="80"/>
              <w:left w:type="dxa" w:w="100"/>
              <w:bottom w:type="dxa" w:w="80"/>
              <w:right w:type="dxa" w:w="100"/>
            </w:tcMar>
          </w:tcPr>
          <w:p>
            <w:r>
              <w:rPr>
                <w:rFonts w:ascii="Arial" w:cs="Arial" w:eastAsia="Arial" w:hAnsi="Arial"/>
                <w:b/>
                <w:bCs/>
                <w:color w:val="0E3A46"/>
                <w:sz w:val="20"/>
                <w:szCs w:val="20"/>
              </w:rPr>
              <w:t xml:space="preserve">Article 26 — Publication and review</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Sažetak politike objavljen je na internet stranici udruženja i ne smije obećavati manje od ove politike. Politika se preispituje nakon svakog većeg događaja, nakon svakog slučaja iz dijela VII i najmanje jednom godišnje. Nacionalno lice podnosi Upravnom odboru godišnji izvještaj: broj događaja sa djecom, broj upoznatih volontera, broj prijava i ishode bez ličnih podataka, naučene lekcije.</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A summary of the policy is published on the association's website and may not promise less than this policy. The policy is reviewed after every major event, after every case under Part VII and at least once a year. The national lead submits an annual report to the Board: the number of events with children, the number of volunteers briefed, the number of reports and their outcomes without personal data, and lessons learned.</w:t>
            </w:r>
          </w:p>
        </w:tc>
      </w:tr>
      <w:tr>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Politika stupa na snagu danom usvajanja na Upravnom odboru. Do izbora Upravnog odbora, njegova ovlašćenja iz ove politike vrši Skupština.</w:t>
            </w:r>
          </w:p>
        </w:tc>
        <w:tc>
          <w:tcPr>
            <w:tcW w:type="dxa" w:w="4953"/>
            <w:tcMar>
              <w:top w:type="dxa" w:w="80"/>
              <w:left w:type="dxa" w:w="100"/>
              <w:bottom w:type="dxa" w:w="80"/>
              <w:right w:type="dxa" w:w="100"/>
            </w:tcMar>
          </w:tcPr>
          <w:p>
            <w:pPr>
              <w:spacing w:after="100"/>
            </w:pPr>
            <w:r>
              <w:rPr>
                <w:rFonts w:ascii="Arial" w:cs="Arial" w:eastAsia="Arial" w:hAnsi="Arial"/>
                <w:sz w:val="18"/>
                <w:szCs w:val="18"/>
              </w:rPr>
              <w:t xml:space="preserve">The policy enters into force on the day of its adoption by the Board. Until the Board is elected, its powers under this policy are exercised by the Assembly.</w:t>
            </w:r>
          </w:p>
        </w:tc>
      </w:tr>
    </w:tbl>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Arial" w:cs="Arial" w:eastAsia="Arial" w:hAnsi="Arial"/>
      <w:b/>
      <w:bCs/>
      <w:color w:val="0E3A46"/>
      <w:sz w:val="30"/>
      <w:szCs w:val="30"/>
    </w:rPr>
  </w:style>
  <w:style w:type="paragraph" w:styleId="Heading1">
    <w:name w:val="Heading 1"/>
    <w:basedOn w:val="Normal"/>
    <w:next w:val="Normal"/>
    <w:qFormat/>
    <w:pPr>
      <w:spacing w:after="100" w:before="200"/>
      <w:outlineLvl w:val="0"/>
    </w:pPr>
    <w:rPr>
      <w:rFonts w:ascii="Arial" w:cs="Arial" w:eastAsia="Arial" w:hAnsi="Arial"/>
      <w:b/>
      <w:bCs/>
      <w:color w:val="0E3A46"/>
      <w:sz w:val="24"/>
      <w:szCs w:val="24"/>
    </w:rPr>
  </w:style>
  <w:style w:type="paragraph" w:styleId="Heading2">
    <w:name w:val="Heading 2"/>
    <w:basedOn w:val="Normal"/>
    <w:next w:val="Normal"/>
    <w:qFormat/>
    <w:pPr>
      <w:spacing w:after="60" w:before="120"/>
      <w:outlineLvl w:val="1"/>
    </w:pPr>
    <w:rPr>
      <w:rFonts w:ascii="Arial" w:cs="Arial" w:eastAsia="Arial" w:hAnsi="Arial"/>
      <w:b/>
      <w:bCs/>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2026-09-28T12:40:26.565Z</dcterms:created>
  <dcterms:modified xsi:type="dcterms:W3CDTF">2026-09-28T12:40:26.566Z</dcterms:modified>
</cp:coreProperties>
</file>

<file path=docProps/custom.xml><?xml version="1.0" encoding="utf-8"?>
<Properties xmlns="http://schemas.openxmlformats.org/officeDocument/2006/custom-properties" xmlns:vt="http://schemas.openxmlformats.org/officeDocument/2006/docPropsVTypes"/>
</file>