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Pravila o sukobu interesa / Conflict of Interest Policy</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 OPŠTE ODREDBE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 GENERAL PROVISIONS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 — Svrha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 — Purpose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Ova pravila uređuju kako udruženje prepoznaje, prijavljuje, bilježi i rješava sukob interesa, kako bi svaka odluka o novcu, ljudima i korisnicima bila donesena u interesu udruženja i mogla izdržati pitanje: „Kako znam da ovo ne ide vašim prijateljima?“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These rules set out how the association recognises, declares, records and resolves conflicts of interest, so that every decision about money, people and beneficiaries is taken in the interest of the association and can withstand the question: "How do I know this is not going to your friends?"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Pravila dopunjuju član 22 Statuta (isključenje prava glasa), član 39 Statuta (Komisija za dodjelu sredstava) i član 30 Zakona o nevladinim organizacijama (korišćenje imovine).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rules supplement Article 22 of the Statute (exclusion from voting), Article 39 of the Statute (the Grants Committee) and Article 30 of the Law on Non-Governmental Organisations (use of assets).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 — Na koga se primjenjuju</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 — Who is covered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Pravila se primjenjuju na: osnivače; članove Skupštine kada odlučuju; članove Upravnog odbora; članove Komisije za dodjelu sredstava; Izvršnog direktora; zaposlene; rukovodioce, blagajnike i koordinatore volontera ogranaka; volontere i spoljne saradnike kada u ime udruženja pregovaraju, nabavljaju, ocjenjuju prijave ili rukuju novcem (u daljem tekstu: obveznici).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rules apply to: the founders; members of the Assembly when they decide; members of the Board; members of the Grants Committee; the Executive Director; employees; chapter leads, chapter treasurers and chapter volunteer coordinators; volunteers and external contractors when they negotiate, procure, assess applications or handle money on behalf of the association (together: covered persons).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Prihvatanje funkcije, zaposlenja ili angažmana podrazumijeva prihvatanje ovih pravila. Obveznici potpisuju izjavu iz člana 10 pri stupanju na funkciju.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Accepting a function, employment or engagement means accepting these rules. Covered persons sign the declaration under Article 10 on taking office.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 — Pojmovi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 — Definitions</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Sukob interesa</w:t>
            </w:r>
            <w:r>
              <w:rPr>
                <w:rFonts w:ascii="Arial" w:cs="Arial" w:eastAsia="Arial" w:hAnsi="Arial"/>
                <w:sz w:val="18"/>
                <w:szCs w:val="18"/>
              </w:rPr>
              <w:t xml:space="preserve"> postoji kada lični interes obveznika ili sa njim povezanog lica utiče ili može uticati na to kako obveznik obavlja dužnost prema udruženju, ili kada bi razuman posmatrač tako zaključio. Sukob može biti: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w:t>
            </w:r>
            <w:r>
              <w:rPr>
                <w:rFonts w:ascii="Arial" w:cs="Arial" w:eastAsia="Arial" w:hAnsi="Arial"/>
                <w:b/>
                <w:bCs/>
                <w:sz w:val="18"/>
                <w:szCs w:val="18"/>
              </w:rPr>
              <w:t xml:space="preserve">conflict of interest</w:t>
            </w:r>
            <w:r>
              <w:rPr>
                <w:rFonts w:ascii="Arial" w:cs="Arial" w:eastAsia="Arial" w:hAnsi="Arial"/>
                <w:sz w:val="18"/>
                <w:szCs w:val="18"/>
              </w:rPr>
              <w:t xml:space="preserve"> exists when a personal interest of a covered person, or of a person connected with them, influences or may influence how the covered person performs their duty to the association, or when a reasonable observer would conclude so. A conflict may be:</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stvarni:</w:t>
            </w:r>
            <w:r>
              <w:rPr>
                <w:rFonts w:ascii="Arial" w:cs="Arial" w:eastAsia="Arial" w:hAnsi="Arial"/>
                <w:sz w:val="18"/>
                <w:szCs w:val="18"/>
              </w:rPr>
              <w:t xml:space="preserve"> interes postoji u odluci koja se donosi;</w:t>
            </w:r>
          </w:p>
          <w:p>
            <w:pPr>
              <w:pStyle w:val="ListParagraph"/>
              <w:numPr>
                <w:ilvl w:val="0"/>
                <w:numId w:val="2"/>
              </w:numPr>
              <w:spacing w:after="40"/>
            </w:pPr>
            <w:r>
              <w:rPr>
                <w:rFonts w:ascii="Arial" w:cs="Arial" w:eastAsia="Arial" w:hAnsi="Arial"/>
                <w:b/>
                <w:bCs/>
                <w:sz w:val="18"/>
                <w:szCs w:val="18"/>
              </w:rPr>
              <w:t xml:space="preserve">mogući:</w:t>
            </w:r>
            <w:r>
              <w:rPr>
                <w:rFonts w:ascii="Arial" w:cs="Arial" w:eastAsia="Arial" w:hAnsi="Arial"/>
                <w:sz w:val="18"/>
                <w:szCs w:val="18"/>
              </w:rPr>
              <w:t xml:space="preserve"> interes bi nastao ako se odluka donese na određeni način;</w:t>
            </w:r>
          </w:p>
          <w:p>
            <w:pPr>
              <w:pStyle w:val="ListParagraph"/>
              <w:numPr>
                <w:ilvl w:val="0"/>
                <w:numId w:val="2"/>
              </w:numPr>
              <w:spacing w:after="40"/>
            </w:pPr>
            <w:r>
              <w:rPr>
                <w:rFonts w:ascii="Arial" w:cs="Arial" w:eastAsia="Arial" w:hAnsi="Arial"/>
                <w:b/>
                <w:bCs/>
                <w:sz w:val="18"/>
                <w:szCs w:val="18"/>
              </w:rPr>
              <w:t xml:space="preserve">prividni:</w:t>
            </w:r>
            <w:r>
              <w:rPr>
                <w:rFonts w:ascii="Arial" w:cs="Arial" w:eastAsia="Arial" w:hAnsi="Arial"/>
                <w:sz w:val="18"/>
                <w:szCs w:val="18"/>
              </w:rPr>
              <w:t xml:space="preserve"> interesa nema, ali okolnosti izgledaju tako da javnost može sumnjati.</w:t>
            </w:r>
          </w:p>
        </w:tc>
        <w:tc>
          <w:tcPr>
            <w:tcW w:type="dxa" w:w="4953"/>
            <w:tcMar>
              <w:top w:type="dxa" w:w="80"/>
              <w:left w:type="dxa" w:w="100"/>
              <w:bottom w:type="dxa" w:w="80"/>
              <w:right w:type="dxa" w:w="100"/>
            </w:tcMar>
          </w:tcPr>
          <w:p>
            <w:pPr>
              <w:pStyle w:val="ListParagraph"/>
              <w:numPr>
                <w:ilvl w:val="0"/>
                <w:numId w:val="3"/>
              </w:numPr>
              <w:spacing w:after="40"/>
            </w:pPr>
            <w:r>
              <w:rPr>
                <w:rFonts w:ascii="Arial" w:cs="Arial" w:eastAsia="Arial" w:hAnsi="Arial"/>
                <w:b/>
                <w:bCs/>
                <w:sz w:val="18"/>
                <w:szCs w:val="18"/>
              </w:rPr>
              <w:t xml:space="preserve">actual:</w:t>
            </w:r>
            <w:r>
              <w:rPr>
                <w:rFonts w:ascii="Arial" w:cs="Arial" w:eastAsia="Arial" w:hAnsi="Arial"/>
                <w:sz w:val="18"/>
                <w:szCs w:val="18"/>
              </w:rPr>
              <w:t xml:space="preserve"> the interest exists in the decision being taken;</w:t>
            </w:r>
          </w:p>
          <w:p>
            <w:pPr>
              <w:pStyle w:val="ListParagraph"/>
              <w:numPr>
                <w:ilvl w:val="0"/>
                <w:numId w:val="3"/>
              </w:numPr>
              <w:spacing w:after="40"/>
            </w:pPr>
            <w:r>
              <w:rPr>
                <w:rFonts w:ascii="Arial" w:cs="Arial" w:eastAsia="Arial" w:hAnsi="Arial"/>
                <w:b/>
                <w:bCs/>
                <w:sz w:val="18"/>
                <w:szCs w:val="18"/>
              </w:rPr>
              <w:t xml:space="preserve">potential:</w:t>
            </w:r>
            <w:r>
              <w:rPr>
                <w:rFonts w:ascii="Arial" w:cs="Arial" w:eastAsia="Arial" w:hAnsi="Arial"/>
                <w:sz w:val="18"/>
                <w:szCs w:val="18"/>
              </w:rPr>
              <w:t xml:space="preserve"> the interest would arise if the decision were taken in a particular way;</w:t>
            </w:r>
          </w:p>
          <w:p>
            <w:pPr>
              <w:pStyle w:val="ListParagraph"/>
              <w:numPr>
                <w:ilvl w:val="0"/>
                <w:numId w:val="3"/>
              </w:numPr>
              <w:spacing w:after="40"/>
            </w:pPr>
            <w:r>
              <w:rPr>
                <w:rFonts w:ascii="Arial" w:cs="Arial" w:eastAsia="Arial" w:hAnsi="Arial"/>
                <w:b/>
                <w:bCs/>
                <w:sz w:val="18"/>
                <w:szCs w:val="18"/>
              </w:rPr>
              <w:t xml:space="preserve">perceived:</w:t>
            </w:r>
            <w:r>
              <w:rPr>
                <w:rFonts w:ascii="Arial" w:cs="Arial" w:eastAsia="Arial" w:hAnsi="Arial"/>
                <w:sz w:val="18"/>
                <w:szCs w:val="18"/>
              </w:rPr>
              <w:t xml:space="preserve"> there is no interest, but the circumstances look such that the public may suspect one.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 tri se prijavljuju.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All three are declared.</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Lični interes</w:t>
            </w:r>
            <w:r>
              <w:rPr>
                <w:rFonts w:ascii="Arial" w:cs="Arial" w:eastAsia="Arial" w:hAnsi="Arial"/>
                <w:sz w:val="18"/>
                <w:szCs w:val="18"/>
              </w:rPr>
              <w:t xml:space="preserve"> je svaka korist, novčana ili druga, uključujući zaposlenje, honorar, ugovor, sponzorstvo, poklon, uslugu, priznanje, prednost za pravno lice u kome obveznik ima udio ili funkciju, i korist za povezano lice.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w:t>
            </w:r>
            <w:r>
              <w:rPr>
                <w:rFonts w:ascii="Arial" w:cs="Arial" w:eastAsia="Arial" w:hAnsi="Arial"/>
                <w:b/>
                <w:bCs/>
                <w:sz w:val="18"/>
                <w:szCs w:val="18"/>
              </w:rPr>
              <w:t xml:space="preserve">personal interest</w:t>
            </w:r>
            <w:r>
              <w:rPr>
                <w:rFonts w:ascii="Arial" w:cs="Arial" w:eastAsia="Arial" w:hAnsi="Arial"/>
                <w:sz w:val="18"/>
                <w:szCs w:val="18"/>
              </w:rPr>
              <w:t xml:space="preserve"> is any benefit, monetary or otherwise, including employment, a fee, a contract, sponsorship, a gift, a favour, recognition, an advantage for a legal entity in which the covered person holds a stake or an office, and a benefit for a connected person.</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Povezano lice</w:t>
            </w:r>
            <w:r>
              <w:rPr>
                <w:rFonts w:ascii="Arial" w:cs="Arial" w:eastAsia="Arial" w:hAnsi="Arial"/>
                <w:sz w:val="18"/>
                <w:szCs w:val="18"/>
              </w:rPr>
              <w:t xml:space="preserve"> je: bračni i vanbračni drug; dijete, usvojenik i pastorak; roditelj, usvojilac i staratelj; brat i sestra; lice sa kojim obveznik živi u zajedničkom domaćinstvu; privredno društvo, preduzetnik ili organizacija u kojoj obveznik ili neko od navedenih lica ima udio od najmanje [[PLACEHOLDER: procenat, npr. 10]] procenata, funkciju u organu ili zaposlenje na rukovodećem mjestu; lice sa kojim obveznik ima tekući poslovni ili dužnički odnos.</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w:t>
            </w:r>
            <w:r>
              <w:rPr>
                <w:rFonts w:ascii="Arial" w:cs="Arial" w:eastAsia="Arial" w:hAnsi="Arial"/>
                <w:b/>
                <w:bCs/>
                <w:sz w:val="18"/>
                <w:szCs w:val="18"/>
              </w:rPr>
              <w:t xml:space="preserve">connected person</w:t>
            </w:r>
            <w:r>
              <w:rPr>
                <w:rFonts w:ascii="Arial" w:cs="Arial" w:eastAsia="Arial" w:hAnsi="Arial"/>
                <w:sz w:val="18"/>
                <w:szCs w:val="18"/>
              </w:rPr>
              <w:t xml:space="preserve"> is: a spouse or common-law partner; a child, adopted child or stepchild; a parent, adoptive parent or guardian; a brother or sister; a person with whom the covered person lives in the same household; a company, sole trader or organisation in which the covered person or any of the persons listed holds a stake of at least [[PLACEHOLDER: percentage, e.g. 10]] percent, an office in a governing body or a senior management job; a person with whom the covered person has a current business or debt relationship.</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 NAČELA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 PRINCIPLES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 — Dužnosti obveznika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 — Duties of covered persons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w:t>
            </w:r>
          </w:p>
        </w:tc>
      </w:tr>
      <w:tr>
        <w:tc>
          <w:tcPr>
            <w:tcW w:type="dxa" w:w="4953"/>
            <w:tcMar>
              <w:top w:type="dxa" w:w="80"/>
              <w:left w:type="dxa" w:w="100"/>
              <w:bottom w:type="dxa" w:w="80"/>
              <w:right w:type="dxa" w:w="100"/>
            </w:tcMar>
          </w:tcPr>
          <w:p>
            <w:pPr>
              <w:pStyle w:val="ListParagraph"/>
              <w:numPr>
                <w:ilvl w:val="0"/>
                <w:numId w:val="4"/>
              </w:numPr>
              <w:spacing w:after="40"/>
            </w:pPr>
            <w:r>
              <w:rPr>
                <w:rFonts w:ascii="Arial" w:cs="Arial" w:eastAsia="Arial" w:hAnsi="Arial"/>
                <w:sz w:val="18"/>
                <w:szCs w:val="18"/>
              </w:rPr>
              <w:t xml:space="preserve">odlučuje i djeluje isključivo u interesu udruženja i njegovih korisnika;</w:t>
            </w:r>
          </w:p>
          <w:p>
            <w:pPr>
              <w:pStyle w:val="ListParagraph"/>
              <w:numPr>
                <w:ilvl w:val="0"/>
                <w:numId w:val="4"/>
              </w:numPr>
              <w:spacing w:after="40"/>
            </w:pPr>
            <w:r>
              <w:rPr>
                <w:rFonts w:ascii="Arial" w:cs="Arial" w:eastAsia="Arial" w:hAnsi="Arial"/>
                <w:sz w:val="18"/>
                <w:szCs w:val="18"/>
              </w:rPr>
              <w:t xml:space="preserve">ne koristi funkciju, informacije do kojih je došao u udruženju, imovinu, naziv ni kontakte udruženja za ličnu korist ili korist povezanog lica;</w:t>
            </w:r>
          </w:p>
          <w:p>
            <w:pPr>
              <w:pStyle w:val="ListParagraph"/>
              <w:numPr>
                <w:ilvl w:val="0"/>
                <w:numId w:val="4"/>
              </w:numPr>
              <w:spacing w:after="40"/>
            </w:pPr>
            <w:r>
              <w:rPr>
                <w:rFonts w:ascii="Arial" w:cs="Arial" w:eastAsia="Arial" w:hAnsi="Arial"/>
                <w:sz w:val="18"/>
                <w:szCs w:val="18"/>
              </w:rPr>
              <w:t xml:space="preserve">prijavljuje svaki sukob interesa čim ga postane svjestan, a najkasnije prije rasprave o odluci na koju se odnosi;</w:t>
            </w:r>
          </w:p>
          <w:p>
            <w:pPr>
              <w:pStyle w:val="ListParagraph"/>
              <w:numPr>
                <w:ilvl w:val="0"/>
                <w:numId w:val="4"/>
              </w:numPr>
              <w:spacing w:after="40"/>
            </w:pPr>
            <w:r>
              <w:rPr>
                <w:rFonts w:ascii="Arial" w:cs="Arial" w:eastAsia="Arial" w:hAnsi="Arial"/>
                <w:sz w:val="18"/>
                <w:szCs w:val="18"/>
              </w:rPr>
              <w:t xml:space="preserve">ne učestvuje u pripremi, raspravi ni odlučivanju o pitanju u kome je u sukobu interesa, osim ako ovim pravilima nije drugačije određeno;</w:t>
            </w:r>
          </w:p>
          <w:p>
            <w:pPr>
              <w:pStyle w:val="ListParagraph"/>
              <w:numPr>
                <w:ilvl w:val="0"/>
                <w:numId w:val="4"/>
              </w:numPr>
              <w:spacing w:after="40"/>
            </w:pPr>
            <w:r>
              <w:rPr>
                <w:rFonts w:ascii="Arial" w:cs="Arial" w:eastAsia="Arial" w:hAnsi="Arial"/>
                <w:sz w:val="18"/>
                <w:szCs w:val="18"/>
              </w:rPr>
              <w:t xml:space="preserve">ne prima poklone, gostoprimstvo ni pogodnosti suprotno dijelu VI ovih pravila;</w:t>
            </w:r>
          </w:p>
          <w:p>
            <w:pPr>
              <w:pStyle w:val="ListParagraph"/>
              <w:numPr>
                <w:ilvl w:val="0"/>
                <w:numId w:val="4"/>
              </w:numPr>
              <w:spacing w:after="40"/>
            </w:pPr>
            <w:r>
              <w:rPr>
                <w:rFonts w:ascii="Arial" w:cs="Arial" w:eastAsia="Arial" w:hAnsi="Arial"/>
                <w:sz w:val="18"/>
                <w:szCs w:val="18"/>
              </w:rPr>
              <w:t xml:space="preserve">odgovara istinito na pitanja organa o postojanju sukoba interesa.</w:t>
            </w:r>
          </w:p>
        </w:tc>
        <w:tc>
          <w:tcPr>
            <w:tcW w:type="dxa" w:w="4953"/>
            <w:tcMar>
              <w:top w:type="dxa" w:w="80"/>
              <w:left w:type="dxa" w:w="100"/>
              <w:bottom w:type="dxa" w:w="80"/>
              <w:right w:type="dxa" w:w="100"/>
            </w:tcMar>
          </w:tcPr>
          <w:p>
            <w:pPr>
              <w:pStyle w:val="ListParagraph"/>
              <w:numPr>
                <w:ilvl w:val="0"/>
                <w:numId w:val="5"/>
              </w:numPr>
              <w:spacing w:after="40"/>
            </w:pPr>
            <w:r>
              <w:rPr>
                <w:rFonts w:ascii="Arial" w:cs="Arial" w:eastAsia="Arial" w:hAnsi="Arial"/>
                <w:sz w:val="18"/>
                <w:szCs w:val="18"/>
              </w:rPr>
              <w:t xml:space="preserve">decides and acts solely in the interest of the association and its beneficiaries;</w:t>
            </w:r>
          </w:p>
          <w:p>
            <w:pPr>
              <w:pStyle w:val="ListParagraph"/>
              <w:numPr>
                <w:ilvl w:val="0"/>
                <w:numId w:val="5"/>
              </w:numPr>
              <w:spacing w:after="40"/>
            </w:pPr>
            <w:r>
              <w:rPr>
                <w:rFonts w:ascii="Arial" w:cs="Arial" w:eastAsia="Arial" w:hAnsi="Arial"/>
                <w:sz w:val="18"/>
                <w:szCs w:val="18"/>
              </w:rPr>
              <w:t xml:space="preserve">does not use their function, information obtained in the association, or the association's assets, name or contacts for their own benefit or the benefit of a connected person;</w:t>
            </w:r>
          </w:p>
          <w:p>
            <w:pPr>
              <w:pStyle w:val="ListParagraph"/>
              <w:numPr>
                <w:ilvl w:val="0"/>
                <w:numId w:val="5"/>
              </w:numPr>
              <w:spacing w:after="40"/>
            </w:pPr>
            <w:r>
              <w:rPr>
                <w:rFonts w:ascii="Arial" w:cs="Arial" w:eastAsia="Arial" w:hAnsi="Arial"/>
                <w:sz w:val="18"/>
                <w:szCs w:val="18"/>
              </w:rPr>
              <w:t xml:space="preserve">declares every conflict of interest as soon as they become aware of it, and at the latest before the discussion of the decision it concerns;</w:t>
            </w:r>
          </w:p>
          <w:p>
            <w:pPr>
              <w:pStyle w:val="ListParagraph"/>
              <w:numPr>
                <w:ilvl w:val="0"/>
                <w:numId w:val="5"/>
              </w:numPr>
              <w:spacing w:after="40"/>
            </w:pPr>
            <w:r>
              <w:rPr>
                <w:rFonts w:ascii="Arial" w:cs="Arial" w:eastAsia="Arial" w:hAnsi="Arial"/>
                <w:sz w:val="18"/>
                <w:szCs w:val="18"/>
              </w:rPr>
              <w:t xml:space="preserve">takes no part in preparing, discussing or deciding a matter in which they have a conflict of interest, unless these rules provide otherwise;</w:t>
            </w:r>
          </w:p>
          <w:p>
            <w:pPr>
              <w:pStyle w:val="ListParagraph"/>
              <w:numPr>
                <w:ilvl w:val="0"/>
                <w:numId w:val="5"/>
              </w:numPr>
              <w:spacing w:after="40"/>
            </w:pPr>
            <w:r>
              <w:rPr>
                <w:rFonts w:ascii="Arial" w:cs="Arial" w:eastAsia="Arial" w:hAnsi="Arial"/>
                <w:sz w:val="18"/>
                <w:szCs w:val="18"/>
              </w:rPr>
              <w:t xml:space="preserve">does not accept gifts, hospitality or favours contrary to Part VI of these rules;</w:t>
            </w:r>
          </w:p>
          <w:p>
            <w:pPr>
              <w:pStyle w:val="ListParagraph"/>
              <w:numPr>
                <w:ilvl w:val="0"/>
                <w:numId w:val="5"/>
              </w:numPr>
              <w:spacing w:after="40"/>
            </w:pPr>
            <w:r>
              <w:rPr>
                <w:rFonts w:ascii="Arial" w:cs="Arial" w:eastAsia="Arial" w:hAnsi="Arial"/>
                <w:sz w:val="18"/>
                <w:szCs w:val="18"/>
              </w:rPr>
              <w:t xml:space="preserve">answers truthfully the questions of a body about the existence of a conflict of interest.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Kada obveznik nije siguran da li sukob postoji, prijavljuje ga. Prijava nikada nije na štetu obveznika; neprijavljivanje jeste.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When a covered person is unsure whether a conflict exists, they declare it. Declaring is never held against a covered person; failing to declare is.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III. TIPIČNE SITUACIJE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III. TYPICAL SITUATIONS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5 — Dodjela sredstava korisnicima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5 — Allocation of funds to beneficiaries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 Komisije za dodjelu sredstava, Izvršni direktor, član Upravnog odbora i lice ogranka koje priprema spis ne učestvuju ni u čemu što se tiče prijave korisnika koji je povezano lice, susjed, kolega, klijent, poslodavac ili lice koje su sami predložili, niti prijave organizacije u kojoj imaju funkciju.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member of the Grants Committee, the Executive Director, a member of the Board and a chapter officer preparing a file take no part in anything concerning the application of a beneficiary who is a connected person, neighbour, colleague, client, employer or a person they themselves proposed, or the application of an organisation in which they hold an office.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 Komisije koji je sam predložio korisnika prijavljuje to i izuzima se, a Komisija u obrazloženju navodi ko je korisnika predložio.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member of the Committee who themselves proposed a beneficiary declares it and recuses themselves, and the Committee states in its reasons who proposed the beneficiary.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 njegovo povezano lice i privredno društvo u kome ima udio ne mogu biti korisnici sredstava udruženja (kriterijumi za dodjelu sredstava, odjeljak 3), osim članova udruženja koji nemaju funkciju, uz prijavu i izuzeće svakog lica koje ih poznaje.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 their connected person and a company in which they hold a stake cannot be beneficiaries of the association's funds (grant criteria, section 3), except for members of the association who hold no function, subject to declaration and recusal of every person who knows them.</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Učesnik koji na platformi udruženja prikuplja sredstva za kampanju čiji je korisnik njegovo povezano lice mora to navesti na svojoj stranici; Komisija to uzima u obzir pri dodjeli, a sredstva se i tada dodjeljuju samo po kriterijumima.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participant who raises funds on the association's platform for a cause whose beneficiary is their connected person must state this on their fundraiser page; the Committee takes it into account when allocating, and even then funds are allocated only according to the criteria.</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6 — Nabavke, dobavljači i ugovori sa povezanim licima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6 — Procurement, suppliers and contracts with connected persons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ne zaključuje ugovor o nabavci robe, usluga ili zakupa sa obveznikom ni sa njegovim povezanim licem, osim kada su ispunjeni svi uslovi: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does not conclude a contract for the procurement of goods, services or a lease with a covered person or with their connected person, unless all of the following conditions are met:</w:t>
            </w:r>
          </w:p>
        </w:tc>
      </w:tr>
      <w:tr>
        <w:tc>
          <w:tcPr>
            <w:tcW w:type="dxa" w:w="4953"/>
            <w:tcMar>
              <w:top w:type="dxa" w:w="80"/>
              <w:left w:type="dxa" w:w="100"/>
              <w:bottom w:type="dxa" w:w="80"/>
              <w:right w:type="dxa" w:w="100"/>
            </w:tcMar>
          </w:tcPr>
          <w:p>
            <w:pPr>
              <w:pStyle w:val="ListParagraph"/>
              <w:numPr>
                <w:ilvl w:val="0"/>
                <w:numId w:val="6"/>
              </w:numPr>
              <w:spacing w:after="40"/>
            </w:pPr>
            <w:r>
              <w:rPr>
                <w:rFonts w:ascii="Arial" w:cs="Arial" w:eastAsia="Arial" w:hAnsi="Arial"/>
                <w:sz w:val="18"/>
                <w:szCs w:val="18"/>
              </w:rPr>
              <w:t xml:space="preserve">sukob je prijavljen unaprijed i unesen u registar;</w:t>
            </w:r>
          </w:p>
          <w:p>
            <w:pPr>
              <w:pStyle w:val="ListParagraph"/>
              <w:numPr>
                <w:ilvl w:val="0"/>
                <w:numId w:val="6"/>
              </w:numPr>
              <w:spacing w:after="40"/>
            </w:pPr>
            <w:r>
              <w:rPr>
                <w:rFonts w:ascii="Arial" w:cs="Arial" w:eastAsia="Arial" w:hAnsi="Arial"/>
                <w:sz w:val="18"/>
                <w:szCs w:val="18"/>
              </w:rPr>
              <w:t xml:space="preserve">za nabavku preko [[PLACEHOLDER: iznos]] EUR pribavljene su najmanje dvije uporedive ponude drugih ponuđača, a uslovi povezanog lica nisu nepovoljniji od tržišnih;</w:t>
            </w:r>
          </w:p>
          <w:p>
            <w:pPr>
              <w:pStyle w:val="ListParagraph"/>
              <w:numPr>
                <w:ilvl w:val="0"/>
                <w:numId w:val="6"/>
              </w:numPr>
              <w:spacing w:after="40"/>
            </w:pPr>
            <w:r>
              <w:rPr>
                <w:rFonts w:ascii="Arial" w:cs="Arial" w:eastAsia="Arial" w:hAnsi="Arial"/>
                <w:sz w:val="18"/>
                <w:szCs w:val="18"/>
              </w:rPr>
              <w:t xml:space="preserve">ugovor je odobrio Upravni odbor većinom nezavisnih članova, bez učešća obveznika, uz pisano obrazloženje zašto je izbor u interesu udruženja;</w:t>
            </w:r>
          </w:p>
          <w:p>
            <w:pPr>
              <w:pStyle w:val="ListParagraph"/>
              <w:numPr>
                <w:ilvl w:val="0"/>
                <w:numId w:val="6"/>
              </w:numPr>
              <w:spacing w:after="40"/>
            </w:pPr>
            <w:r>
              <w:rPr>
                <w:rFonts w:ascii="Arial" w:cs="Arial" w:eastAsia="Arial" w:hAnsi="Arial"/>
                <w:sz w:val="18"/>
                <w:szCs w:val="18"/>
              </w:rPr>
              <w:t xml:space="preserve">ugovor je naveden u godišnjem izvještaju o radu sa nazivom druge strane, predmetom i iznosom.</w:t>
            </w:r>
          </w:p>
        </w:tc>
        <w:tc>
          <w:tcPr>
            <w:tcW w:type="dxa" w:w="4953"/>
            <w:tcMar>
              <w:top w:type="dxa" w:w="80"/>
              <w:left w:type="dxa" w:w="100"/>
              <w:bottom w:type="dxa" w:w="80"/>
              <w:right w:type="dxa" w:w="100"/>
            </w:tcMar>
          </w:tcPr>
          <w:p>
            <w:pPr>
              <w:pStyle w:val="ListParagraph"/>
              <w:numPr>
                <w:ilvl w:val="0"/>
                <w:numId w:val="7"/>
              </w:numPr>
              <w:spacing w:after="40"/>
            </w:pPr>
            <w:r>
              <w:rPr>
                <w:rFonts w:ascii="Arial" w:cs="Arial" w:eastAsia="Arial" w:hAnsi="Arial"/>
                <w:sz w:val="18"/>
                <w:szCs w:val="18"/>
              </w:rPr>
              <w:t xml:space="preserve">the conflict has been declared in advance and entered in the register;</w:t>
            </w:r>
          </w:p>
          <w:p>
            <w:pPr>
              <w:pStyle w:val="ListParagraph"/>
              <w:numPr>
                <w:ilvl w:val="0"/>
                <w:numId w:val="7"/>
              </w:numPr>
              <w:spacing w:after="40"/>
            </w:pPr>
            <w:r>
              <w:rPr>
                <w:rFonts w:ascii="Arial" w:cs="Arial" w:eastAsia="Arial" w:hAnsi="Arial"/>
                <w:sz w:val="18"/>
                <w:szCs w:val="18"/>
              </w:rPr>
              <w:t xml:space="preserve">for a procurement above [[PLACEHOLDER: amount]] EUR, at least two comparable quotes from other bidders have been obtained, and the connected person's terms are no less favourable than market terms;</w:t>
            </w:r>
          </w:p>
          <w:p>
            <w:pPr>
              <w:pStyle w:val="ListParagraph"/>
              <w:numPr>
                <w:ilvl w:val="0"/>
                <w:numId w:val="7"/>
              </w:numPr>
              <w:spacing w:after="40"/>
            </w:pPr>
            <w:r>
              <w:rPr>
                <w:rFonts w:ascii="Arial" w:cs="Arial" w:eastAsia="Arial" w:hAnsi="Arial"/>
                <w:sz w:val="18"/>
                <w:szCs w:val="18"/>
              </w:rPr>
              <w:t xml:space="preserve">the contract has been approved by the Board by a majority of its independent members, without the participation of the covered person, with written reasons why the choice is in the interest of the association;</w:t>
            </w:r>
          </w:p>
          <w:p>
            <w:pPr>
              <w:pStyle w:val="ListParagraph"/>
              <w:numPr>
                <w:ilvl w:val="0"/>
                <w:numId w:val="7"/>
              </w:numPr>
              <w:spacing w:after="40"/>
            </w:pPr>
            <w:r>
              <w:rPr>
                <w:rFonts w:ascii="Arial" w:cs="Arial" w:eastAsia="Arial" w:hAnsi="Arial"/>
                <w:sz w:val="18"/>
                <w:szCs w:val="18"/>
              </w:rPr>
              <w:t xml:space="preserve">the contract is listed in the annual activity report with the name of the other party, the subject and the amount.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Poklon u naturi ili usluga bez naknade od povezanog lica dozvoljeni su i poželjni, uz prijavu i evidenciju vrijednosti.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in-kind gift or a free service from a connected person is permitted and welcome, subject to declaration and a record of its value.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 ne učestvuje u izboru dobavljača u kome ima interes, ne prima od dobavljača proviziju ni pogodnost, i ne otkriva ponuđačima podatke iz tuđih ponuda.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 takes no part in the selection of a supplier in which they have an interest, accepts no commission or favour from a supplier, and does not disclose to bidders the details of other bidders' offers.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7 — Sponzori i partneri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7 — Sponsors and partners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 koji je zaposlen, vlasnik, član organa ili stalni saradnik sponzora, partnera ili kandidata za sponzora prijavljuje to i ne učestvuje u odlučivanju o uslovima sponzorstva, protivuslugama ni o odabiru tog sponzora; može posredovati u kontaktu.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 who is an employee, owner, member of a governing body or regular contractor of a sponsor, partner or prospective sponsor declares this and takes no part in deciding the terms of the sponsorship, the deliverables or the selection of that sponsor; they may make the introduction.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Sponzorstvo ne daje sponzoru ni njegovim ljudima uticaj na to ko će dobiti sredstva. Svaki pokušaj takvog uticaja prijavljuje se Upravnom odboru.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Sponsorship gives neither the sponsor nor its people any influence over who receives funds. Any attempt at such influence is reported to the Board.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8 — Zapošljavanje, naknade i angažovanje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8 — Employment, remuneration and engagement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zapošljavanje, honorare i naknade primjenjuje se dio V ovih pravila.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Part V of these rules applies to employment, fees and remuneration.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 ne učestvuje u odluci o zapošljavanju, angažovanju, unapređenju, naknadi, ocjeni ili prestanku rada svog povezanog lica, ni o svojoj sopstvenoj.</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 takes no part in a decision on the employment, engagement, promotion, remuneration, appraisal or termination of their connected person, or of themselves.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Povezano lice obveznika ne može biti zaposleno ni angažovano uz naknadu u udruženju u periodu od [[PLACEHOLDER: broj]] godina od registracije udruženja, bez izuzetka. Nakon tog perioda, samo po javnom pozivu, odlukom Upravnog odbora većinom nezavisnih članova bez učešća obveznika, uz objavu u godišnjem izvještaju.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connected person of a covered person cannot be employed or engaged for remuneration by the association for a period of [[PLACEHOLDER: number]] years from the registration of the association, without exception. After that period, only through an open call, by a decision of the Board by a majority of its independent members without the participation of the covered person, and with publication in the annual report.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Volonterski rad povezanih lica je dozvoljen i poželjan.</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Volunteer work by connected persons is permitted and welcome.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9 — Spoljne funkcije, informacije i imovina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9 — Outside roles, information and assets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 prijavljuje funkcije u organima drugih nevladinih organizacija, privrednih društava i političkih partija, i javne funkcije, koje mogu doći u dodir sa radom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 declares offices in the governing bodies of other non-governmental organisations, companies and political parties, and public offices, that may come into contact with the work of the association.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 Upravnog odbora i Komisije za dodjelu sredstava ne može u isto vrijeme biti nosilac funkcije u političkoj partiji ni kandidat na izborima; za vrijeme kandidature mandat miruje.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member of the Board or of the Grants Committee cannot at the same time hold an office in a political party or be a candidate in an election; the mandate is suspended for the duration of the candidacy.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 ne koristi podatke o donatorima, korisnicima, sponzorima, volonterima i učesnicima ni za koju svrhu van udruženja, ni za vrijeme funkcije ni nakon nje. Imovina, oprema, nalozi i naziv udruženja koriste se samo za rad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 does not use data on donors, beneficiaries, sponsors, volunteers and participants for any purpose outside the association, either during the function or after it. The assets, equipment, accounts and name of the association are used only for the work of the association.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IV. POSTUPAK</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IV. PROCEDURE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10 — Godišnja izjava i registar interesa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10 — Annual declaration and register of interests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Svaki član Upravnog odbora, Komisije za dodjelu sredstava, Izvršni direktor, zaposleni i lica ogranaka potpisuju izjavu o interesima pri stupanju na funkciju i zatim svake godine do [[PLACEHOLDER: datum, npr. 31. januara]], a dopunjuju je u roku od 30 dana od svake promjene.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Every member of the Board, every member of the Grants Committee, the Executive Director, employees and chapter officers sign a declaration of interests on taking office and then every year by [[PLACEHOLDER: date, e.g. 31 January]], and update it within 30 days of any change.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Izjava sadrži: zaposlenje i poslovne aktivnosti obveznika; udjele i funkcije u pravnim licima; funkcije u drugim organizacijama i političke funkcije; povezana lica koja su zaposlena, sponzori, dobavljači, korisnici ili podnosioci prijava udruženja, koliko je obvezniku poznato; primljene poklone iznad praga iz člana 15; potvrdu da je obveznik pročitao ova pravila.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declaration contains: the covered person's employment and business activities; stakes and offices in legal entities; offices in other organisations and political offices; connected persons who are employees, sponsors, suppliers, beneficiaries or applicants of the association, as far as known to the covered person; gifts received above the threshold in Article 15; confirmation that the covered person has read these rules.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Izjave čine registar interesa, koji vodi Izvršni direktor; izjave Izvršnog direktora čuva predsjednik Upravnog odbora. Registar je dostupan članovima Upravnog odbora i Komisije, računovođi i revizoru, a svakom članu udruženja na zahtjev u dijelu koji se odnosi na članove organa. Sažetak (broj izjava, broj prijavljenih sukoba i izuzeća, ugovori sa povezanim licima) objavljuje se u godišnjem izvještaju.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declarations form the register of interests, which is kept by the Executive Director; the Executive Director's declarations are kept by the President of the Board. The register is available to the members of the Board and of the Committee, to the accountant and to the auditor, and to any member of the association on request in the part concerning members of governing bodies. A summary (number of declarations, number of conflicts declared and recusals, contracts with connected persons) is published in the annual report.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Lični podaci iz registra obrađuju se samo u svrhu ovih pravila i čuvaju [[PLACEHOLDER: broj]] godina od prestanka funkcije.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Personal data in the register is processed only for the purposes of these rules and kept for [[PLACEHOLDER: number]] years after the function ends.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11 — Prijava u konkretnom slučaju</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11 — Declaration in a specific case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 prijavljuje sukob interesa predsjedavajućem organa, odnosno Izvršnom direktoru, čim primi materijal ili sazna za pitanje, a najkasnije na početku rasprave. Prijava se unosi u zapisnik sa opisom interesa.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 declares a conflict of interest to the chair of the body, or to the Executive Director, as soon as they receive the papers or learn of the matter, and at the latest at the start of the discussion. The declaration is minuted with a description of the interest.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drugi član organa smatra da obveznik ima sukob koji nije prijavio, iznosi to prije rasprave; o tome odlučuje organ bez tog obveznika.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another member of the body believes that a covered person has a conflict they have not declared, they raise it before the discussion; the body decides on it without that covered person.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12 — Izuzeće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12 — Recusal</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 u sukobu interesa: ne dobija materijal o tom pitanju, osim ako je nužan za prijavu; napušta prostoriju ili vezu za vrijeme rasprave i glasanja; ne glasa; ne razgovara o pitanju sa članovima organa van sjednice; ne učestvuje u sprovođenju odluke ako to nosi novi uticaj.</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 with a conflict of interest: receives no papers on that matter, except where necessary for the declaration; leaves the room or the call for the duration of the discussion and vote; does not vote; does not discuss the matter with members of the body outside the meeting; does not take part in implementing the decision where that carries new influence.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Zapisnik bilježi prijavu, izuzeće, vrijeme napuštanja i vraćanja i da je odluka donesena bez izuzetog lica. Izuzeti se ne računa u kvorum za to pitanje. Ako izuzeća naruše kvorum, primjenjuje se član 39 Statuta, odnosno kriterijumi za dodjelu sredstava, odjeljak 10.</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minutes record the declaration, the recusal, the times of leaving and returning, and that the decision was taken without the recused person. The recused person does not count towards the quorum on that item. If recusals break the quorum, Article 39 of the Statute or, as the case may be, section 10 of the grant criteria applies.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Izuzetno, organ može jednoglasno odlučiti da obveznik ostane prisutan samo da bi dao činjenične informacije, nakon čega napušta sjednicu.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Exceptionally, the body may decide unanimously that the covered person remains present only to give factual information, after which they leave the meeting.</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13 — Ko odlučuje o postojanju sukoba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13 — Who decides whether a conflict exists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 tome da li sukob postoji i o mjerama odlučuje: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Whether a conflict exists, and the measures to take, are decided:</w:t>
            </w:r>
          </w:p>
        </w:tc>
      </w:tr>
      <w:tr>
        <w:tc>
          <w:tcPr>
            <w:tcW w:type="dxa" w:w="4953"/>
            <w:tcMar>
              <w:top w:type="dxa" w:w="80"/>
              <w:left w:type="dxa" w:w="100"/>
              <w:bottom w:type="dxa" w:w="80"/>
              <w:right w:type="dxa" w:w="100"/>
            </w:tcMar>
          </w:tcPr>
          <w:p>
            <w:pPr>
              <w:pStyle w:val="ListParagraph"/>
              <w:numPr>
                <w:ilvl w:val="0"/>
                <w:numId w:val="8"/>
              </w:numPr>
              <w:spacing w:after="40"/>
            </w:pPr>
            <w:r>
              <w:rPr>
                <w:rFonts w:ascii="Arial" w:cs="Arial" w:eastAsia="Arial" w:hAnsi="Arial"/>
                <w:sz w:val="18"/>
                <w:szCs w:val="18"/>
              </w:rPr>
              <w:t xml:space="preserve">za člana Skupštine: Predsjednik Skupštine;</w:t>
            </w:r>
          </w:p>
          <w:p>
            <w:pPr>
              <w:pStyle w:val="ListParagraph"/>
              <w:numPr>
                <w:ilvl w:val="0"/>
                <w:numId w:val="8"/>
              </w:numPr>
              <w:spacing w:after="40"/>
            </w:pPr>
            <w:r>
              <w:rPr>
                <w:rFonts w:ascii="Arial" w:cs="Arial" w:eastAsia="Arial" w:hAnsi="Arial"/>
                <w:sz w:val="18"/>
                <w:szCs w:val="18"/>
              </w:rPr>
              <w:t xml:space="preserve">za člana Upravnog odbora: Upravni odbor bez tog člana;</w:t>
            </w:r>
          </w:p>
          <w:p>
            <w:pPr>
              <w:pStyle w:val="ListParagraph"/>
              <w:numPr>
                <w:ilvl w:val="0"/>
                <w:numId w:val="8"/>
              </w:numPr>
              <w:spacing w:after="40"/>
            </w:pPr>
            <w:r>
              <w:rPr>
                <w:rFonts w:ascii="Arial" w:cs="Arial" w:eastAsia="Arial" w:hAnsi="Arial"/>
                <w:sz w:val="18"/>
                <w:szCs w:val="18"/>
              </w:rPr>
              <w:t xml:space="preserve">za člana Komisije za dodjelu sredstava: Komisija bez tog člana; ako je sporno, Upravni odbor;</w:t>
            </w:r>
          </w:p>
          <w:p>
            <w:pPr>
              <w:pStyle w:val="ListParagraph"/>
              <w:numPr>
                <w:ilvl w:val="0"/>
                <w:numId w:val="8"/>
              </w:numPr>
              <w:spacing w:after="40"/>
            </w:pPr>
            <w:r>
              <w:rPr>
                <w:rFonts w:ascii="Arial" w:cs="Arial" w:eastAsia="Arial" w:hAnsi="Arial"/>
                <w:sz w:val="18"/>
                <w:szCs w:val="18"/>
              </w:rPr>
              <w:t xml:space="preserve">za Izvršnog direktora: predsjednik Upravnog odbora, a u slučaju spora Upravni odbor;</w:t>
            </w:r>
          </w:p>
          <w:p>
            <w:pPr>
              <w:pStyle w:val="ListParagraph"/>
              <w:numPr>
                <w:ilvl w:val="0"/>
                <w:numId w:val="8"/>
              </w:numPr>
              <w:spacing w:after="40"/>
            </w:pPr>
            <w:r>
              <w:rPr>
                <w:rFonts w:ascii="Arial" w:cs="Arial" w:eastAsia="Arial" w:hAnsi="Arial"/>
                <w:sz w:val="18"/>
                <w:szCs w:val="18"/>
              </w:rPr>
              <w:t xml:space="preserve">za zaposlene, lica ogranaka, volontere i saradnike: Izvršni direktor, a za lica ogranaka po pribavljenom mišljenju rukovodioca ogranka.</w:t>
            </w:r>
          </w:p>
        </w:tc>
        <w:tc>
          <w:tcPr>
            <w:tcW w:type="dxa" w:w="4953"/>
            <w:tcMar>
              <w:top w:type="dxa" w:w="80"/>
              <w:left w:type="dxa" w:w="100"/>
              <w:bottom w:type="dxa" w:w="80"/>
              <w:right w:type="dxa" w:w="100"/>
            </w:tcMar>
          </w:tcPr>
          <w:p>
            <w:pPr>
              <w:pStyle w:val="ListParagraph"/>
              <w:numPr>
                <w:ilvl w:val="0"/>
                <w:numId w:val="9"/>
              </w:numPr>
              <w:spacing w:after="40"/>
            </w:pPr>
            <w:r>
              <w:rPr>
                <w:rFonts w:ascii="Arial" w:cs="Arial" w:eastAsia="Arial" w:hAnsi="Arial"/>
                <w:sz w:val="18"/>
                <w:szCs w:val="18"/>
              </w:rPr>
              <w:t xml:space="preserve">for a member of the Assembly: by the President of the Assembly;</w:t>
            </w:r>
          </w:p>
          <w:p>
            <w:pPr>
              <w:pStyle w:val="ListParagraph"/>
              <w:numPr>
                <w:ilvl w:val="0"/>
                <w:numId w:val="9"/>
              </w:numPr>
              <w:spacing w:after="40"/>
            </w:pPr>
            <w:r>
              <w:rPr>
                <w:rFonts w:ascii="Arial" w:cs="Arial" w:eastAsia="Arial" w:hAnsi="Arial"/>
                <w:sz w:val="18"/>
                <w:szCs w:val="18"/>
              </w:rPr>
              <w:t xml:space="preserve">for a member of the Board: by the Board without that member;</w:t>
            </w:r>
          </w:p>
          <w:p>
            <w:pPr>
              <w:pStyle w:val="ListParagraph"/>
              <w:numPr>
                <w:ilvl w:val="0"/>
                <w:numId w:val="9"/>
              </w:numPr>
              <w:spacing w:after="40"/>
            </w:pPr>
            <w:r>
              <w:rPr>
                <w:rFonts w:ascii="Arial" w:cs="Arial" w:eastAsia="Arial" w:hAnsi="Arial"/>
                <w:sz w:val="18"/>
                <w:szCs w:val="18"/>
              </w:rPr>
              <w:t xml:space="preserve">for a member of the Grants Committee: by the Committee without that member; if disputed, by the Board;</w:t>
            </w:r>
          </w:p>
          <w:p>
            <w:pPr>
              <w:pStyle w:val="ListParagraph"/>
              <w:numPr>
                <w:ilvl w:val="0"/>
                <w:numId w:val="9"/>
              </w:numPr>
              <w:spacing w:after="40"/>
            </w:pPr>
            <w:r>
              <w:rPr>
                <w:rFonts w:ascii="Arial" w:cs="Arial" w:eastAsia="Arial" w:hAnsi="Arial"/>
                <w:sz w:val="18"/>
                <w:szCs w:val="18"/>
              </w:rPr>
              <w:t xml:space="preserve">for the Executive Director: by the President of the Board, and in case of dispute by the Board;</w:t>
            </w:r>
          </w:p>
          <w:p>
            <w:pPr>
              <w:pStyle w:val="ListParagraph"/>
              <w:numPr>
                <w:ilvl w:val="0"/>
                <w:numId w:val="9"/>
              </w:numPr>
              <w:spacing w:after="40"/>
            </w:pPr>
            <w:r>
              <w:rPr>
                <w:rFonts w:ascii="Arial" w:cs="Arial" w:eastAsia="Arial" w:hAnsi="Arial"/>
                <w:sz w:val="18"/>
                <w:szCs w:val="18"/>
              </w:rPr>
              <w:t xml:space="preserve">for employees, chapter officers, volunteers and contractors: by the Executive Director, and for chapter officers after obtaining the opinion of the chapter lead.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Odluka se unosi u zapisnik ili registar. Obveznik može tražiti da Upravni odbor preispita odluku iz tačaka 1, 3 i 5; odluka Upravnog odbora je konačna.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decision is minuted or entered in the register. The covered person may ask the Board to review a decision under points 1, 3 and 5; the Board's decision is final.</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14 — Sukob interesa nakon odluke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14 — Conflict of interest discovered after a decision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se nakon odluke utvrdi da je u njenom donošenju učestvovalo lice u neprijavljenom sukobu interesa, organ koji je odluku donio ponovo o njoj odlučuje bez tog lica u roku od 30 dana. Ako je odluka već sprovedena, organ utvrđuje da li je udruženju nastala šteta i primjenjuje član 19.</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it is established after a decision that a person with an undeclared conflict of interest took part in taking it, the body that took the decision decides on it again without that person within 30 days. If the decision has already been implemented, the body establishes whether the association has suffered a loss and applies Article 19.</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 ZARADE, NAKNADE I IMOVINA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 PAY, REMUNERATION AND ASSETS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15 — Načelo</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15 — Principle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Imovina udruženja koristi se samo za ostvarivanje njegovih ciljeva, naknadu opravdanih troškova, zarade i naknade zaposlenih po osnovu stvarno obavljenog rada i druge namjene dopuštene članom 30 Zakona o nevladinim organizacijama. Imovina se ne može raspodijeliti osnivačima, članovima, članovima organa ni zaposlenima.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assets of the association are used only for achieving its goals, reimbursing justified costs, paying salaries and remuneration to employees for work actually done, and other purposes permitted by Article 30 of the Law on Non-Governmental Organisations. The assets cannot be distributed to the founders, members, members of governing bodies or employees.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Isplata zarade za obavljeni rad nije raspodjela imovine. Razlika mora biti očigledna i dokumentovana. Zato: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Paying a salary for work done is not a distribution of assets. The difference must be obvious and documented. Therefore:</w:t>
            </w:r>
          </w:p>
        </w:tc>
      </w:tr>
      <w:tr>
        <w:tc>
          <w:tcPr>
            <w:tcW w:type="dxa" w:w="4953"/>
            <w:tcMar>
              <w:top w:type="dxa" w:w="80"/>
              <w:left w:type="dxa" w:w="100"/>
              <w:bottom w:type="dxa" w:w="80"/>
              <w:right w:type="dxa" w:w="100"/>
            </w:tcMar>
          </w:tcPr>
          <w:p>
            <w:pPr>
              <w:pStyle w:val="ListParagraph"/>
              <w:numPr>
                <w:ilvl w:val="0"/>
                <w:numId w:val="10"/>
              </w:numPr>
              <w:spacing w:after="40"/>
            </w:pPr>
            <w:r>
              <w:rPr>
                <w:rFonts w:ascii="Arial" w:cs="Arial" w:eastAsia="Arial" w:hAnsi="Arial"/>
                <w:b/>
                <w:bCs/>
                <w:sz w:val="18"/>
                <w:szCs w:val="18"/>
              </w:rPr>
              <w:t xml:space="preserve">Ugovor, ne transfer.</w:t>
            </w:r>
            <w:r>
              <w:rPr>
                <w:rFonts w:ascii="Arial" w:cs="Arial" w:eastAsia="Arial" w:hAnsi="Arial"/>
                <w:sz w:val="18"/>
                <w:szCs w:val="18"/>
              </w:rPr>
              <w:t xml:space="preserve"> Svako lice koje prima naknadu ima pisani ugovor, opis posla, evidenciju radnog vremena ili isporučenog rada i isplatu preko obračuna zarada sa plaćenim porezima i doprinosima. Bez izuzetka, ni za osnivače.</w:t>
            </w:r>
          </w:p>
          <w:p>
            <w:pPr>
              <w:pStyle w:val="ListParagraph"/>
              <w:numPr>
                <w:ilvl w:val="0"/>
                <w:numId w:val="10"/>
              </w:numPr>
              <w:spacing w:after="40"/>
            </w:pPr>
            <w:r>
              <w:rPr>
                <w:rFonts w:ascii="Arial" w:cs="Arial" w:eastAsia="Arial" w:hAnsi="Arial"/>
                <w:b/>
                <w:bCs/>
                <w:sz w:val="18"/>
                <w:szCs w:val="18"/>
              </w:rPr>
              <w:t xml:space="preserve">Onaj ko plaća nije onaj ko prima.</w:t>
            </w:r>
            <w:r>
              <w:rPr>
                <w:rFonts w:ascii="Arial" w:cs="Arial" w:eastAsia="Arial" w:hAnsi="Arial"/>
                <w:sz w:val="18"/>
                <w:szCs w:val="18"/>
              </w:rPr>
              <w:t xml:space="preserve"> O zaradi, naknadi i njihovim promjenama odlučuju samo nezavisni članovi Upravnog odbora (Statut, član 34 stav 3). Lice koje prima naknadu ne učestvuje u odluci o svojoj ni o tuđoj naknadi ako je u istom lancu odlučivanja.</w:t>
            </w:r>
          </w:p>
          <w:p>
            <w:pPr>
              <w:pStyle w:val="ListParagraph"/>
              <w:numPr>
                <w:ilvl w:val="0"/>
                <w:numId w:val="10"/>
              </w:numPr>
              <w:spacing w:after="40"/>
            </w:pPr>
            <w:r>
              <w:rPr>
                <w:rFonts w:ascii="Arial" w:cs="Arial" w:eastAsia="Arial" w:hAnsi="Arial"/>
                <w:b/>
                <w:bCs/>
                <w:sz w:val="18"/>
                <w:szCs w:val="18"/>
              </w:rPr>
              <w:t xml:space="preserve">Objavljeni rasponi.</w:t>
            </w:r>
            <w:r>
              <w:rPr>
                <w:rFonts w:ascii="Arial" w:cs="Arial" w:eastAsia="Arial" w:hAnsi="Arial"/>
                <w:sz w:val="18"/>
                <w:szCs w:val="18"/>
              </w:rPr>
              <w:t xml:space="preserve"> Rasponi zarada po radnom mjestu objavljuju se u godišnjem izvještaju, a uporedni podaci na osnovu kojih su utvrđeni unose se u zapisnik Upravnog odbora.</w:t>
            </w:r>
          </w:p>
          <w:p>
            <w:pPr>
              <w:pStyle w:val="ListParagraph"/>
              <w:numPr>
                <w:ilvl w:val="0"/>
                <w:numId w:val="10"/>
              </w:numPr>
              <w:spacing w:after="40"/>
            </w:pPr>
            <w:r>
              <w:rPr>
                <w:rFonts w:ascii="Arial" w:cs="Arial" w:eastAsia="Arial" w:hAnsi="Arial"/>
                <w:b/>
                <w:bCs/>
                <w:sz w:val="18"/>
                <w:szCs w:val="18"/>
              </w:rPr>
              <w:t xml:space="preserve">Bez srodnika na platnom spisku</w:t>
            </w:r>
            <w:r>
              <w:rPr>
                <w:rFonts w:ascii="Arial" w:cs="Arial" w:eastAsia="Arial" w:hAnsi="Arial"/>
                <w:sz w:val="18"/>
                <w:szCs w:val="18"/>
              </w:rPr>
              <w:t xml:space="preserve"> u periodu iz člana 8.</w:t>
            </w:r>
          </w:p>
          <w:p>
            <w:pPr>
              <w:pStyle w:val="ListParagraph"/>
              <w:numPr>
                <w:ilvl w:val="0"/>
                <w:numId w:val="10"/>
              </w:numPr>
              <w:spacing w:after="40"/>
            </w:pPr>
            <w:r>
              <w:rPr>
                <w:rFonts w:ascii="Arial" w:cs="Arial" w:eastAsia="Arial" w:hAnsi="Arial"/>
                <w:b/>
                <w:bCs/>
                <w:sz w:val="18"/>
                <w:szCs w:val="18"/>
              </w:rPr>
              <w:t xml:space="preserve">Pisano mišljenje prije prve isplate.</w:t>
            </w:r>
            <w:r>
              <w:rPr>
                <w:rFonts w:ascii="Arial" w:cs="Arial" w:eastAsia="Arial" w:hAnsi="Arial"/>
                <w:sz w:val="18"/>
                <w:szCs w:val="18"/>
              </w:rPr>
              <w:t xml:space="preserve"> Prije prve isplate zarade ili honorara bilo kom obvezniku, Upravni odbor pribavlja pisano mišljenje računovođe ili pravnika u Crnoj Gori o usklađenosti sa Zakonom o nevladinim organizacijama i poreskim propisima, i čuva ga u registru.</w:t>
            </w:r>
          </w:p>
          <w:p>
            <w:pPr>
              <w:pStyle w:val="ListParagraph"/>
              <w:numPr>
                <w:ilvl w:val="0"/>
                <w:numId w:val="10"/>
              </w:numPr>
              <w:spacing w:after="40"/>
            </w:pPr>
            <w:r>
              <w:rPr>
                <w:rFonts w:ascii="Arial" w:cs="Arial" w:eastAsia="Arial" w:hAnsi="Arial"/>
                <w:b/>
                <w:bCs/>
                <w:sz w:val="18"/>
                <w:szCs w:val="18"/>
              </w:rPr>
              <w:t xml:space="preserve">Bez nagrada iz priloga.</w:t>
            </w:r>
            <w:r>
              <w:rPr>
                <w:rFonts w:ascii="Arial" w:cs="Arial" w:eastAsia="Arial" w:hAnsi="Arial"/>
                <w:sz w:val="18"/>
                <w:szCs w:val="18"/>
              </w:rPr>
              <w:t xml:space="preserve"> Zarade, naknade i nagrade ne isplaćuju se iz priloga i donacija prikupljenih za korisnike (Statut, član 34 stav 2).</w:t>
            </w:r>
          </w:p>
        </w:tc>
        <w:tc>
          <w:tcPr>
            <w:tcW w:type="dxa" w:w="4953"/>
            <w:tcMar>
              <w:top w:type="dxa" w:w="80"/>
              <w:left w:type="dxa" w:w="100"/>
              <w:bottom w:type="dxa" w:w="80"/>
              <w:right w:type="dxa" w:w="100"/>
            </w:tcMar>
          </w:tcPr>
          <w:p>
            <w:pPr>
              <w:pStyle w:val="ListParagraph"/>
              <w:numPr>
                <w:ilvl w:val="0"/>
                <w:numId w:val="11"/>
              </w:numPr>
              <w:spacing w:after="40"/>
            </w:pPr>
            <w:r>
              <w:rPr>
                <w:rFonts w:ascii="Arial" w:cs="Arial" w:eastAsia="Arial" w:hAnsi="Arial"/>
                <w:b/>
                <w:bCs/>
                <w:sz w:val="18"/>
                <w:szCs w:val="18"/>
              </w:rPr>
              <w:t xml:space="preserve">A contract, not a transfer.</w:t>
            </w:r>
            <w:r>
              <w:rPr>
                <w:rFonts w:ascii="Arial" w:cs="Arial" w:eastAsia="Arial" w:hAnsi="Arial"/>
                <w:sz w:val="18"/>
                <w:szCs w:val="18"/>
              </w:rPr>
              <w:t xml:space="preserve"> Every person who receives remuneration has a written contract, a job description, records of working time or of work delivered, and payment through payroll with taxes and contributions paid. Without exception, not even for the founders.</w:t>
            </w:r>
          </w:p>
          <w:p>
            <w:pPr>
              <w:pStyle w:val="ListParagraph"/>
              <w:numPr>
                <w:ilvl w:val="0"/>
                <w:numId w:val="11"/>
              </w:numPr>
              <w:spacing w:after="40"/>
            </w:pPr>
            <w:r>
              <w:rPr>
                <w:rFonts w:ascii="Arial" w:cs="Arial" w:eastAsia="Arial" w:hAnsi="Arial"/>
                <w:b/>
                <w:bCs/>
                <w:sz w:val="18"/>
                <w:szCs w:val="18"/>
              </w:rPr>
              <w:t xml:space="preserve">The payer is never the payee.</w:t>
            </w:r>
            <w:r>
              <w:rPr>
                <w:rFonts w:ascii="Arial" w:cs="Arial" w:eastAsia="Arial" w:hAnsi="Arial"/>
                <w:sz w:val="18"/>
                <w:szCs w:val="18"/>
              </w:rPr>
              <w:t xml:space="preserve"> Only the independent members of the Board decide on salaries, remuneration and changes to them (Statute, Article 34 paragraph 3). A person who receives remuneration takes no part in the decision on their own remuneration, nor on another's if they are in the same chain of decision.</w:t>
            </w:r>
          </w:p>
          <w:p>
            <w:pPr>
              <w:pStyle w:val="ListParagraph"/>
              <w:numPr>
                <w:ilvl w:val="0"/>
                <w:numId w:val="11"/>
              </w:numPr>
              <w:spacing w:after="40"/>
            </w:pPr>
            <w:r>
              <w:rPr>
                <w:rFonts w:ascii="Arial" w:cs="Arial" w:eastAsia="Arial" w:hAnsi="Arial"/>
                <w:b/>
                <w:bCs/>
                <w:sz w:val="18"/>
                <w:szCs w:val="18"/>
              </w:rPr>
              <w:t xml:space="preserve">Published bands.</w:t>
            </w:r>
            <w:r>
              <w:rPr>
                <w:rFonts w:ascii="Arial" w:cs="Arial" w:eastAsia="Arial" w:hAnsi="Arial"/>
                <w:sz w:val="18"/>
                <w:szCs w:val="18"/>
              </w:rPr>
              <w:t xml:space="preserve"> Pay bands per position are published in the annual report, and the benchmark data on which they were set is entered in the minutes of the Board.</w:t>
            </w:r>
          </w:p>
          <w:p>
            <w:pPr>
              <w:pStyle w:val="ListParagraph"/>
              <w:numPr>
                <w:ilvl w:val="0"/>
                <w:numId w:val="11"/>
              </w:numPr>
              <w:spacing w:after="40"/>
            </w:pPr>
            <w:r>
              <w:rPr>
                <w:rFonts w:ascii="Arial" w:cs="Arial" w:eastAsia="Arial" w:hAnsi="Arial"/>
                <w:b/>
                <w:bCs/>
                <w:sz w:val="18"/>
                <w:szCs w:val="18"/>
              </w:rPr>
              <w:t xml:space="preserve">No relatives on the payroll</w:t>
            </w:r>
            <w:r>
              <w:rPr>
                <w:rFonts w:ascii="Arial" w:cs="Arial" w:eastAsia="Arial" w:hAnsi="Arial"/>
                <w:sz w:val="18"/>
                <w:szCs w:val="18"/>
              </w:rPr>
              <w:t xml:space="preserve"> for the period under Article 8.</w:t>
            </w:r>
          </w:p>
          <w:p>
            <w:pPr>
              <w:pStyle w:val="ListParagraph"/>
              <w:numPr>
                <w:ilvl w:val="0"/>
                <w:numId w:val="11"/>
              </w:numPr>
              <w:spacing w:after="40"/>
            </w:pPr>
            <w:r>
              <w:rPr>
                <w:rFonts w:ascii="Arial" w:cs="Arial" w:eastAsia="Arial" w:hAnsi="Arial"/>
                <w:b/>
                <w:bCs/>
                <w:sz w:val="18"/>
                <w:szCs w:val="18"/>
              </w:rPr>
              <w:t xml:space="preserve">A written opinion before the first payment.</w:t>
            </w:r>
            <w:r>
              <w:rPr>
                <w:rFonts w:ascii="Arial" w:cs="Arial" w:eastAsia="Arial" w:hAnsi="Arial"/>
                <w:sz w:val="18"/>
                <w:szCs w:val="18"/>
              </w:rPr>
              <w:t xml:space="preserve"> Before the first payment of a salary or fee to any covered person, the Board obtains a written opinion from an accountant or lawyer in Montenegro on compliance with the Law on Non-Governmental Organisations and tax regulations, and keeps it in the register.</w:t>
            </w:r>
          </w:p>
          <w:p>
            <w:pPr>
              <w:pStyle w:val="ListParagraph"/>
              <w:numPr>
                <w:ilvl w:val="0"/>
                <w:numId w:val="11"/>
              </w:numPr>
              <w:spacing w:after="40"/>
            </w:pPr>
            <w:r>
              <w:rPr>
                <w:rFonts w:ascii="Arial" w:cs="Arial" w:eastAsia="Arial" w:hAnsi="Arial"/>
                <w:b/>
                <w:bCs/>
                <w:sz w:val="18"/>
                <w:szCs w:val="18"/>
              </w:rPr>
              <w:t xml:space="preserve">No awards out of contributions.</w:t>
            </w:r>
            <w:r>
              <w:rPr>
                <w:rFonts w:ascii="Arial" w:cs="Arial" w:eastAsia="Arial" w:hAnsi="Arial"/>
                <w:sz w:val="18"/>
                <w:szCs w:val="18"/>
              </w:rPr>
              <w:t xml:space="preserve"> Salaries, remuneration and awards are not paid out of contributions and donations collected for beneficiaries (Statute, Article 34 paragraph 2).</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Naknada opravdanih troškova (putni troškovi, materijal, oprema kupljena za udruženje) isplaćuje se uz račun i odobrenje, po pravilima o troškovima, i nije naknada za rad.</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Reimbursement of justified costs (travel costs, materials, equipment bought for the association) is paid against a receipt and with approval, under the expenses rules, and is not remuneration for work.</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 POKLONI I GOSTOPRIMSTVO</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 GIFTS AND HOSPITALITY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16 — Pokloni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16 — Gifts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 ne prima novac, vaučere ni ekvivalent novca ni od koga u vezi sa radom udruženja, u bilo kom iznosu.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 does not accept cash, vouchers or cash equivalents from anyone in connection with the work of the association, in any amount.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 može primiti poklon simbolične vrijednosti do [[PLACEHOLDER: iznos, npr. 30]] EUR (promotivni predmeti, hrana i piće na događaju, zahvalnica). Poklon veće vrijednosti odbija se ili, ako odbijanje nije moguće bez uvrede, predaje udruženju i evidentira u registru poklona sa datumom, davaocem, opisom i procijenjenom vrijednošću; o njegovoj upotrebi odlučuje Izvršni direktor.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 may accept a gift of token value up to [[PLACEHOLDER: amount, e.g. 30]] EUR (promotional items, food and drink at an event, a letter of thanks). A gift of higher value is declined or, where declining is not possible without offence, handed over to the association and entered in the gifts register with the date, the giver, a description and an estimated value; the Executive Director decides on its use.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Poklon od korisnika, podnosioca prijave ili dobavljača u toku postupka odbija se bez obzira na vrijednost.</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gift from a beneficiary, an applicant or a supplier during a procedure is declined regardless of its value.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Više poklona od istog davaoca u godini sabira se.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Several gifts from the same giver in a year are added together.</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 — Gostoprimstvo i putovanja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 — Hospitality and travel</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Gostoprimstvo sponzora ili partnera (ručak, ulaznica, smještaj) prihvata se samo ako je vezano za posao udruženja, srazmjerno prilici i evidentirano u registru poklona kada prelazi [[PLACEHOLDER: iznos]] EUR po prilici. Putovanja i smještaj koje plaća treće lice odobrava unaprijed Izvršni direktor, a za Izvršnog direktora predsjednik Upravnog odbora.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Hospitality from a sponsor or partner (a lunch, a ticket, accommodation) is accepted only if it is tied to the association's business, proportionate to the occasion and entered in the gifts register when it exceeds [[PLACEHOLDER: amount]] EUR per occasion. Travel and accommodation paid by a third party are approved in advance by the Executive Director, and for the Executive Director by the President of the Board.</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VII. PRIJAVLJIVANJE POVREDA I MJERE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VII. REPORTING BREACHES AND MEASURES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18 — Prijavljivanje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18 — Reporting</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Svako, uključujući članove, volontere, donatore i korisnike, može prijaviti sumnju na povredu ovih pravila predsjedniku Upravnog odbora ili, ako se prijava tiče njega, predsjedniku Komisije za dodjelu sredstava, na adresu objavljenu na internet stranici udruženja. Prijava može biti anonimna.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Anyone, including members, volunteers, donors and beneficiaries, may report a suspected breach of these rules to the President of the Board or, if the report concerns the President, to the chair of the Grants Committee, at the address published on the association's website. A report may be anonymous.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Lice koje u dobroj vjeri prijavi sumnju ne smije zbog toga trpjeti nikakve posljedice; svaka mjera protiv njega zbog prijave je sama povreda ovih pravila.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person who reports a suspicion in good faith must not suffer any consequences for doing so; any measure against them because of the report is itself a breach of these rules.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Primalac prijave u roku od 15 dana provjerava navode, pribavlja izjavu lica na koje se prijava odnosi i podnosi nalaz Upravnom odboru, koji odlučuje bez članova na koje se prijava odnosi.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recipient of the report checks the allegations within 15 days, obtains a statement from the person the report concerns and submits findings to the Board, which decides without the members the report concerns.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19 — Mjere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19 — Measures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povredu ovih pravila, srazmjerno težini, mogu se izreći: pisana opomena; ponovno odlučivanje bez tog lica (član 14); poništenje ili raskid ugovora zaključenog u sukobu interesa, kada je to moguće; zahtjev za povraćaj koristi ili naknadu štete; razrješenje sa funkcije po Statutu; prestanak radnog odnosa ili angažmana po ugovoru i zakonu; prestanak članstva (Statut, član 37).</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a breach of these rules, in proportion to its seriousness, the following may be imposed: a written warning; a new decision without that person (Article 14); annulment or termination of a contract concluded under a conflict of interest, where possible; a claim for the return of the benefit or for damages; dismissal from the function under the Statute; termination of employment or engagement under the contract and the law; termination of membership (Statute, Article 37).</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Namjerno prikrivanje sukoba interesa u vezi sa dodjelom sredstava korisnicima ili sa ugovorom povlači razrješenje.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Deliberately concealing a conflict of interest in connection with an allocation of funds to beneficiaries or with a contract leads to dismissal.</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VIII. OBJAVLJIVANJE I ZAVRŠNE ODREDBE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VIII. PUBLICATION AND FINAL PROVISIONS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20 — Objavljivanje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20 — Publication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objavljuje ova pravila na svojoj internet stranici. Godišnji izvještaj o radu sadrži: broj primljenih izjava o interesima; broj prijavljenih sukoba i izuzeća po organu; svaki ugovor sa povezanim licem (druga strana, predmet, iznos); raspone zarada; sažetak registra poklona; broj prijava povreda i ishod.</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publishes these rules on its website. The annual activity report contains: the number of declarations of interests received; the number of conflicts declared and recusals per body; every contract with a connected person (other party, subject, amount); pay bands; a summary of the gifts register; the number of reports of breaches and their outcome.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21 — Obuka i preispitivanje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21 — Training and review</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Svaki obveznik prolazi kratko upoznavanje sa ovim pravilima pri stupanju na funkciju, a članovi organa jednom godišnje. Upravni odbor preispituje pravila najmanje jednom godišnje i po svakom slučaju iz člana 18.</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Every covered person receives a short induction to these rules on taking office, and members of governing bodies once a year. The Board reviews the rules at least once a year and after every case under Article 18.</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Pravila stupaju na snagu danom usvajanja na Upravnom odboru. Do izbora Upravnog odbora, ovlašćenja Upravnog odbora iz ovih pravila vrši Skupština, a ovlašćenja predsjednika Upravnog odbora Predsjednik Skupštine.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rules enter into force on the day of their adoption by the Board. Until the Board is elected, the powers of the Board under these rules are exercised by the Assembly, and the powers of the President of the Board by the President of the Assembly.</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2026-09-28T12:40:27.036Z</dcterms:created>
  <dcterms:modified xsi:type="dcterms:W3CDTF">2026-09-28T12:40:27.037Z</dcterms:modified>
</cp:coreProperties>
</file>

<file path=docProps/custom.xml><?xml version="1.0" encoding="utf-8"?>
<Properties xmlns="http://schemas.openxmlformats.org/officeDocument/2006/custom-properties" xmlns:vt="http://schemas.openxmlformats.org/officeDocument/2006/docPropsVTypes"/>
</file>