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Guidance on drafting the statute of an association</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(original obrasca)</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Statute of an association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Statut udruženja</w:t>
            </w:r>
          </w:p>
          <w:p>
            <w:pPr>
              <w:spacing w:after="100"/>
            </w:pPr>
            <w:r>
              <w:rPr>
                <w:rFonts w:ascii="Arial" w:cs="Arial" w:eastAsia="Arial" w:hAnsi="Arial"/>
                <w:sz w:val="18"/>
                <w:szCs w:val="18"/>
              </w:rPr>
              <w:t xml:space="preserve">U skladu sa Zakonom o nevladinim organizacijama ( Sl. List CG 39/11. 37/17), statutom se obavezno uređuju sljedeća pitanja: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English translation of </w:t>
            </w:r>
            <w:r>
              <w:rPr>
                <w:rFonts w:ascii="Arial" w:cs="Arial" w:eastAsia="Arial" w:hAnsi="Arial"/>
                <w:i/>
                <w:iCs/>
                <w:sz w:val="18"/>
                <w:szCs w:val="18"/>
              </w:rPr>
              <w:t xml:space="preserve">Uputstvo za izradu statuta udruženja</w:t>
            </w:r>
            <w:r>
              <w:rPr>
                <w:rFonts w:ascii="Arial" w:cs="Arial" w:eastAsia="Arial" w:hAnsi="Arial"/>
                <w:sz w:val="18"/>
                <w:szCs w:val="18"/>
              </w:rPr>
              <w:t xml:space="preserve">. Translation only; editorial notes are marked </w:t>
            </w:r>
            <w:r>
              <w:rPr>
                <w:rFonts w:ascii="Arial" w:cs="Arial" w:eastAsia="Arial" w:hAnsi="Arial"/>
                <w:b/>
                <w:bCs/>
                <w:sz w:val="18"/>
                <w:szCs w:val="18"/>
              </w:rPr>
              <w:t xml:space="preserve">[Translator's note]</w:t>
            </w:r>
            <w:r>
              <w:rPr>
                <w:rFonts w:ascii="Arial" w:cs="Arial" w:eastAsia="Arial" w:hAnsi="Arial"/>
                <w:sz w:val="18"/>
                <w:szCs w:val="18"/>
              </w:rPr>
              <w:t xml:space="preserve">.</w:t>
            </w:r>
          </w:p>
          <w:p>
            <w:pPr>
              <w:spacing w:after="100"/>
            </w:pPr>
            <w:r>
              <w:rPr>
                <w:rFonts w:ascii="Arial" w:cs="Arial" w:eastAsia="Arial" w:hAnsi="Arial"/>
                <w:sz w:val="18"/>
                <w:szCs w:val="18"/>
              </w:rPr>
              <w:t xml:space="preserve">In accordance with the Law on Non-Governmental Organisations (Official Gazette of Montenegro 39/11, 37/17), the statute must regulate the following matters: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Naziv udruženja – u pogledu naziva treba imati u vidu odredbu člana 13 Zakona, po kojoj se naziv novoosnovanog udruženja mora razlikovati po nazivu od drugih udruženja koja su upisana u odgovarajući registar. Ukoliko su dvije ili više NVO sa istim nazivom podnijele prijavu za upis u registar, upisaće se ona organizacija koja je prva podnijela urednu i potpunu prijavu. Naziv udruženja mora se upisati na crnogorskom jeziku. Međutim, naziv udruženja na crnogorskom jeziku može da sadrži strane riječi ako te riječi čine ime strane ili međunarodne organizacije čija je članica, ili riječi koje se uobičajeno koriste u crnogorskom jeziku ili za njih nema odgovarajućih riječi u crnogorskom jeziku ili se radi o latinskim izrazima. Zakonom je regulisana i mogućnost da se naziv udruženja može upisati i na jeziku u službenoj upotrebi kao i na jednom ili više stranih jezika. Naziv udruženja može da sadrži ime fizičkog lica ako je to lice dalo pristanak, odnosno ako su za umrlo lice pristanak dali njegovi nasljednici. Nevladino udruženje može imati i skraćeni naziv koji se određuje statutom.</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Name of the association.</w:t>
            </w:r>
            <w:r>
              <w:rPr>
                <w:rFonts w:ascii="Arial" w:cs="Arial" w:eastAsia="Arial" w:hAnsi="Arial"/>
                <w:sz w:val="18"/>
                <w:szCs w:val="18"/>
              </w:rPr>
              <w:t xml:space="preserve"> As regards the name, bear in mind Article 13 of the Law, under which the name of a newly founded association must differ from the names of other associations entered in the relevant register. If two or more NGOs with the same name have submitted an application for entry in the register, the organisation that first submitted an orderly and complete application will be entered. The name of the association must be entered in the Montenegrin language. However, the name of the association in Montenegrin may contain foreign words if those words form the name of a foreign or international organisation of which it is a member, or words that are commonly used in the Montenegrin language, or for which there are no corresponding words in Montenegrin, or if they are Latin expressions. The Law also provides the possibility of entering the name of the association in a language in official use as well as in one or more foreign languages. The name of the association may contain the name of a natural person if that person has given consent, or, for a deceased person, if their heirs have given consent. A non-governmental association may also have an abbreviated name, which is determined by the statute.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Sjedište udruženja - upisati naziv opštine u kojoj je sjedište udruženja.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Seat of the association.</w:t>
            </w:r>
            <w:r>
              <w:rPr>
                <w:rFonts w:ascii="Arial" w:cs="Arial" w:eastAsia="Arial" w:hAnsi="Arial"/>
                <w:sz w:val="18"/>
                <w:szCs w:val="18"/>
              </w:rPr>
              <w:t xml:space="preserve"> Enter the name of the municipality in which the association has its seat.</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Ciljevi – ovim odredbama bi trebalo jasno i koncizno utvrditi osnovne ciljeve i djelatnosti radi kojih se udruženje osniva, vodeći računa i o tome da ciljevi i djelovanje udruženja ne mogu biti usmjereni na nasilno rušenje ustavnog poretka i narušavanje teritorijalne cjelokupnosti Crne Gore, kršenje zajemčenih ljudskih ili manjinskih prava ili izazivanje i nacionalne, rasne, vjerske i druge mržnje i netrpeljivosti.</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Goals.</w:t>
            </w:r>
            <w:r>
              <w:rPr>
                <w:rFonts w:ascii="Arial" w:cs="Arial" w:eastAsia="Arial" w:hAnsi="Arial"/>
                <w:sz w:val="18"/>
                <w:szCs w:val="18"/>
              </w:rPr>
              <w:t xml:space="preserve"> These provisions should clearly and concisely establish the basic goals and activities for which the association is founded, bearing in mind that the goals and action of the association may not be directed at the violent overthrow of the constitutional order and the violation of the territorial integrity of Montenegro, the violation of guaranteed human or minority rights, or the incitement of national, racial, religious and other hatred and intolerance.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Djelatnosti- ovim odredbama bi trebalo definisati konkretne djelatnosti koje će obavljati udruženje, u cilju postizanja svojih ciljeva.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Activities.</w:t>
            </w:r>
            <w:r>
              <w:rPr>
                <w:rFonts w:ascii="Arial" w:cs="Arial" w:eastAsia="Arial" w:hAnsi="Arial"/>
                <w:sz w:val="18"/>
                <w:szCs w:val="18"/>
              </w:rPr>
              <w:t xml:space="preserve"> These provisions should define the specific activities the association will carry out in order to achieve its goals.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Unutrašnja organizacija, organi, njihova ovlašćenja, sastav, način izbora i opoziva, rada i sazivanja sjednica organa upravljanja, kvorum i način odlučivanja, trajanje mandata članova organa upravljanja Zakon propisuje da su organi upravljanja udruženja Skupština i lice ovlašćeno za zastupanje ( direktor, predsjednik, generalni sekretar i sl). Zakon ostavlja mogućnost da se za organ koji ima funkciju skupštine utvrdi drugačiji naziv. Zakon o NVO u članu 23 predviđa mogućnost da se statutom može odrediti način predstavljanja članova u skupštini udruženja preko opunomoćenih predstavnika. Ova mogućnost može biti posebno interesantna i važna za udruženja koja imaju veliki broj članova i koja su teritorijalno razuđena a u odnosu na činjenicu da isti član Zakona predviđa da se redovna sjednica skupštine održava najmanje jednom godišnje. Ukoliko nevladino udruženje želi da riješi na zadovoljavajući normativan način ovo pitanje, onda predlažemo da se u statutu dopiše posebno poglavlje „NAČIN PREDSTAVLJANJA ČLANOVA U SKUPŠTINI UDRUŽENJA PREKO OPUNOMOĆENIH PREDSTAVNIKA” koje se može naći odmah iza poglavlja „KVORUM ZA RAD I ODLUČIVANJE” (tj. člana 17 iz Modela Statuta udrženja kojeg je uradio CRNVO).</w:t>
            </w:r>
          </w:p>
          <w:p>
            <w:pPr>
              <w:spacing w:after="100"/>
            </w:pPr>
            <w:r>
              <w:rPr>
                <w:rFonts w:ascii="Arial" w:cs="Arial" w:eastAsia="Arial" w:hAnsi="Arial"/>
                <w:sz w:val="18"/>
                <w:szCs w:val="18"/>
              </w:rPr>
              <w:t xml:space="preserve">Ovim poglavljem može se definisati što punomoćje treba da sadrži, kako se ono pribavlja, da li se punomoćje obezbjeđuje po teritorijalnom principu ili u odnosu na određeni broj članova skupštine ili neki drugi način itd. Takođe, Zakon ostavlja mogućnost da se statutom predvide i drugi organi. Iako u Zakonu nijesu navedeni, drugi organi mogu biti, Izvršni odbor, Upravni odbor, Nadzorni odbor i sl. S obzirom da su odredbe o organima udruženja od bitnog značaja za njegovo funkcionisanje, statutom treba vrlo pažljivo, precizno i jasno regulisati ta pitanja (koji su organi udruženja, koja su ovlašćenja, vrstu akata koje organi donose, obaveze i odgovornosti svakog od tih organa, sastav, izbor i razrešenje, trajanje mandata, kao i način odlučivanja kolektivnih organa – kvorum potreban za punovažno odlučivanje i većina potrebna za donošenje odluka; u slučaju da skupštinu čine predstavnici članova, treba regulisati i način izbora i trajanje mandata tih predstavnika). Osim navedenog, potrebno je definisati i mandat i način opoziva skupštine. Obično se definiše u četvorogodišnjem mandatu, uz opoziv većinskom odlukom skupštine.</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Internal organisation, bodies, their powers, composition, manner of election and recall, work and convening of sessions of governing bodies, quorum and manner of decision-making, duration of the term of members of governing bodies.</w:t>
            </w:r>
            <w:r>
              <w:rPr>
                <w:rFonts w:ascii="Arial" w:cs="Arial" w:eastAsia="Arial" w:hAnsi="Arial"/>
                <w:sz w:val="18"/>
                <w:szCs w:val="18"/>
              </w:rPr>
              <w:t xml:space="preserve"> The Law prescribes that the governing bodies of an association are the Assembly and the person authorised for representation (director, president, general secretary and the like). The Law leaves open the possibility of giving a different name to the body that has the function of the assembly. Article 23 of the Law on NGOs provides that the statute may determine the manner in which members are represented in the assembly of the association through authorised proxies. This possibility may be particularly interesting and important for associations that have a large number of members and that are territorially dispersed, given that the same Article of the Law provides that a regular session of the assembly is held at least once a year. If a non-governmental association wishes to settle this question in a satisfactory normative way, we suggest adding to the statute a separate chapter "MANNER OF REPRESENTING MEMBERS IN THE ASSEMBLY OF THE ASSOCIATION THROUGH AUTHORISED PROXIES", which can be placed immediately after the chapter "QUORUM FOR WORK AND DECISION-MAKING" (i.e. after Article 17 of the Model Statute of an association prepared by CRNVO). </w:t>
            </w:r>
            <w:r>
              <w:rPr>
                <w:rFonts w:ascii="Arial" w:cs="Arial" w:eastAsia="Arial" w:hAnsi="Arial"/>
                <w:b/>
                <w:bCs/>
                <w:sz w:val="18"/>
                <w:szCs w:val="18"/>
              </w:rPr>
              <w:t xml:space="preserve">[Translator's note: CRNVO is the Centre for Development of Non-Governmental Organisations, the author of the statute template you received.]</w:t>
            </w:r>
          </w:p>
          <w:p>
            <w:pPr>
              <w:spacing w:after="100"/>
            </w:pPr>
            <w:r>
              <w:rPr>
                <w:rFonts w:ascii="Arial" w:cs="Arial" w:eastAsia="Arial" w:hAnsi="Arial"/>
                <w:sz w:val="18"/>
                <w:szCs w:val="18"/>
              </w:rPr>
              <w:t xml:space="preserve">This chapter can define what a proxy must contain, how it is obtained, whether proxies are arranged on a territorial basis or in relation to a certain number of assembly members or in some other way, etc. The Law also leaves open the possibility of providing for other bodies in the statute. Although they are not named in the Law, other bodies may be an Executive Board, a Management Board, a Supervisory Board and the like. Since the provisions on the bodies of the association are of essential importance for its functioning, the statute should regulate these matters very carefully, precisely and clearly (which bodies the association has, what their powers are, the types of acts the bodies adopt, the duties and responsibilities of each of those bodies, composition, election and dismissal, duration of the term, and the manner of decision-making of collective bodies: the quorum required for valid decision-making and the majority required for adopting decisions; if the assembly consists of representatives of members, the manner of election and duration of the term of those representatives should also be regulated). In addition, the term and the manner of recalling the assembly must be defined. It is usually defined as a four-year term, with recall by majority decision of the assembly.</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Zastupanje udruženja –Za zastupnika udruženja može biti određeno samo poslovno sposobno fizičko lice koje ima prebivalište ili boravište na teritoriji Crne Gore. U praksi se najčešće ovlašćenje za zastupanje navodi kao jedna od obaveza nekog individualnog (inokosnog) organa – predsjednika, izvršnog direktora, generalnog sekretara i sl. Udruženje se odlučuje za jedan naziv funkcije. U obrascu Statuta dat je primjer Izvršnog direktora, ali, kao što to i sam Zakon propisuje, udruženje može imenovati predsjednika, generalnog sekretara i sl. za lice ovlašćeno za zastupanje. Važno je da se u statutu jednom utvrđen naziv za ovu funkciju koristi terminološki jednako u kompletnom dokumentu.</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Representation of the association.</w:t>
            </w:r>
            <w:r>
              <w:rPr>
                <w:rFonts w:ascii="Arial" w:cs="Arial" w:eastAsia="Arial" w:hAnsi="Arial"/>
                <w:sz w:val="18"/>
                <w:szCs w:val="18"/>
              </w:rPr>
              <w:t xml:space="preserve"> Only a natural person with legal capacity who has permanent or temporary residence in the territory of Montenegro may be designated as the representative of the association. In practice, the power of representation is most often listed as one of the duties of an individual (single-person) body: president, executive director, general secretary and the like. The association chooses one title for the function. The Statute template gives the example of an Executive Director, but, as the Law itself prescribes, the association may appoint a president, general secretary and the like as the person authorised for representation. It is important that, once the title of this function is established in the statute, it is used with identical terminology throughout the entire document.</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Postupak za izmjene i dopune statuta i način donošenja drugih opštih akata udruženja, ako ih donosi – postupak izmjena i dopuna statuta treba jasno i precizno regulisati, da ne bi bilo sporova oko regularnosti pojedinih izmjena. Zakonom je regulisano da o izmjenama i dopunama statuta odlučuje skupština udruženja, ali statutom treba regulisati i to ko može da inicira izmjene i dopune i da li je za odlučivanje potreban poseban kvorum i/ili posebna većina glasova, i sl.</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Procedure for amending and supplementing the statute and the manner of adopting other general acts of the association, if it adopts them.</w:t>
            </w:r>
            <w:r>
              <w:rPr>
                <w:rFonts w:ascii="Arial" w:cs="Arial" w:eastAsia="Arial" w:hAnsi="Arial"/>
                <w:sz w:val="18"/>
                <w:szCs w:val="18"/>
              </w:rPr>
              <w:t xml:space="preserve"> The procedure for amending and supplementing the statute should be regulated clearly and precisely, so that there are no disputes about the regularity of particular amendments. The Law provides that the assembly of the association decides on amendments and supplements to the statute, but the statute should also regulate who may initiate amendments and supplements and whether a special quorum and/or a special majority of votes is required for the decision, and the like.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Ostvarivanje javnosti rada – odredbama o načinu ostvarivanja javnosti rada udruženja se obično predviđa obavještavanje javnosti o radu NVO putem saopštenja za javnost, internet stranice udruženja, objavljivanjem godišnjeg finansijskog izvještaja, te na drugi pogodan način.</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Public nature of work.</w:t>
            </w:r>
            <w:r>
              <w:rPr>
                <w:rFonts w:ascii="Arial" w:cs="Arial" w:eastAsia="Arial" w:hAnsi="Arial"/>
                <w:sz w:val="18"/>
                <w:szCs w:val="18"/>
              </w:rPr>
              <w:t xml:space="preserve"> Provisions on how the public nature of the association's work is achieved usually provide for informing the public about the NGO's work through press releases, the association's website, publication of the annual financial report, and in other suitable ways.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Način finansiranja, uključujući i odredbe o privrednoj ili drugoj delatnosti kojom se stiče prihod, ako je udruženje obavlja – Prilikom pripreme statuta udruženja posebno treba imati u vidu odredbe čl. 28 i 29 Zakona, tj. da udruženje može sticati imovinu od članarine, dobrovoljnih priloga, donacija i poklona (u novcu ili naturi), zaostavštine, kamata na uloge, zakupnine, dividendi i na drugi zakonom dozvoljeni način. Osim toga, udruženje može obavljati privrednu djelatnost kojom se stiče prihod u skladu sa zakonom kojim se uređuje klasifikacija djelatnosti, pod uslovima predviđenim tim zakonom (da je djelatnost u vezi sa njegovim statutarnim ciljevima, da je predviđena statutom i da je manjeg obima, odnosno da se djelatnost obavlja u obimu potrebnom za ostvarivanje ciljeva udruženja). U statutu treba jasno navesti kojim će se privrednim djelatnostima udruženje baviti. Privredna djelatnost kojom se stiče prihod može se obavljati tek nakon upisa djelatnosti u Centralni registar privrednih subjekata. Kada je u pitanju način korišćenja prihoda ostvarene obavljanjem privredne djelatnosti, Zakon predviđa jasna pravila i ograničenja i ista se mogu preuzeti ili se u statutu može navesti da će se na ta pitanja neposredno primenjivati odgovarajuće odredbe Zakona o nevladinim organizacijama. Odredbe o obavljanju privredne djelatnosti kojom se stiče prihod treba predvidjeti statutom samo ako udruženje obavlja ili ima namjeru da obavlja takvu djelatnost. Ukoliko statut ne sadrži takve odredbe, a udruženje se kasnije odluči da dio sredstava pribavlja i na taj način, mogu se izvršiti odgovarajuće izmjene statuta (i izvršiti upis djelatnosti u Centralni registar privrednih subjekata).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Manner of financing, including provisions on economic or other income-generating activity, if the association carries it out.</w:t>
            </w:r>
            <w:r>
              <w:rPr>
                <w:rFonts w:ascii="Arial" w:cs="Arial" w:eastAsia="Arial" w:hAnsi="Arial"/>
                <w:sz w:val="18"/>
                <w:szCs w:val="18"/>
              </w:rPr>
              <w:t xml:space="preserve"> When preparing the statute, particular attention should be paid to Articles 28 and 29 of the Law, i.e. that the association may acquire assets from membership fees, voluntary contributions, donations and gifts (in money or in kind), bequests, interest on deposits, rent, dividends and in other ways permitted by law. In addition, the association may carry out an income-generating economic activity in accordance with the law governing the classification of activities, under the conditions provided by that law (that the activity is related to its statutory goals, that it is provided for in the statute and that it is of smaller scale, i.e. that the activity is carried out to the extent needed to achieve the association's goals). The statute should clearly state which economic activities the association will engage in. An income-generating economic activity may be carried out only after the activity has been entered in the Central Register of Business Entities. As for the manner of using income earned from economic activity, the Law provides clear rules and restrictions, and these may be copied, or the statute may state that the relevant provisions of the Law on Non-Governmental Organisations apply directly to those matters. Provisions on carrying out an income-generating economic activity should be included in the statute only if the association carries out or intends to carry out such an activity. If the statute does not contain such provisions and the association later decides to obtain part of its funds in that way, appropriate amendments to the statute can be made (and the activity entered in the Central Register of Business Entities).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Raspolaganje imovinom udruženja uključujući i slučaj prestanka rada – ovim odredbama treba regulisati raspolaganje imovinom udruženja, u odnosu na odredbe čl. 30 Zakona, kojim je predviđeno da se imovina može koristiti samo za ostvarivanje ciljeva radi kojih je NVO osnovana, kao i za naknadu opravdanih troškova nastalih ostvarivanjem ciljeva NVO, isplatu zarada, naknada i drugih primanja zaposlenih po osnovu rada, davanje prigodnih nagrada, kao i drugih naknada u skladu sa statutom i projektnim aktivnostima. Članom 40 Zakona predviđeno je da se u slučaju prestanka rada udruženja kao primalac njegove imovine u skladu sa statutom može odrediti samo druga nevladina organizacija ili javna ustanova sa sjedištem u Crnoj Gori koja obavlja djelatnosti u oblastima do javnog interesa čl. 32 st. 2. Zakon dopušta i mogućnost da se statutom ne odredi primalac imovine, s obzirom da je članom 40 predviđeno da će u tom slučaju imovina udruženja pripasti lokalnoj samoupravi na čijoj je teritoriji bilo sjedište organizacije, te da se može može koristiti za ostvarivanje ciljeva radi kojih je organizacija bila osnovana.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Disposal of the association's assets, including in the event of termination of work.</w:t>
            </w:r>
            <w:r>
              <w:rPr>
                <w:rFonts w:ascii="Arial" w:cs="Arial" w:eastAsia="Arial" w:hAnsi="Arial"/>
                <w:sz w:val="18"/>
                <w:szCs w:val="18"/>
              </w:rPr>
              <w:t xml:space="preserve"> These provisions should regulate the disposal of the association's assets in relation to Article 30 of the Law, which provides that assets may be used only to achieve the goals for which the NGO was founded, as well as to reimburse justified costs incurred in achieving the NGO's goals, to pay salaries, remuneration and other earnings of employees on the basis of work, to give occasional awards, and other remuneration in accordance with the statute and project activities. Article 40 of the Law provides that, in the event of termination of the association's work, only another non-governmental organisation or a public institution with its seat in Montenegro that carries out activities in the areas of public interest under Article 32 paragraph 2 may be designated in the statute as the recipient of its assets. The Law also allows the statute not to designate a recipient of the assets, since Article 40 provides that in that case the association's assets pass to the local self-government in whose territory the organisation had its seat, and may be used to achieve the goals for which the organisation was founded.</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Oblik i sadržina pečata – ovim odredbama treba regulisati kako izgleda pečat nevladine organizacije, vodeći računa o tome da se naziv (i eventualni skraćeni naziv) mogu upotrebljavati samo u obliku u kome su upisani u registar. Pečati udruženja obično sadrže naziv i sjedište udruženja i, eventualno, znak, logotip ili neki drugi simbol – ako su isti utvrđeni statutom. U svakom slučaju, pečat nevladine organizacije se mora izraditi u skladu sa odredbom statuta kojom se utvrđuju njegov izgled i sadržina.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Form and content of the seal.</w:t>
            </w:r>
            <w:r>
              <w:rPr>
                <w:rFonts w:ascii="Arial" w:cs="Arial" w:eastAsia="Arial" w:hAnsi="Arial"/>
                <w:sz w:val="18"/>
                <w:szCs w:val="18"/>
              </w:rPr>
              <w:t xml:space="preserve"> These provisions should regulate what the NGO's seal looks like, bearing in mind that the name (and any abbreviated name) may be used only in the form in which they are entered in the register. Seals of associations usually contain the name and seat of the association and, possibly, a sign, logo or other symbol, if these are established by the statute. In any case, the NGO's seal must be made in accordance with the provision of the statute that establishes its appearance and content.</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Prestanak rada udruženja – članom 38. Zakona predviđeni su uslovi za prestanak rada i brisanje NVO iz registra. Kao i za odlučivanje o izmjenama statuta, i za odlučivanje o ovom pitanju se može predvidjeti ko je ovlašćen za podnošenje prijedloga, da li je za odlučivanje potreban poseban kvorum i/ili posebna većina glasova i sl.</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Termination of the association's work.</w:t>
            </w:r>
            <w:r>
              <w:rPr>
                <w:rFonts w:ascii="Arial" w:cs="Arial" w:eastAsia="Arial" w:hAnsi="Arial"/>
                <w:sz w:val="18"/>
                <w:szCs w:val="18"/>
              </w:rPr>
              <w:t xml:space="preserve"> Article 38 of the Law provides the conditions for termination of work and deletion of the NGO from the register. As for decisions on amending the statute, for decisions on this matter it can be provided who is authorised to submit the proposal, whether a special quorum and/or a special majority of votes is required, and the like.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Uslovi za sticanje i gubitak članstva, prava i obaveze članova, kao i način vođenja evidencije članova – ovim odredbama treba regulisati kako se postaje članom udruženja, koja su prava i obaveze članova, kako prestaje članstvo, kome je povjereno vođenje evidencije članova, a posebno koji su razlozi za gubitak članstva, koji organ odlučuje o tome i kakav je postupak za isključenje (na primjer, da li član ima pravo na prigovor ili žalbu, i sl.).</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Conditions for acquiring and losing membership, rights and obligations of members, and the manner of keeping the register of members.</w:t>
            </w:r>
            <w:r>
              <w:rPr>
                <w:rFonts w:ascii="Arial" w:cs="Arial" w:eastAsia="Arial" w:hAnsi="Arial"/>
                <w:sz w:val="18"/>
                <w:szCs w:val="18"/>
              </w:rPr>
              <w:t xml:space="preserve"> These provisions should regulate how one becomes a member of the association, what the rights and obligations of members are, how membership ends, who is entrusted with keeping the register of members, and in particular what the grounds for loss of membership are, which body decides on it and what the procedure for expulsion is (for example, whether the member has the right to an objection or appeal, and the like).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Odredbom o statutu nevladinih organizacija predviđeno je da se statutom mogu urediti i druga pitanja od značaja za djelovanje i rad nevladine organizacije - koja su to pitanja zavisi od samog udruženja, njegovih ciljeva i planiranog načina ostvarivanja tih ciljeva.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The provision on the statute of non-governmental organisations provides that the statute may also regulate </w:t>
            </w:r>
            <w:r>
              <w:rPr>
                <w:rFonts w:ascii="Arial" w:cs="Arial" w:eastAsia="Arial" w:hAnsi="Arial"/>
                <w:b/>
                <w:bCs/>
                <w:sz w:val="18"/>
                <w:szCs w:val="18"/>
              </w:rPr>
              <w:t xml:space="preserve">other matters of importance for the action and work of the non-governmental organisation</w:t>
            </w:r>
            <w:r>
              <w:rPr>
                <w:rFonts w:ascii="Arial" w:cs="Arial" w:eastAsia="Arial" w:hAnsi="Arial"/>
                <w:sz w:val="18"/>
                <w:szCs w:val="18"/>
              </w:rPr>
              <w:t xml:space="preserve">. Which matters those are depends on the association itself, its goals and the planned way of achieving those goals.</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Guidance on drafting the statute of an association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2026-09-30T14:19:24.962Z</dcterms:created>
  <dcterms:modified xsi:type="dcterms:W3CDTF">2026-09-30T14:19:24.962Z</dcterms:modified>
</cp:coreProperties>
</file>

<file path=docProps/custom.xml><?xml version="1.0" encoding="utf-8"?>
<Properties xmlns="http://schemas.openxmlformats.org/officeDocument/2006/custom-properties" xmlns:vt="http://schemas.openxmlformats.org/officeDocument/2006/docPropsVTypes"/>
</file>