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Kriterijumi za dodjelu sredstava korisnicima / Criteria for allocating funds to beneficiaries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of the document the Grants Committee proposes and the Board adopts and publishes under Article 38 of the statute additions (</w:t>
            </w:r>
            <w:r>
              <w:rPr>
                <w:rFonts w:ascii="Courier New" w:cs="Courier New" w:eastAsia="Courier New" w:hAnsi="Courier New"/>
                <w:color w:val="5A6A72"/>
                <w:sz w:val="16"/>
                <w:szCs w:val="16"/>
              </w:rPr>
              <w:t xml:space="preserve">docs/legal/registration/statute-additions.md</w:t>
            </w:r>
            <w:r>
              <w:rPr>
                <w:rFonts w:ascii="Arial" w:cs="Arial" w:eastAsia="Arial" w:hAnsi="Arial"/>
                <w:color w:val="5A6A72"/>
                <w:sz w:val="16"/>
                <w:szCs w:val="16"/>
              </w:rPr>
              <w:t xml:space="preserve">). It must be on the website before the Committee applies it. Montenegrin is the operative text; the English under each section is a translation for founders who do not read it. Drafted 2026-09-21 from the team guide, the brief (§ public ledger, beneficiary application) and the statute drafts. </w:t>
            </w:r>
            <w:r>
              <w:rPr>
                <w:rFonts w:ascii="Arial" w:cs="Arial" w:eastAsia="Arial" w:hAnsi="Arial"/>
                <w:b/>
                <w:bCs/>
                <w:color w:val="5A6A72"/>
                <w:sz w:val="16"/>
                <w:szCs w:val="16"/>
              </w:rPr>
              <w:t xml:space="preserve">The lawyer and the accountant review before adoption</w:t>
            </w:r>
            <w:r>
              <w:rPr>
                <w:rFonts w:ascii="Arial" w:cs="Arial" w:eastAsia="Arial" w:hAnsi="Arial"/>
                <w:color w:val="5A6A72"/>
                <w:sz w:val="16"/>
                <w:szCs w:val="16"/>
              </w:rPr>
              <w:t xml:space="preserve">; every bracketed amount is a parameter for the Board, not a fact.</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this draft leaves to the Board</w:t>
            </w:r>
            <w:r>
              <w:rPr>
                <w:rFonts w:ascii="Arial" w:cs="Arial" w:eastAsia="Arial" w:hAnsi="Arial"/>
                <w:color w:val="5A6A72"/>
                <w:sz w:val="16"/>
                <w:szCs w:val="16"/>
              </w:rPr>
              <w:t xml:space="preserve">, each a single number: the standard ceiling per decision; the amount above which the Committee must be unanimous; the urgent-aid ceiling; the cooling-off period before a repeat application. Suggested starting values are in section 12.</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 Svrha i osnov</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Purpose and basis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Ovim kriterijumima uređuje se ko može dobiti sredstva udruženja, za šta, u kom postupku i pod kojim uslovima, kao i šta se o svakoj dodjeli objavljuje.</w:t>
            </w:r>
          </w:p>
          <w:p>
            <w:pPr>
              <w:spacing w:after="100"/>
            </w:pPr>
            <w:r>
              <w:rPr>
                <w:rFonts w:ascii="Arial" w:cs="Arial" w:eastAsia="Arial" w:hAnsi="Arial"/>
                <w:sz w:val="18"/>
                <w:szCs w:val="18"/>
              </w:rPr>
              <w:t xml:space="preserve">Kriterijume predlaže Komisija za dodjelu sredstava, usvaja Upravni odbor i objavljuju se na internet stranici udruženja prije primjene, u skladu sa članom 38 Statuta. Komisija odlučuje isključivo po ovim kriterijumima. Izvršni direktor, Upravni odbor, osnivači i sponzori ne odlučuju o tome ko dobija sredstva.</w:t>
            </w:r>
          </w:p>
          <w:p>
            <w:pPr>
              <w:spacing w:after="100"/>
            </w:pPr>
            <w:r>
              <w:rPr>
                <w:rFonts w:ascii="Arial" w:cs="Arial" w:eastAsia="Arial" w:hAnsi="Arial"/>
                <w:sz w:val="18"/>
                <w:szCs w:val="18"/>
              </w:rPr>
              <w:t xml:space="preserve">Sredstva se koriste samo za ostvarivanje ciljeva udruženja, u skladu sa članom 30 Zakona o nevladinim organizacijama.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These criteria set who may receive the association's funds, for what, by which procedure and on what conditions, and what is published about each allocation. The Grants Committee proposes them, the Board adopts them, and they are published on the website before use (statute Art. 38). The Committee decides only by these criteria; the Executive Director, the Board, the founders and sponsors do not decide who receives funds. Funds are used only for the association's goals, per Article 30 of the Law on NGOs.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2. Koja sredstva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Which funds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Kriterijumi se odnose na sredstva prikupljena za korisnike (Fond podrške): dobrovoljne priloge i donacije pojedinaca i privrednih društava, sredstva koja prikupe učesnici događaja u ime udruženja, priloge iz kutija za priloge i poklone u sjećanje na preminule. Ta sredstva se korisnicima dodjeljuju u cjelini, bez odbitaka; troškovi rada udruženja pokrivaju se iz drugih prihoda.</w:t>
            </w:r>
          </w:p>
          <w:p>
            <w:pPr>
              <w:spacing w:after="100"/>
            </w:pPr>
            <w:r>
              <w:rPr>
                <w:rFonts w:ascii="Arial" w:cs="Arial" w:eastAsia="Arial" w:hAnsi="Arial"/>
                <w:sz w:val="18"/>
                <w:szCs w:val="18"/>
              </w:rPr>
              <w:t xml:space="preserve">Sredstva prikupljena za konkretnu kampanju (na primjer, za liječenje određenog lica ili za određeni događaj sa objavljenom namjenom) koriste se samo za tu namjenu. Ako po ostvarenju namjene preostanu sredstva, ili ako namjena postane nemoguća, Komisija ih dodjeljuje korisniku sa istog područja i iz iste kategorije potrebe, uz objavljeno obrazloženje.</w:t>
            </w:r>
          </w:p>
          <w:p>
            <w:pPr>
              <w:spacing w:after="100"/>
            </w:pPr>
            <w:r>
              <w:rPr>
                <w:rFonts w:ascii="Arial" w:cs="Arial" w:eastAsia="Arial" w:hAnsi="Arial"/>
                <w:sz w:val="18"/>
                <w:szCs w:val="18"/>
              </w:rPr>
              <w:t xml:space="preserve">Sredstva prikupljena na području ogranka namijenjena su korisnicima sa tog područja (član 42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The criteria govern funds collected for beneficiaries (the Impact Fund): donations from individuals and companies, money raised by event participants on the association's behalf, collection boxes and gifts in memory. These are passed on in full; operating costs come from other income. Funds raised for a named campaign are used only for that purpose; any surplus, or a purpose that becomes impossible, is reallocated to a beneficiary from the same area and category with published reasons. Funds raised in a chapter's area are earmarked for that area (statute Art. 42).</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3. Ko može biti korisnik</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Who can be a beneficiary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Korisnik može biti:</w:t>
            </w:r>
          </w:p>
          <w:p>
            <w:pPr>
              <w:pStyle w:val="ListParagraph"/>
              <w:numPr>
                <w:ilvl w:val="0"/>
                <w:numId w:val="2"/>
              </w:numPr>
              <w:spacing w:after="40"/>
            </w:pPr>
            <w:r>
              <w:rPr>
                <w:rFonts w:ascii="Arial" w:cs="Arial" w:eastAsia="Arial" w:hAnsi="Arial"/>
                <w:sz w:val="18"/>
                <w:szCs w:val="18"/>
              </w:rPr>
              <w:t xml:space="preserve">fizičko lice ili porodica sa prebivalištem u Crnoj Gori, u stanju socijalne potrebe ili pogođena bolešću, nesrećom, elementarnom nepogodom ili drugim iznenadnim događajem;</w:t>
            </w:r>
          </w:p>
          <w:p>
            <w:pPr>
              <w:pStyle w:val="ListParagraph"/>
              <w:numPr>
                <w:ilvl w:val="0"/>
                <w:numId w:val="2"/>
              </w:numPr>
              <w:spacing w:after="40"/>
            </w:pPr>
            <w:r>
              <w:rPr>
                <w:rFonts w:ascii="Arial" w:cs="Arial" w:eastAsia="Arial" w:hAnsi="Arial"/>
                <w:sz w:val="18"/>
                <w:szCs w:val="18"/>
              </w:rPr>
              <w:t xml:space="preserve">dijete ili mlada osoba do 26 godina, preko roditelja, staratelja ili ustanove;</w:t>
            </w:r>
          </w:p>
          <w:p>
            <w:pPr>
              <w:pStyle w:val="ListParagraph"/>
              <w:numPr>
                <w:ilvl w:val="0"/>
                <w:numId w:val="2"/>
              </w:numPr>
              <w:spacing w:after="40"/>
            </w:pPr>
            <w:r>
              <w:rPr>
                <w:rFonts w:ascii="Arial" w:cs="Arial" w:eastAsia="Arial" w:hAnsi="Arial"/>
                <w:sz w:val="18"/>
                <w:szCs w:val="18"/>
              </w:rPr>
              <w:t xml:space="preserve">malo preduzeće ili preduzetnik sa sjedištem na području ogranka, čiji je rad ugrožen štetom od nesreće ili nepogode, a od čijeg opstanka zavise radna mjesta ili snabdijevanje zajednice;</w:t>
            </w:r>
          </w:p>
          <w:p>
            <w:pPr>
              <w:pStyle w:val="ListParagraph"/>
              <w:numPr>
                <w:ilvl w:val="0"/>
                <w:numId w:val="2"/>
              </w:numPr>
              <w:spacing w:after="40"/>
            </w:pPr>
            <w:r>
              <w:rPr>
                <w:rFonts w:ascii="Arial" w:cs="Arial" w:eastAsia="Arial" w:hAnsi="Arial"/>
                <w:sz w:val="18"/>
                <w:szCs w:val="18"/>
              </w:rPr>
              <w:t xml:space="preserve">škola, vrtić, sportski klub, zdravstvena ili socijalna ustanova ili druga nevladina organizacija, za konkretnu nabavku ili aktivnost sa jasno određenim krajnjim korisnicima.</w:t>
            </w:r>
          </w:p>
          <w:p>
            <w:pPr>
              <w:spacing w:after="100"/>
            </w:pPr>
            <w:r>
              <w:rPr>
                <w:rFonts w:ascii="Arial" w:cs="Arial" w:eastAsia="Arial" w:hAnsi="Arial"/>
                <w:sz w:val="18"/>
                <w:szCs w:val="18"/>
              </w:rPr>
              <w:t xml:space="preserve">Prednost imaju korisnici sa područja ogranka na kojem su sredstva prikupljena.</w:t>
            </w:r>
          </w:p>
          <w:p>
            <w:pPr>
              <w:spacing w:after="100"/>
            </w:pPr>
            <w:r>
              <w:rPr>
                <w:rFonts w:ascii="Arial" w:cs="Arial" w:eastAsia="Arial" w:hAnsi="Arial"/>
                <w:sz w:val="18"/>
                <w:szCs w:val="18"/>
              </w:rPr>
              <w:t xml:space="preserve">Korisnik ne može biti: osnivač, član organa, zaposleni ili volonter sa funkcijom u udruženju, niti njihov bračni drug, dijete, roditelj, brat ili sestra; politička partija ili kampanja; vjerska zajednica za potrebe vjerskih obreda; lice koje je u prethodnih [[PLACEHOLDER: broj]] mjeseci već primilo sredstva udruženja, osim u izuzetnom slučaju iz odjeljka 8.</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Beneficiaries may be: individuals or families resident in Montenegro in social need or hit by illness, accident, natural disaster or another sudden event; children and young people up to 26, through a parent, guardian or institution; small businesses in a chapter's area whose survival, and the jobs or supply that depend on it, is threatened by damage from an accident or disaster; schools, kindergartens, sports clubs, health or social institutions and other NGOs, for a specific purchase or activity with clearly identified end beneficiaries. Priority goes to the chapter area where the money was raised. Excluded: founders, officers, staff and volunteers holding a function, and their spouse, children, parents or siblings; political parties or campaigns; religious communities for worship; anyone who received funds within the last [number] months, except under section 8.</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4. Šta se finansira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What is funded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se dodjeljuju za konkretan, dokumentovan trošak ili nabavku, u sljedećim kategorijama:</w:t>
            </w:r>
          </w:p>
          <w:p>
            <w:pPr>
              <w:pStyle w:val="ListParagraph"/>
              <w:numPr>
                <w:ilvl w:val="0"/>
                <w:numId w:val="3"/>
              </w:numPr>
              <w:spacing w:after="40"/>
            </w:pPr>
            <w:r>
              <w:rPr>
                <w:rFonts w:ascii="Arial" w:cs="Arial" w:eastAsia="Arial" w:hAnsi="Arial"/>
                <w:b/>
                <w:bCs/>
                <w:sz w:val="18"/>
                <w:szCs w:val="18"/>
              </w:rPr>
              <w:t xml:space="preserve">Zdravlje:</w:t>
            </w:r>
            <w:r>
              <w:rPr>
                <w:rFonts w:ascii="Arial" w:cs="Arial" w:eastAsia="Arial" w:hAnsi="Arial"/>
                <w:sz w:val="18"/>
                <w:szCs w:val="18"/>
              </w:rPr>
              <w:t xml:space="preserve"> liječenje, operacije, ljekovi, pomagala, rehabilitacija, prevoz do ustanove, boravak pratioca, kada trošak nije pokriven obaveznim osiguranjem ili je pokriven djelimično;</w:t>
            </w:r>
          </w:p>
          <w:p>
            <w:pPr>
              <w:pStyle w:val="ListParagraph"/>
              <w:numPr>
                <w:ilvl w:val="0"/>
                <w:numId w:val="3"/>
              </w:numPr>
              <w:spacing w:after="40"/>
            </w:pPr>
            <w:r>
              <w:rPr>
                <w:rFonts w:ascii="Arial" w:cs="Arial" w:eastAsia="Arial" w:hAnsi="Arial"/>
                <w:b/>
                <w:bCs/>
                <w:sz w:val="18"/>
                <w:szCs w:val="18"/>
              </w:rPr>
              <w:t xml:space="preserve">Dom:</w:t>
            </w:r>
            <w:r>
              <w:rPr>
                <w:rFonts w:ascii="Arial" w:cs="Arial" w:eastAsia="Arial" w:hAnsi="Arial"/>
                <w:sz w:val="18"/>
                <w:szCs w:val="18"/>
              </w:rPr>
              <w:t xml:space="preserve"> hitne popravke koje ugrožavaju bezbjednost stanovanja, grijanje, osnovni namještaj i aparati nakon požara, poplave ili sličnog događaja, zaostala stanarina ili račun kada prijeti gubitak doma;</w:t>
            </w:r>
          </w:p>
          <w:p>
            <w:pPr>
              <w:pStyle w:val="ListParagraph"/>
              <w:numPr>
                <w:ilvl w:val="0"/>
                <w:numId w:val="3"/>
              </w:numPr>
              <w:spacing w:after="40"/>
            </w:pPr>
            <w:r>
              <w:rPr>
                <w:rFonts w:ascii="Arial" w:cs="Arial" w:eastAsia="Arial" w:hAnsi="Arial"/>
                <w:b/>
                <w:bCs/>
                <w:sz w:val="18"/>
                <w:szCs w:val="18"/>
              </w:rPr>
              <w:t xml:space="preserve">Djeca i obrazovanje:</w:t>
            </w:r>
            <w:r>
              <w:rPr>
                <w:rFonts w:ascii="Arial" w:cs="Arial" w:eastAsia="Arial" w:hAnsi="Arial"/>
                <w:sz w:val="18"/>
                <w:szCs w:val="18"/>
              </w:rPr>
              <w:t xml:space="preserve"> školski pribor, udžbenici, prevoz, terapije, oprema za dijete sa smetnjama u razvoju, učešće u sportu i vannastavnim aktivnostima;</w:t>
            </w:r>
          </w:p>
          <w:p>
            <w:pPr>
              <w:pStyle w:val="ListParagraph"/>
              <w:numPr>
                <w:ilvl w:val="0"/>
                <w:numId w:val="3"/>
              </w:numPr>
              <w:spacing w:after="40"/>
            </w:pPr>
            <w:r>
              <w:rPr>
                <w:rFonts w:ascii="Arial" w:cs="Arial" w:eastAsia="Arial" w:hAnsi="Arial"/>
                <w:b/>
                <w:bCs/>
                <w:sz w:val="18"/>
                <w:szCs w:val="18"/>
              </w:rPr>
              <w:t xml:space="preserve">Nesreća i nepogoda:</w:t>
            </w:r>
            <w:r>
              <w:rPr>
                <w:rFonts w:ascii="Arial" w:cs="Arial" w:eastAsia="Arial" w:hAnsi="Arial"/>
                <w:sz w:val="18"/>
                <w:szCs w:val="18"/>
              </w:rPr>
              <w:t xml:space="preserve"> neposredna pomoć porodicama i malim preduzećima pogođenim požarom, poplavom, nevremenom ili nesrećom;</w:t>
            </w:r>
          </w:p>
          <w:p>
            <w:pPr>
              <w:pStyle w:val="ListParagraph"/>
              <w:numPr>
                <w:ilvl w:val="0"/>
                <w:numId w:val="3"/>
              </w:numPr>
              <w:spacing w:after="40"/>
            </w:pPr>
            <w:r>
              <w:rPr>
                <w:rFonts w:ascii="Arial" w:cs="Arial" w:eastAsia="Arial" w:hAnsi="Arial"/>
                <w:b/>
                <w:bCs/>
                <w:sz w:val="18"/>
                <w:szCs w:val="18"/>
              </w:rPr>
              <w:t xml:space="preserve">Zajednica:</w:t>
            </w:r>
            <w:r>
              <w:rPr>
                <w:rFonts w:ascii="Arial" w:cs="Arial" w:eastAsia="Arial" w:hAnsi="Arial"/>
                <w:sz w:val="18"/>
                <w:szCs w:val="18"/>
              </w:rPr>
              <w:t xml:space="preserve"> oprema ili aktivnost škole, kluba ili ustanove sa određenim krajnjim korisnicima, kada je korist za zajednicu jasna i mjerljiva.</w:t>
            </w:r>
          </w:p>
          <w:p>
            <w:pPr>
              <w:spacing w:after="100"/>
            </w:pPr>
            <w:r>
              <w:rPr>
                <w:rFonts w:ascii="Arial" w:cs="Arial" w:eastAsia="Arial" w:hAnsi="Arial"/>
                <w:sz w:val="18"/>
                <w:szCs w:val="18"/>
              </w:rPr>
              <w:t xml:space="preserve">Ne finansiraju se: redovni troškovi života bez konkretnog događaja koji ih je izazvao; otplata kredita, kazni, kockarskih ili sličnih dugova; trošak koji je već plaćen prije podnošenja prijave, osim u hitnom slučaju iz odjeljka 8; zarade i honorari; troškovi koje po zakonu snosi država, osiguranje ili poslodavac, dok se ta mogućnost ne iscrpi ili ne pokaže nedostupnom u razumnom roku; nabavke bez ponude ili predračuna; politička, vjerska ili komercijalna aktivnost.</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Funds go to a specific, documented cost or purchase in five categories: health (treatment, surgery, medicines, aids, rehabilitation, travel, carer's stay, where insurance does not cover or covers partly); home (urgent safety repairs, heating, basic furniture and appliances after fire or flood, rent or bill arrears where the home is at risk); children and education (supplies, books, transport, therapies, equipment for a child with a disability, sport and extracurricular participation); accident and disaster (immediate help to families and small businesses); community (equipment or an activity of a school, club or institution with identified end beneficiaries and clear, measurable benefit). Not funded: ordinary living costs without a triggering event; repayment of loans, fines or gambling debts; costs already paid before applying, except urgent cases under section 8; wages and fees; costs the state, insurance or an employer must bear, until that route is exhausted or shown unavailable in reasonable time; purchases without a quote; political, religious or commercial activity.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5. Kako se podnosi prijava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How to apply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se podnosi na obrascu na internet stranici udruženja (stranica „Prijava za pomoć“), a može se podnijeti i u pisanom obliku preko rukovodioca ogranka. Prijavu može podnijeti sam korisnik, član porodice, staratelj, ljekar, škola, centar za socijalni rad, rukovodilac ogranka ili član udruženja koji korisnika poznaje, uz saglasnost korisnika.</w:t>
            </w:r>
          </w:p>
          <w:p>
            <w:pPr>
              <w:spacing w:after="100"/>
            </w:pPr>
            <w:r>
              <w:rPr>
                <w:rFonts w:ascii="Arial" w:cs="Arial" w:eastAsia="Arial" w:hAnsi="Arial"/>
                <w:sz w:val="18"/>
                <w:szCs w:val="18"/>
              </w:rPr>
              <w:t xml:space="preserve">Prijava sadrži: ime i prezime i kontakt podnosioca; kategoriju potrebe; traženi iznos; opis situacije i tačno za šta se sredstva traže; priloge.</w:t>
            </w:r>
          </w:p>
          <w:p>
            <w:pPr>
              <w:spacing w:after="100"/>
            </w:pPr>
            <w:r>
              <w:rPr>
                <w:rFonts w:ascii="Arial" w:cs="Arial" w:eastAsia="Arial" w:hAnsi="Arial"/>
                <w:sz w:val="18"/>
                <w:szCs w:val="18"/>
              </w:rPr>
              <w:t xml:space="preserve">Uz prijavu se prilaže, zavisno od kategorije:</w:t>
            </w:r>
          </w:p>
          <w:p>
            <w:pPr>
              <w:pStyle w:val="ListParagraph"/>
              <w:numPr>
                <w:ilvl w:val="0"/>
                <w:numId w:val="4"/>
              </w:numPr>
              <w:spacing w:after="40"/>
            </w:pPr>
            <w:r>
              <w:rPr>
                <w:rFonts w:ascii="Arial" w:cs="Arial" w:eastAsia="Arial" w:hAnsi="Arial"/>
                <w:sz w:val="18"/>
                <w:szCs w:val="18"/>
              </w:rPr>
              <w:t xml:space="preserve">dokaz identiteta i prebivališta korisnika (kopija lične karte ili potvrda o prebivalištu);</w:t>
            </w:r>
          </w:p>
          <w:p>
            <w:pPr>
              <w:pStyle w:val="ListParagraph"/>
              <w:numPr>
                <w:ilvl w:val="0"/>
                <w:numId w:val="4"/>
              </w:numPr>
              <w:spacing w:after="40"/>
            </w:pPr>
            <w:r>
              <w:rPr>
                <w:rFonts w:ascii="Arial" w:cs="Arial" w:eastAsia="Arial" w:hAnsi="Arial"/>
                <w:sz w:val="18"/>
                <w:szCs w:val="18"/>
              </w:rPr>
              <w:t xml:space="preserve">dokaz potrebe: medicinska dokumentacija, zapisnik o šteti, potvrda centra za socijalni rad, škole ili ljekara, fotografije;</w:t>
            </w:r>
          </w:p>
          <w:p>
            <w:pPr>
              <w:pStyle w:val="ListParagraph"/>
              <w:numPr>
                <w:ilvl w:val="0"/>
                <w:numId w:val="4"/>
              </w:numPr>
              <w:spacing w:after="40"/>
            </w:pPr>
            <w:r>
              <w:rPr>
                <w:rFonts w:ascii="Arial" w:cs="Arial" w:eastAsia="Arial" w:hAnsi="Arial"/>
                <w:sz w:val="18"/>
                <w:szCs w:val="18"/>
              </w:rPr>
              <w:t xml:space="preserve">ponuda, predračun ili račun za trošak koji se traži, sa nazivom dobavljača;</w:t>
            </w:r>
          </w:p>
          <w:p>
            <w:pPr>
              <w:pStyle w:val="ListParagraph"/>
              <w:numPr>
                <w:ilvl w:val="0"/>
                <w:numId w:val="4"/>
              </w:numPr>
              <w:spacing w:after="40"/>
            </w:pPr>
            <w:r>
              <w:rPr>
                <w:rFonts w:ascii="Arial" w:cs="Arial" w:eastAsia="Arial" w:hAnsi="Arial"/>
                <w:sz w:val="18"/>
                <w:szCs w:val="18"/>
              </w:rPr>
              <w:t xml:space="preserve">izjava o drugim izvorima: da li je zatražena i dobijena pomoć od države, osiguranja, poslodavca ili druge organizacije, i u kom iznosu;</w:t>
            </w:r>
          </w:p>
          <w:p>
            <w:pPr>
              <w:pStyle w:val="ListParagraph"/>
              <w:numPr>
                <w:ilvl w:val="0"/>
                <w:numId w:val="4"/>
              </w:numPr>
              <w:spacing w:after="40"/>
            </w:pPr>
            <w:r>
              <w:rPr>
                <w:rFonts w:ascii="Arial" w:cs="Arial" w:eastAsia="Arial" w:hAnsi="Arial"/>
                <w:sz w:val="18"/>
                <w:szCs w:val="18"/>
              </w:rPr>
              <w:t xml:space="preserve">saglasnost korisnika za obradu ličnih podataka i, posebno, za objavljivanje priče ili fotografije, ako se traži.</w:t>
            </w:r>
          </w:p>
          <w:p>
            <w:pPr>
              <w:spacing w:after="100"/>
            </w:pPr>
            <w:r>
              <w:rPr>
                <w:rFonts w:ascii="Arial" w:cs="Arial" w:eastAsia="Arial" w:hAnsi="Arial"/>
                <w:sz w:val="18"/>
                <w:szCs w:val="18"/>
              </w:rPr>
              <w:t xml:space="preserve">Nepotpuna prijava ne odbija se; podnosilac se u roku od tri radna dana obavještava šta nedostaje.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Applications go through the website form ("Prijava za pomoć") or in writing via a chapter lead. The beneficiary, a family member, guardian, doctor, school, social work centre, chapter lead or a member who knows them may apply, with the beneficiary's consent. The application gives the applicant's name and contact, category, amount, a description of the situation and exactly what the money is for, and attachments: proof of identity and residence; proof of need (medical records, damage report, confirmation from a social work centre, school or doctor, photos); a quote, pro forma or invoice naming the supplier; a statement of other sources applied to and received; consent to data processing and, separately, to publishing a story or photo if asked. An incomplete application is not refused; within three working days the applicant is told what is missing.</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6. Kriterijumi ocjene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Assessment criteria</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Komisija svaku potpunu prijavu ocjenjuje po šest kriterijuma, sa 0 do 3 boda po kriterijumu:</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Kriterijum / Criterion</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0</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3</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Hitnost i težina</w:t>
                  </w:r>
                  <w:r>
                    <w:rPr>
                      <w:rFonts w:ascii="Arial" w:cs="Arial" w:eastAsia="Arial" w:hAnsi="Arial"/>
                      <w:b w:val="false"/>
                      <w:bCs w:val="false"/>
                      <w:sz w:val="16"/>
                      <w:szCs w:val="16"/>
                    </w:rPr>
                    <w:t xml:space="preserve"> / Urgency and severity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može čekati, ne ugrožava zdravlje, dom ili egzistenciju / can wait, no threat to health, home or livelihood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odlaganje nanosi nepovratnu štetu / delay causes irreversible harm</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Konkretnost i učinak po euru</w:t>
                  </w:r>
                  <w:r>
                    <w:rPr>
                      <w:rFonts w:ascii="Arial" w:cs="Arial" w:eastAsia="Arial" w:hAnsi="Arial"/>
                      <w:b w:val="false"/>
                      <w:bCs w:val="false"/>
                      <w:sz w:val="16"/>
                      <w:szCs w:val="16"/>
                    </w:rPr>
                    <w:t xml:space="preserve"> / Concreteness and impact per euro</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uopšten zahtjev, bez ponude / general request, no quote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tačan trošak sa ponudom, jasan i trajan učinak / exact cost with quote, clear lasting effect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Nedostatak drugih izvora</w:t>
                  </w:r>
                  <w:r>
                    <w:rPr>
                      <w:rFonts w:ascii="Arial" w:cs="Arial" w:eastAsia="Arial" w:hAnsi="Arial"/>
                      <w:b w:val="false"/>
                      <w:bCs w:val="false"/>
                      <w:sz w:val="16"/>
                      <w:szCs w:val="16"/>
                    </w:rPr>
                    <w:t xml:space="preserve"> / Lack of alternatives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trošak pokriva država, osiguranje ili drugi / covered by state, insurance or others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nijedan drugi izvor nije dostupan u potrebnom roku, dokazano / no other source available in time, evidenced</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Veza sa zajednicom</w:t>
                  </w:r>
                  <w:r>
                    <w:rPr>
                      <w:rFonts w:ascii="Arial" w:cs="Arial" w:eastAsia="Arial" w:hAnsi="Arial"/>
                      <w:b w:val="false"/>
                      <w:bCs w:val="false"/>
                      <w:sz w:val="16"/>
                      <w:szCs w:val="16"/>
                    </w:rPr>
                    <w:t xml:space="preserve"> / Local connection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van područja svih ogranaka / outside every chapter area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na području ogranka gdje su sredstva prikupljena / in the chapter area where the money was raised</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Provjerljivost i izvodljivost</w:t>
                  </w:r>
                  <w:r>
                    <w:rPr>
                      <w:rFonts w:ascii="Arial" w:cs="Arial" w:eastAsia="Arial" w:hAnsi="Arial"/>
                      <w:b w:val="false"/>
                      <w:bCs w:val="false"/>
                      <w:sz w:val="16"/>
                      <w:szCs w:val="16"/>
                    </w:rPr>
                    <w:t xml:space="preserve"> / Verifiability and feasibility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plaćanje samo u gotovini korisniku, bez dokaza / cash to the beneficiary only, no evidence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plaćanje direktno dobavljaču, potpuna dokumentacija / paid straight to the supplier, full documentation</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Pravičnost</w:t>
                  </w:r>
                  <w:r>
                    <w:rPr>
                      <w:rFonts w:ascii="Arial" w:cs="Arial" w:eastAsia="Arial" w:hAnsi="Arial"/>
                      <w:b w:val="false"/>
                      <w:bCs w:val="false"/>
                      <w:sz w:val="16"/>
                      <w:szCs w:val="16"/>
                    </w:rPr>
                    <w:t xml:space="preserve"> / Fairness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korisnik je nedavno već primio sredstva / recently received funds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prvi put, a sredstva su dostupna i za druge prijave u toku / first time, and funds remain for other pending applications</w:t>
                  </w:r>
                </w:p>
              </w:tc>
            </w:tr>
          </w:tbl>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sa manje od [[PLACEHOLDER: prag, npr. 9]] bodova, ili sa 0 bodova na kriterijumu hitnosti ili provjerljivosti, po pravilu se ne odobrava. Bodovi služe Komisiji kao okvir, a ne kao automatska odluka; Komisija u odluci navodi razloge kada odstupa od bodova.</w:t>
            </w:r>
          </w:p>
          <w:p>
            <w:pPr>
              <w:spacing w:after="100"/>
            </w:pPr>
            <w:r>
              <w:rPr>
                <w:rFonts w:ascii="Arial" w:cs="Arial" w:eastAsia="Arial" w:hAnsi="Arial"/>
                <w:sz w:val="18"/>
                <w:szCs w:val="18"/>
              </w:rPr>
              <w:t xml:space="preserve">Kada više prijava ispunjava kriterijume a sredstva nijesu dovoljna za sve, prednost imaju prijave sa više bodova na hitnosti, zatim na nedostatku drugih izvora.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Each complete application is scored 0 to 3 on six criteria: urgency and severity; concreteness and impact per euro; lack of alternatives; local connection; verifiability and feasibility; fairness. Below [threshold, e.g. 9] points, or a 0 on urgency or verifiability, an application is normally declined. Scores are a framework, not an automatic decision; the Committee states its reasons when it departs from them. When funds cannot cover all eligible applications, urgency ranks first, then lack of alternatives.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7. Iznosi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Amounts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Standardna dodjela iznosi do [[PLACEHOLDER: iznos]] EUR po korisniku i odluci. Komisija je odobrava većinom glasova svih članova.</w:t>
            </w:r>
          </w:p>
          <w:p>
            <w:pPr>
              <w:spacing w:after="100"/>
            </w:pPr>
            <w:r>
              <w:rPr>
                <w:rFonts w:ascii="Arial" w:cs="Arial" w:eastAsia="Arial" w:hAnsi="Arial"/>
                <w:sz w:val="18"/>
                <w:szCs w:val="18"/>
              </w:rPr>
              <w:t xml:space="preserve">Dodjela preko tog iznosa moguća je samo jednoglasnom odlukom svih članova Komisije, uz pisano obrazloženje zašto manji iznos ne bi ostvario svrhu.</w:t>
            </w:r>
          </w:p>
          <w:p>
            <w:pPr>
              <w:spacing w:after="100"/>
            </w:pPr>
            <w:r>
              <w:rPr>
                <w:rFonts w:ascii="Arial" w:cs="Arial" w:eastAsia="Arial" w:hAnsi="Arial"/>
                <w:sz w:val="18"/>
                <w:szCs w:val="18"/>
              </w:rPr>
              <w:t xml:space="preserve">Ukupan iznos dodjela u jednoj godini ne može preći sredstva stvarno prikupljena za korisnike u tekućoj i prethodnim godinama, umanjena za već dodijeljena sredstva. Komisija ne dodjeljuje sredstva na račun očekivanih budućih priloga.</w:t>
            </w:r>
          </w:p>
          <w:p>
            <w:pPr>
              <w:spacing w:after="100"/>
            </w:pPr>
            <w:r>
              <w:rPr>
                <w:rFonts w:ascii="Arial" w:cs="Arial" w:eastAsia="Arial" w:hAnsi="Arial"/>
                <w:sz w:val="18"/>
                <w:szCs w:val="18"/>
              </w:rPr>
              <w:t xml:space="preserve">Komisija može odobriti manji iznos od traženog, ili dio troška uz uslov da ostatak pokrije drugi izvor.</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 standard allocation is up to [amount] EUR per beneficiary per decision, by a majority of all members. Above that, only by unanimous decision with written reasons why less would not serve the purpose. Total allocations in a year cannot exceed funds actually collected for beneficiaries less what is already allocated; no allocations against expected future donations. The Committee may award less than requested, or a share conditional on another source covering the rest.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8. Hitna pomoć</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Urgent aid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odlaganje do redovne sjednice nanosi nepovratnu štetu (hitno liječenje, gubitak doma, nesreća), predsjednik Komisije može pokrenuti skraćeni postupak: prijavu sa dokazima dostavlja elektronskim putem svim članovima, a odluka je donesena kada za nju glasa većina svih članova, najkasnije u roku od 48 sati.</w:t>
            </w:r>
          </w:p>
          <w:p>
            <w:pPr>
              <w:spacing w:after="100"/>
            </w:pPr>
            <w:r>
              <w:rPr>
                <w:rFonts w:ascii="Arial" w:cs="Arial" w:eastAsia="Arial" w:hAnsi="Arial"/>
                <w:sz w:val="18"/>
                <w:szCs w:val="18"/>
              </w:rPr>
              <w:t xml:space="preserve">U skraćenom postupku može se odobriti najviše [[PLACEHOLDER: iznos]] EUR, u granici koju utvrdi Upravni odbor. U hitnom slučaju može se naknadno priznati i trošak plaćen najviše 30 dana prije prijave, uz račun.</w:t>
            </w:r>
          </w:p>
          <w:p>
            <w:pPr>
              <w:spacing w:after="100"/>
            </w:pPr>
            <w:r>
              <w:rPr>
                <w:rFonts w:ascii="Arial" w:cs="Arial" w:eastAsia="Arial" w:hAnsi="Arial"/>
                <w:sz w:val="18"/>
                <w:szCs w:val="18"/>
              </w:rPr>
              <w:t xml:space="preserve">Svaka hitna odluka se na prvoj narednoj sjednici Komisije unosi u zapisnik i objavljuje kao i svaka druga.</w:t>
            </w:r>
          </w:p>
          <w:p>
            <w:pPr>
              <w:spacing w:after="100"/>
            </w:pPr>
            <w:r>
              <w:rPr>
                <w:rFonts w:ascii="Arial" w:cs="Arial" w:eastAsia="Arial" w:hAnsi="Arial"/>
                <w:sz w:val="18"/>
                <w:szCs w:val="18"/>
              </w:rPr>
              <w:t xml:space="preserve">Izuzetno od odjeljka 3, korisnik koji je već primio sredstva može ponovo dobiti hitnu pomoć ako je nastupio novi, nepredvidivi događaj; Komisija to posebno obrazlaže.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Where waiting for a regular meeting would cause irreversible harm, the chair may run a fast procedure: the application and evidence go to all members electronically and the decision is taken when a majority of all members vote for it, within 48 hours. The fast procedure may award at most [amount] EUR, within the Board's limit, and may recognise a cost paid up to 30 days before applying, against an invoice. Every urgent decision is minuted at the next meeting and published like any other. A previous recipient may receive urgent aid again after a new, unforeseeable event, with specific reasons.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9. Postupak i rokovi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Procedure and timelines</w:t>
            </w:r>
          </w:p>
        </w:tc>
      </w:tr>
      <w:tr>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b/>
                <w:bCs/>
                <w:sz w:val="18"/>
                <w:szCs w:val="18"/>
              </w:rPr>
              <w:t xml:space="preserve">Prijem.</w:t>
            </w:r>
            <w:r>
              <w:rPr>
                <w:rFonts w:ascii="Arial" w:cs="Arial" w:eastAsia="Arial" w:hAnsi="Arial"/>
                <w:sz w:val="18"/>
                <w:szCs w:val="18"/>
              </w:rPr>
              <w:t xml:space="preserve"> Izvršni direktor ili lice koje on odredi potvrđuje prijem u roku od tri radna dana i provjerava samo potpunost prijave, bez ocjene osnovanosti.</w:t>
            </w:r>
          </w:p>
          <w:p>
            <w:pPr>
              <w:pStyle w:val="ListParagraph"/>
              <w:numPr>
                <w:ilvl w:val="0"/>
                <w:numId w:val="5"/>
              </w:numPr>
              <w:spacing w:after="40"/>
            </w:pPr>
            <w:r>
              <w:rPr>
                <w:rFonts w:ascii="Arial" w:cs="Arial" w:eastAsia="Arial" w:hAnsi="Arial"/>
                <w:b/>
                <w:bCs/>
                <w:sz w:val="18"/>
                <w:szCs w:val="18"/>
              </w:rPr>
              <w:t xml:space="preserve">Priprema.</w:t>
            </w:r>
            <w:r>
              <w:rPr>
                <w:rFonts w:ascii="Arial" w:cs="Arial" w:eastAsia="Arial" w:hAnsi="Arial"/>
                <w:sz w:val="18"/>
                <w:szCs w:val="18"/>
              </w:rPr>
              <w:t xml:space="preserve"> Kompletna prijava sa prilozima i kratkim sažetkom dostavlja se članovima Komisije najmanje pet dana prije sjednice. Sažetak ne sadrži preporuku.</w:t>
            </w:r>
          </w:p>
          <w:p>
            <w:pPr>
              <w:pStyle w:val="ListParagraph"/>
              <w:numPr>
                <w:ilvl w:val="0"/>
                <w:numId w:val="5"/>
              </w:numPr>
              <w:spacing w:after="40"/>
            </w:pPr>
            <w:r>
              <w:rPr>
                <w:rFonts w:ascii="Arial" w:cs="Arial" w:eastAsia="Arial" w:hAnsi="Arial"/>
                <w:b/>
                <w:bCs/>
                <w:sz w:val="18"/>
                <w:szCs w:val="18"/>
              </w:rPr>
              <w:t xml:space="preserve">Provjera.</w:t>
            </w:r>
            <w:r>
              <w:rPr>
                <w:rFonts w:ascii="Arial" w:cs="Arial" w:eastAsia="Arial" w:hAnsi="Arial"/>
                <w:sz w:val="18"/>
                <w:szCs w:val="18"/>
              </w:rPr>
              <w:t xml:space="preserve"> Komisija može zatražiti dodatne dokaze, razgovor sa podnosiocem, ili da rukovodilac ogranka ili član udruženja obiđe korisnika. Nalaz obilaska se unosi u spis.</w:t>
            </w:r>
          </w:p>
          <w:p>
            <w:pPr>
              <w:pStyle w:val="ListParagraph"/>
              <w:numPr>
                <w:ilvl w:val="0"/>
                <w:numId w:val="5"/>
              </w:numPr>
              <w:spacing w:after="40"/>
            </w:pPr>
            <w:r>
              <w:rPr>
                <w:rFonts w:ascii="Arial" w:cs="Arial" w:eastAsia="Arial" w:hAnsi="Arial"/>
                <w:b/>
                <w:bCs/>
                <w:sz w:val="18"/>
                <w:szCs w:val="18"/>
              </w:rPr>
              <w:t xml:space="preserve">Odluka.</w:t>
            </w:r>
            <w:r>
              <w:rPr>
                <w:rFonts w:ascii="Arial" w:cs="Arial" w:eastAsia="Arial" w:hAnsi="Arial"/>
                <w:sz w:val="18"/>
                <w:szCs w:val="18"/>
              </w:rPr>
              <w:t xml:space="preserve"> Komisija odlučuje u roku od 21 dan od dana kompletiranja prijave. Odluka sadrži: korisnika, iznos, namjenu, način isplate, uslove, bodove po kriterijumima i razloge.</w:t>
            </w:r>
          </w:p>
          <w:p>
            <w:pPr>
              <w:pStyle w:val="ListParagraph"/>
              <w:numPr>
                <w:ilvl w:val="0"/>
                <w:numId w:val="5"/>
              </w:numPr>
              <w:spacing w:after="40"/>
            </w:pPr>
            <w:r>
              <w:rPr>
                <w:rFonts w:ascii="Arial" w:cs="Arial" w:eastAsia="Arial" w:hAnsi="Arial"/>
                <w:b/>
                <w:bCs/>
                <w:sz w:val="18"/>
                <w:szCs w:val="18"/>
              </w:rPr>
              <w:t xml:space="preserve">Obavještenje.</w:t>
            </w:r>
            <w:r>
              <w:rPr>
                <w:rFonts w:ascii="Arial" w:cs="Arial" w:eastAsia="Arial" w:hAnsi="Arial"/>
                <w:sz w:val="18"/>
                <w:szCs w:val="18"/>
              </w:rPr>
              <w:t xml:space="preserve"> Podnosilac se pisano obavještava u roku od pet dana od odluke. Odbijeni podnosilac dobija razloge i može jednom zatražiti ponovno razmatranje u roku od 15 dana, sa novim dokazima; Komisija odlučuje na prvoj narednoj sjednici i ta odluka je konačna.</w:t>
            </w:r>
          </w:p>
          <w:p>
            <w:pPr>
              <w:pStyle w:val="ListParagraph"/>
              <w:numPr>
                <w:ilvl w:val="0"/>
                <w:numId w:val="5"/>
              </w:numPr>
              <w:spacing w:after="40"/>
            </w:pPr>
            <w:r>
              <w:rPr>
                <w:rFonts w:ascii="Arial" w:cs="Arial" w:eastAsia="Arial" w:hAnsi="Arial"/>
                <w:b/>
                <w:bCs/>
                <w:sz w:val="18"/>
                <w:szCs w:val="18"/>
              </w:rPr>
              <w:t xml:space="preserve">Sprovođenje.</w:t>
            </w:r>
            <w:r>
              <w:rPr>
                <w:rFonts w:ascii="Arial" w:cs="Arial" w:eastAsia="Arial" w:hAnsi="Arial"/>
                <w:sz w:val="18"/>
                <w:szCs w:val="18"/>
              </w:rPr>
              <w:t xml:space="preserve"> Izvršni direktor sprovodi odluku u roku od deset dana od ispunjenja uslova.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Receipt is acknowledged within three working days by the Director or a delegate, who checks completeness only. The complete file with a neutral summary reaches Committee members at least five days before the meeting. The Committee may ask for more evidence, an interview, or a visit by a chapter lead or member, recorded in the file. It decides within 21 days of a complete application, stating beneficiary, amount, purpose, payment method, conditions, scores and reasons. Applicants hear in writing within five days; a declined applicant gets reasons and may ask once, within 15 days and with new evidence, for reconsideration at the next meeting, whose decision is final. The Director implements within ten days of the conditions being met.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10. Sukob interesa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Conflicts of interest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Komisije koji je sa korisnikom ili podnosiocem u srodstvu, poslovnom, radnom, susjedskom ili drugom ličnom odnosu, ili je sam predložio korisnika, prijavljuje to prije rasprave i ne učestvuje ni u raspravi ni u glasanju. Prijava i izuzeće se unose u zapisnik i u objavljeni sažetak odluke.</w:t>
            </w:r>
          </w:p>
          <w:p>
            <w:pPr>
              <w:spacing w:after="100"/>
            </w:pPr>
            <w:r>
              <w:rPr>
                <w:rFonts w:ascii="Arial" w:cs="Arial" w:eastAsia="Arial" w:hAnsi="Arial"/>
                <w:sz w:val="18"/>
                <w:szCs w:val="18"/>
              </w:rPr>
              <w:t xml:space="preserve">Ako se zbog izuzeća ne može obezbijediti kvorum, odluku donose preostali članovi jednoglasno.</w:t>
            </w:r>
          </w:p>
          <w:p>
            <w:pPr>
              <w:spacing w:after="100"/>
            </w:pPr>
            <w:r>
              <w:rPr>
                <w:rFonts w:ascii="Arial" w:cs="Arial" w:eastAsia="Arial" w:hAnsi="Arial"/>
                <w:sz w:val="18"/>
                <w:szCs w:val="18"/>
              </w:rPr>
              <w:t xml:space="preserve">Član Komisije ne smije primiti nikakvu korist, poklon ili uslugu od korisnika, podnosioca ili dobavljača.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 member related to, in business, employment, neighbourly or other personal relation with the beneficiary or applicant, or who proposed the beneficiary, declares it before the discussion and takes no part in it or the vote; the declaration and recusal go in the minutes and the published summary. If recusals break the quorum, the remaining members decide unanimously. No member may accept any benefit, gift or favour from a beneficiary, applicant or supplier.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11. Isplata i dokumentacija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Payment and documentation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Sredstva se po pravilu plaćaju direktno dobavljaču (bolnici, apoteci, prodavcu, izvođaču, školi) na osnovu računa ili predračuna. Isplata korisniku na račun moguća je kada plaćanje dobavljaču nije moguće; isplata u gotovini samo izuzetno, do [[PLACEHOLDER: iznos]] EUR, uz potpisanu potvrdu o prijemu.</w:t>
            </w:r>
          </w:p>
          <w:p>
            <w:pPr>
              <w:spacing w:after="100"/>
            </w:pPr>
            <w:r>
              <w:rPr>
                <w:rFonts w:ascii="Arial" w:cs="Arial" w:eastAsia="Arial" w:hAnsi="Arial"/>
                <w:sz w:val="18"/>
                <w:szCs w:val="18"/>
              </w:rPr>
              <w:t xml:space="preserve">Za svaku dodjelu se u spisu čuvaju: odluka Komisije sa oznakom, prijava sa prilozima, račun ili predračun, dokaz o plaćanju, i potvrda korisnika da je trošak izvršen ili roba primljena, u roku od 30 dana od isplate.</w:t>
            </w:r>
          </w:p>
          <w:p>
            <w:pPr>
              <w:spacing w:after="100"/>
            </w:pPr>
            <w:r>
              <w:rPr>
                <w:rFonts w:ascii="Arial" w:cs="Arial" w:eastAsia="Arial" w:hAnsi="Arial"/>
                <w:sz w:val="18"/>
                <w:szCs w:val="18"/>
              </w:rPr>
              <w:t xml:space="preserve">Neiskorišćena sredstva se vraćaju udruženju. Ako se sredstva iskoriste suprotno namjeni, Komisija može zatražiti povraćaj, a korisnik gubi pravo na nove prijave [[PLACEHOLDER: broj]] mjeseci.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Funds are normally paid straight to the supplier against an invoice or pro forma. Transfer to the beneficiary's account only where supplier payment is impossible; cash only exceptionally, up to [amount] EUR, against a signed receipt. Each file keeps the referenced Committee decision, the application and attachments, the invoice, proof of payment and the beneficiary's confirmation within 30 days that the cost was met or goods received. Unused funds are returned; misuse leads to a recovery request and a [number]-month bar on new applications.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12. Objavljivanje i zaštita privatnosti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Publication and privacy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svaku dodjelu udruženje u javnoj knjizi na svojoj internet stranici objavljuje: datum, iznos, kategoriju, ogranak i opis korisnika u obliku koji ne otkriva identitet (na primjer: „Porodica iz Tivta, troškovi liječenja, 1.200 EUR“), kao i oznaku odluke Komisije.</w:t>
            </w:r>
          </w:p>
          <w:p>
            <w:pPr>
              <w:spacing w:after="100"/>
            </w:pPr>
            <w:r>
              <w:rPr>
                <w:rFonts w:ascii="Arial" w:cs="Arial" w:eastAsia="Arial" w:hAnsi="Arial"/>
                <w:sz w:val="18"/>
                <w:szCs w:val="18"/>
              </w:rPr>
              <w:t xml:space="preserve">Ne objavljuju se: ime i prezime, adresa, dijagnoza, fotografije ni bilo koji podatak koji omogućava prepoznavanje korisnika, osim uz izričitu, posebnu i opozivu pisanu saglasnost korisnika. Dijete se ne može prepoznati ni uz saglasnost roditelja, osim imenom i uzrastom u priči objavljenoj uz saglasnost oba roditelja ili staratelja.</w:t>
            </w:r>
          </w:p>
          <w:p>
            <w:pPr>
              <w:spacing w:after="100"/>
            </w:pPr>
            <w:r>
              <w:rPr>
                <w:rFonts w:ascii="Arial" w:cs="Arial" w:eastAsia="Arial" w:hAnsi="Arial"/>
                <w:sz w:val="18"/>
                <w:szCs w:val="18"/>
              </w:rPr>
              <w:t xml:space="preserve">Lični podaci iz prijava dostupni su samo članovima Komisije i licima koja pripremaju spis. Čuvaju se [[PLACEHOLDER: broj]] godina od posljednje isplate, zatim se brišu, osim podataka koje zakon nalaže duže čuvati.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For each allocation the public ledger shows date, amount, category, chapter and a non-identifying description ("Family in Tivat, medical costs, 1,200 EUR") plus the decision reference. Never published: name, address, diagnosis, photos or anything identifying, except with the beneficiary's explicit, separate and revocable written consent; a child is never identifiable, beyond first name and age in a story with both parents' or the guardian's consent. Application data is visible only to Committee members and file preparers, kept [number] years after the last payment, then deleted unless the law requires longer.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13. Evidencija, izvještavanje i izmjene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Records, reporting and amendments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vodi registar odluka sa rednim brojem, datumom, iznosom, kategorijom i ishodom, koji se koristi kao oznaka odluke u javnoj knjizi.</w:t>
            </w:r>
          </w:p>
          <w:p>
            <w:pPr>
              <w:spacing w:after="100"/>
            </w:pPr>
            <w:r>
              <w:rPr>
                <w:rFonts w:ascii="Arial" w:cs="Arial" w:eastAsia="Arial" w:hAnsi="Arial"/>
                <w:sz w:val="18"/>
                <w:szCs w:val="18"/>
              </w:rPr>
              <w:t xml:space="preserve">Komisija podnosi Skupštini i Upravnom odboru godišnji izvještaj sa brojem primljenih, odobrenih i odbijenih prijava, ukupnim iznosima po kategoriji i ogranku, prosječnim rokom odlučivanja i brojem izuzeća zbog sukoba interesa.</w:t>
            </w:r>
          </w:p>
          <w:p>
            <w:pPr>
              <w:spacing w:after="100"/>
            </w:pPr>
            <w:r>
              <w:rPr>
                <w:rFonts w:ascii="Arial" w:cs="Arial" w:eastAsia="Arial" w:hAnsi="Arial"/>
                <w:sz w:val="18"/>
                <w:szCs w:val="18"/>
              </w:rPr>
              <w:t xml:space="preserve">Komisija najmanje jednom godišnje preispituje ove kriterijume i predlaže Upravnom odboru izmjene. Izmjene se objavljuju najmanje 15 dana prije primjene i ne primjenjuju se na prijave podnijete prije objavljivanja.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The Committee keeps a decision register (number, date, amount, category, outcome) whose number is the reference shown in the ledger. It reports yearly to the Assembly and the Board: applications received, approved and declined, totals by category and chapter, average decision time, and recusals. It reviews these criteria at least yearly and proposes changes to the Board; changes are published 15 days before they apply and do not affect applications already filed.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14. Parametri za Upravni odbor i provjere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Parameters for the Board and checks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Suggested starting values,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Standard ceiling per decision / Standardna dodjela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 7</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Unanimity threshold / Prag jednoglasnosti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above 1.500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 7</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Urgent-aid ceiling / Hitna pomoć</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 8</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Cash payment ceiling / Gotovina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 11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Score threshold / Prag bodova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9 of 18</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 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Repeat-application gap / Razmak između prijava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12 months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 3, § 11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Retention of application data / Čuvanje podataka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 years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 12</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accountant:</w:t>
            </w:r>
            <w:r>
              <w:rPr>
                <w:rFonts w:ascii="Arial" w:cs="Arial" w:eastAsia="Arial" w:hAnsi="Arial"/>
                <w:sz w:val="18"/>
                <w:szCs w:val="18"/>
              </w:rPr>
              <w:t xml:space="preserve"> whether aid paid to an individual, or to a supplier on an individual's behalf, is taxable income for the recipient under Montenegrin personal income tax rules, and what documentation the association needs for its own books. </w:t>
            </w:r>
            <w:r>
              <w:rPr>
                <w:rFonts w:ascii="Arial" w:cs="Arial" w:eastAsia="Arial" w:hAnsi="Arial"/>
                <w:b/>
                <w:bCs/>
                <w:sz w:val="18"/>
                <w:szCs w:val="18"/>
              </w:rPr>
              <w:t xml:space="preserve">CHECK with the lawyer:</w:t>
            </w:r>
            <w:r>
              <w:rPr>
                <w:rFonts w:ascii="Arial" w:cs="Arial" w:eastAsia="Arial" w:hAnsi="Arial"/>
                <w:sz w:val="18"/>
                <w:szCs w:val="18"/>
              </w:rPr>
              <w:t xml:space="preserve"> the privacy section against the Law on Personal Data Protection and the site's privacy policy (</w:t>
            </w:r>
            <w:r>
              <w:rPr>
                <w:rFonts w:ascii="Courier New" w:cs="Courier New" w:eastAsia="Courier New" w:hAnsi="Courier New"/>
                <w:sz w:val="18"/>
                <w:szCs w:val="18"/>
              </w:rPr>
              <w:t xml:space="preserve">content/legal/privacy.ts</w:t>
            </w:r>
            <w:r>
              <w:rPr>
                <w:rFonts w:ascii="Arial" w:cs="Arial" w:eastAsia="Arial" w:hAnsi="Arial"/>
                <w:sz w:val="18"/>
                <w:szCs w:val="18"/>
              </w:rPr>
              <w:t xml:space="preserve">), and whether the exclusion of relatives of officers in § 3 needs to match the conflict-of-interest wording in the statute (Art. 39).</w:t>
            </w:r>
          </w:p>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application form at </w:t>
            </w:r>
            <w:r>
              <w:rPr>
                <w:rFonts w:ascii="Courier New" w:cs="Courier New" w:eastAsia="Courier New" w:hAnsi="Courier New"/>
                <w:sz w:val="18"/>
                <w:szCs w:val="18"/>
              </w:rPr>
              <w:t xml:space="preserve">/prijava-za-pomoc</w:t>
            </w:r>
            <w:r>
              <w:rPr>
                <w:rFonts w:ascii="Arial" w:cs="Arial" w:eastAsia="Arial" w:hAnsi="Arial"/>
                <w:sz w:val="18"/>
                <w:szCs w:val="18"/>
              </w:rPr>
              <w:t xml:space="preserve"> already collects the fields in § 5 except the statement of other sources and the two consents; those need adding. The disbursement record's </w:t>
            </w:r>
            <w:r>
              <w:rPr>
                <w:rFonts w:ascii="Courier New" w:cs="Courier New" w:eastAsia="Courier New" w:hAnsi="Courier New"/>
                <w:sz w:val="18"/>
                <w:szCs w:val="18"/>
              </w:rPr>
              <w:t xml:space="preserve">committee_decision_ref</w:t>
            </w:r>
            <w:r>
              <w:rPr>
                <w:rFonts w:ascii="Arial" w:cs="Arial" w:eastAsia="Arial" w:hAnsi="Arial"/>
                <w:sz w:val="18"/>
                <w:szCs w:val="18"/>
              </w:rPr>
              <w:t xml:space="preserve"> is the register number from § 13, and its </w:t>
            </w:r>
            <w:r>
              <w:rPr>
                <w:rFonts w:ascii="Courier New" w:cs="Courier New" w:eastAsia="Courier New" w:hAnsi="Courier New"/>
                <w:sz w:val="18"/>
                <w:szCs w:val="18"/>
              </w:rPr>
              <w:t xml:space="preserve">category</w:t>
            </w:r>
            <w:r>
              <w:rPr>
                <w:rFonts w:ascii="Arial" w:cs="Arial" w:eastAsia="Arial" w:hAnsi="Arial"/>
                <w:sz w:val="18"/>
                <w:szCs w:val="18"/>
              </w:rPr>
              <w:t xml:space="preserve"> should use the five categories in § 4.</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2026-09-21T19:59:41.333Z</dcterms:created>
  <dcterms:modified xsi:type="dcterms:W3CDTF">2026-09-21T19:59:41.333Z</dcterms:modified>
</cp:coreProperties>
</file>

<file path=docProps/custom.xml><?xml version="1.0" encoding="utf-8"?>
<Properties xmlns="http://schemas.openxmlformats.org/officeDocument/2006/custom-properties" xmlns:vt="http://schemas.openxmlformats.org/officeDocument/2006/docPropsVTypes"/>
</file>