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Statute additions: Board, Grants Committee, chapters / Dopune statuta: Upravni odbor, Komisija za dodjelu sredstava, ogranci</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9906"/>
            <w:gridSpan w:val="2"/>
            <w:tcMar>
              <w:top w:type="dxa" w:w="80"/>
              <w:left w:type="dxa" w:w="100"/>
              <w:bottom w:type="dxa" w:w="80"/>
              <w:right w:type="dxa" w:w="100"/>
            </w:tcMar>
          </w:tcPr>
          <w:p>
            <w:pPr>
              <w:spacing w:after="80"/>
            </w:pPr>
            <w:r>
              <w:rPr>
                <w:rFonts w:ascii="Arial" w:cs="Arial" w:eastAsia="Arial" w:hAnsi="Arial"/>
                <w:color w:val="5A6A72"/>
                <w:sz w:val="16"/>
                <w:szCs w:val="16"/>
              </w:rPr>
              <w:t xml:space="preserve">Draft articles to insert into the statute template (</w:t>
            </w:r>
            <w:r>
              <w:rPr>
                <w:rFonts w:ascii="Courier New" w:cs="Courier New" w:eastAsia="Courier New" w:hAnsi="Courier New"/>
                <w:color w:val="5A6A72"/>
                <w:sz w:val="16"/>
                <w:szCs w:val="16"/>
              </w:rPr>
              <w:t xml:space="preserve">04-statute.en.md</w:t>
            </w:r>
            <w:r>
              <w:rPr>
                <w:rFonts w:ascii="Arial" w:cs="Arial" w:eastAsia="Arial" w:hAnsi="Arial"/>
                <w:color w:val="5A6A72"/>
                <w:sz w:val="16"/>
                <w:szCs w:val="16"/>
              </w:rPr>
              <w:t xml:space="preserve">, Montenegrin original </w:t>
            </w:r>
            <w:r>
              <w:rPr>
                <w:rFonts w:ascii="Arial" w:cs="Arial" w:eastAsia="Arial" w:hAnsi="Arial"/>
                <w:i/>
                <w:iCs/>
                <w:color w:val="5A6A72"/>
                <w:sz w:val="16"/>
                <w:szCs w:val="16"/>
              </w:rPr>
              <w:t xml:space="preserve">Obrazac statuta udruženja</w:t>
            </w:r>
            <w:r>
              <w:rPr>
                <w:rFonts w:ascii="Arial" w:cs="Arial" w:eastAsia="Arial" w:hAnsi="Arial"/>
                <w:color w:val="5A6A72"/>
                <w:sz w:val="16"/>
                <w:szCs w:val="16"/>
              </w:rPr>
              <w:t xml:space="preserve">). Montenegrin is the operative text; the English under each article is a translation for founders who do not read it. Drafted 2026-09-21 from the governance the team guide commits to (</w:t>
            </w:r>
            <w:r>
              <w:rPr>
                <w:rFonts w:ascii="Courier New" w:cs="Courier New" w:eastAsia="Courier New" w:hAnsi="Courier New"/>
                <w:color w:val="5A6A72"/>
                <w:sz w:val="16"/>
                <w:szCs w:val="16"/>
              </w:rPr>
              <w:t xml:space="preserve">docs/reference/team-guide.html</w:t>
            </w:r>
            <w:r>
              <w:rPr>
                <w:rFonts w:ascii="Arial" w:cs="Arial" w:eastAsia="Arial" w:hAnsi="Arial"/>
                <w:color w:val="5A6A72"/>
                <w:sz w:val="16"/>
                <w:szCs w:val="16"/>
              </w:rPr>
              <w:t xml:space="preserve">) and the drafting rules in the Ministry's guidance note (</w:t>
            </w:r>
            <w:r>
              <w:rPr>
                <w:rFonts w:ascii="Courier New" w:cs="Courier New" w:eastAsia="Courier New" w:hAnsi="Courier New"/>
                <w:color w:val="5A6A72"/>
                <w:sz w:val="16"/>
                <w:szCs w:val="16"/>
              </w:rPr>
              <w:t xml:space="preserve">07-guidance-statute.en.md</w:t>
            </w:r>
            <w:r>
              <w:rPr>
                <w:rFonts w:ascii="Arial" w:cs="Arial" w:eastAsia="Arial" w:hAnsi="Arial"/>
                <w:color w:val="5A6A72"/>
                <w:sz w:val="16"/>
                <w:szCs w:val="16"/>
              </w:rPr>
              <w:t xml:space="preserve">): every body gets its powers, composition, election and dismissal, term, quorum and majority. </w:t>
            </w:r>
            <w:r>
              <w:rPr>
                <w:rFonts w:ascii="Arial" w:cs="Arial" w:eastAsia="Arial" w:hAnsi="Arial"/>
                <w:b/>
                <w:bCs/>
                <w:color w:val="5A6A72"/>
                <w:sz w:val="16"/>
                <w:szCs w:val="16"/>
              </w:rPr>
              <w:t xml:space="preserve">The lawyer reviews the Montenegrin before signing.</w:t>
            </w:r>
            <w:r>
              <w:rPr>
                <w:rFonts w:ascii="Arial" w:cs="Arial" w:eastAsia="Arial" w:hAnsi="Arial"/>
                <w:color w:val="5A6A72"/>
                <w:sz w:val="16"/>
                <w:szCs w:val="16"/>
              </w:rPr>
              <w:t xml:space="preserve"> Nothing here is legal advice.</w:t>
            </w:r>
          </w:p>
        </w:tc>
      </w:tr>
      <w:tr>
        <w:tc>
          <w:tcPr>
            <w:tcW w:type="dxa" w:w="9906"/>
            <w:gridSpan w:val="2"/>
            <w:tcMar>
              <w:top w:type="dxa" w:w="80"/>
              <w:left w:type="dxa" w:w="100"/>
              <w:bottom w:type="dxa" w:w="80"/>
              <w:right w:type="dxa" w:w="100"/>
            </w:tcMar>
          </w:tcPr>
          <w:p>
            <w:pPr>
              <w:spacing w:after="80"/>
            </w:pPr>
            <w:r>
              <w:rPr>
                <w:rFonts w:ascii="Arial" w:cs="Arial" w:eastAsia="Arial" w:hAnsi="Arial"/>
                <w:b/>
                <w:bCs/>
                <w:color w:val="5A6A72"/>
                <w:sz w:val="16"/>
                <w:szCs w:val="16"/>
              </w:rPr>
              <w:t xml:space="preserve">Where the articles go.</w:t>
            </w:r>
            <w:r>
              <w:rPr>
                <w:rFonts w:ascii="Arial" w:cs="Arial" w:eastAsia="Arial" w:hAnsi="Arial"/>
                <w:color w:val="5A6A72"/>
                <w:sz w:val="16"/>
                <w:szCs w:val="16"/>
              </w:rPr>
              <w:t xml:space="preserve"> The three new chapters are inserted after Article 31 (end of the Executive Director chapters) and before the chapter "SLUŽBENICI (OSOBLJE)". They are numbered 32 to 44 below. The template's existing Articles 32 to 42 then become 45 to 55. The proxy chapter (Articles 17a to 17f) goes after Article 17, as the guidance note recommends, and shifts everything after it by six; renumber once, at the end.</w:t>
            </w:r>
          </w:p>
        </w:tc>
      </w:tr>
      <w:tr>
        <w:tc>
          <w:tcPr>
            <w:tcW w:type="dxa" w:w="9906"/>
            <w:gridSpan w:val="2"/>
            <w:tcMar>
              <w:top w:type="dxa" w:w="80"/>
              <w:left w:type="dxa" w:w="100"/>
              <w:bottom w:type="dxa" w:w="80"/>
              <w:right w:type="dxa" w:w="100"/>
            </w:tcMar>
          </w:tcPr>
          <w:p>
            <w:pPr>
              <w:spacing w:after="80"/>
            </w:pPr>
            <w:r>
              <w:rPr>
                <w:rFonts w:ascii="Arial" w:cs="Arial" w:eastAsia="Arial" w:hAnsi="Arial"/>
                <w:b/>
                <w:bCs/>
                <w:color w:val="5A6A72"/>
                <w:sz w:val="16"/>
                <w:szCs w:val="16"/>
              </w:rPr>
              <w:t xml:space="preserve">Decisions embedded in the draft, all from the team guide.</w:t>
            </w:r>
            <w:r>
              <w:rPr>
                <w:rFonts w:ascii="Arial" w:cs="Arial" w:eastAsia="Arial" w:hAnsi="Arial"/>
                <w:color w:val="5A6A72"/>
                <w:sz w:val="16"/>
                <w:szCs w:val="16"/>
              </w:rPr>
              <w:t xml:space="preserve"> Change them if the founders decide otherwise; each is a single number or sentence.</w:t>
            </w:r>
          </w:p>
        </w:tc>
      </w:tr>
      <w:tr>
        <w:tc>
          <w:tcPr>
            <w:tcW w:type="dxa" w:w="9906"/>
            <w:gridSpan w:val="2"/>
            <w:tcMar>
              <w:top w:type="dxa" w:w="80"/>
              <w:left w:type="dxa" w:w="100"/>
              <w:bottom w:type="dxa" w:w="80"/>
              <w:right w:type="dxa" w:w="100"/>
            </w:tcMar>
          </w:tcPr>
          <w:p>
            <w:pPr>
              <w:spacing w:after="80"/>
            </w:pPr>
            <w:r>
              <w:rPr>
                <w:rFonts w:ascii="Arial" w:cs="Arial" w:eastAsia="Arial" w:hAnsi="Arial"/>
                <w:color w:val="5A6A72"/>
                <w:sz w:val="16"/>
                <w:szCs w:val="16"/>
              </w:rPr>
              <w:t xml:space="preserve">Board of 5 to 7, independent majority, four-year term. Grants Committee of 3 to 5, three-year terms, one third renewed every year, founders and the Executive Director excluded, the Board and the Executive Director cannot overturn its decisions. Chapters are not legal persons, have no bank account of their own, and money raised in a chapter's area is earmarked for that area. Donations collected for beneficiaries are passed on in full; operating costs come from other income.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Izmjene postojećih članova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 Consequential edits to existing articles</w:t>
            </w:r>
          </w:p>
        </w:tc>
      </w:tr>
      <w:tr>
        <w:tc>
          <w:tcPr>
            <w:tcW w:type="dxa" w:w="9906"/>
            <w:gridSpan w:val="2"/>
            <w:tcMar>
              <w:top w:type="dxa" w:w="80"/>
              <w:left w:type="dxa" w:w="100"/>
              <w:bottom w:type="dxa" w:w="80"/>
              <w:right w:type="dxa" w:w="100"/>
            </w:tcMar>
          </w:tcPr>
          <w:tbl>
            <w:tblPr>
              <w:tblW w:type="dxa" w:w="9706"/>
              <w:tblBorders>
                <w:top w:val="single" w:color="C9D3D7" w:sz="4"/>
                <w:left w:val="single" w:color="C9D3D7" w:sz="4"/>
                <w:bottom w:val="single" w:color="C9D3D7" w:sz="4"/>
                <w:right w:val="single" w:color="C9D3D7" w:sz="4"/>
                <w:insideH w:val="single" w:color="C9D3D7" w:sz="4"/>
                <w:insideV w:val="single" w:color="C9D3D7" w:sz="4"/>
              </w:tblBorders>
            </w:tblPr>
            <w:tblGrid>
              <w:gridCol w:w="3235"/>
              <w:gridCol w:w="3235"/>
              <w:gridCol w:w="3235"/>
            </w:tblGrid>
            <w:tr>
              <w:trPr>
                <w:tblHeader/>
              </w:trPr>
              <w:tc>
                <w:tcPr>
                  <w:tcW w:type="dxa" w:w="3235"/>
                  <w:shd w:fill="E3EBED" w:color="auto" w:val="clear"/>
                  <w:tcMar>
                    <w:top w:type="dxa" w:w="40"/>
                    <w:left w:type="dxa" w:w="60"/>
                    <w:bottom w:type="dxa" w:w="40"/>
                    <w:right w:type="dxa" w:w="60"/>
                  </w:tcMar>
                </w:tcPr>
                <w:p>
                  <w:r>
                    <w:rPr>
                      <w:rFonts w:ascii="Arial" w:cs="Arial" w:eastAsia="Arial" w:hAnsi="Arial"/>
                      <w:b/>
                      <w:bCs/>
                      <w:sz w:val="16"/>
                      <w:szCs w:val="16"/>
                    </w:rPr>
                    <w:t xml:space="preserve">Article / Član</w:t>
                  </w:r>
                </w:p>
              </w:tc>
              <w:tc>
                <w:tcPr>
                  <w:tcW w:type="dxa" w:w="3235"/>
                  <w:shd w:fill="E3EBED" w:color="auto" w:val="clear"/>
                  <w:tcMar>
                    <w:top w:type="dxa" w:w="40"/>
                    <w:left w:type="dxa" w:w="60"/>
                    <w:bottom w:type="dxa" w:w="40"/>
                    <w:right w:type="dxa" w:w="60"/>
                  </w:tcMar>
                </w:tcPr>
                <w:p>
                  <w:r>
                    <w:rPr>
                      <w:rFonts w:ascii="Arial" w:cs="Arial" w:eastAsia="Arial" w:hAnsi="Arial"/>
                      <w:b/>
                      <w:bCs/>
                      <w:sz w:val="16"/>
                      <w:szCs w:val="16"/>
                    </w:rPr>
                    <w:t xml:space="preserve">Change (EN)</w:t>
                  </w:r>
                </w:p>
              </w:tc>
              <w:tc>
                <w:tcPr>
                  <w:tcW w:type="dxa" w:w="3235"/>
                  <w:shd w:fill="E3EBED" w:color="auto" w:val="clear"/>
                  <w:tcMar>
                    <w:top w:type="dxa" w:w="40"/>
                    <w:left w:type="dxa" w:w="60"/>
                    <w:bottom w:type="dxa" w:w="40"/>
                    <w:right w:type="dxa" w:w="60"/>
                  </w:tcMar>
                </w:tcPr>
                <w:p>
                  <w:r>
                    <w:rPr>
                      <w:rFonts w:ascii="Arial" w:cs="Arial" w:eastAsia="Arial" w:hAnsi="Arial"/>
                      <w:b/>
                      <w:bCs/>
                      <w:sz w:val="16"/>
                      <w:szCs w:val="16"/>
                    </w:rPr>
                    <w:t xml:space="preserve">Izmjena (ME)</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9</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Replace with: "The bodies of the association are the Assembly, the Board, the Grants Committee and the person authorised for representation (Executive Director)."</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Zamijeniti sa: „Organi udruženja su Skupština, Upravni odbor, Komisija za dodjelu sredstava i lice ovlašćeno za zastupanje (Izvršni direktor).“</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12</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two powers: "adopts the annual budget of the association;" and "elects and dismisses the members of the Board and of the Grants Committee;". The existing "elects and dismisses the other bodies" line can then be deleted.</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dvije tačke: „usvaja godišnji budžet udruženja;“ i „bira i razrješava članove Upravnog odbora i Komisije za dodjelu sredstava;“. Postojeća tačka „bira i razrješava druge organe udruženja“ se tada briše.</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22</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a final paragraph: "The provisions of this Article apply accordingly to the members of all bodies of the association."</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posljednji stav: „Odredbe ovog člana shodno se primjenjuju na članove svih organa udruženja.“</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28</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three duties: "implements the decisions of the Board and of the Grants Committee;", "directs the work of the chapters;", and a closing paragraph: "The Executive Director does not decide which beneficiaries receive funds."</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tri tačke: „sprovodi odluke Upravnog odbora i Komisije za dodjelu sredstava;“, „rukovodi radom ogranaka;“ i završni stav: „Izvršni direktor ne odlučuje o tome kojim korisnicima se dodjeljuju sredstva.“</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29</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"and to the Board" so the Director reports to both.</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„i Upravnom odboru“, da direktor odgovara oba organa.</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32 (old; staff)</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Replace "adopted by the Assembly of the association" with "adopted by the Board".</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Zamijeniti „koji donosi Skupština udruženja“ sa „koji donosi Upravni odbor“.</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34 (old; financing)</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a second paragraph: "Voluntary contributions and donations collected for beneficiaries are allocated to beneficiaries in full. The costs of the association's work are covered from sponsorship, entry fees, membership fees, grants, income from economic activity and other income, unless the donor has expressly specified otherwise."</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drugi stav: „Dobrovoljni prilozi i donacije prikupljeni za korisnike u cjelini se dodjeljuju korisnicima. Troškovi rada udruženja pokrivaju se iz sponzorstava, kotizacija, članarina, grantova, prihoda od privredne djelatnosti i drugih prihoda, osim ako je donator izričito odredio drugačije.“</w:t>
                  </w:r>
                </w:p>
              </w:tc>
            </w:tr>
          </w:tbl>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2. New chapter: UPRAVNI ODBOR</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THE BOARD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32 — Položaj i sastav</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32. Position and composition.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je organ upravljanja koji između dvije sjednice Skupštine usmjerava rad udruženja, u okviru Statuta i odluka Skupštine.</w:t>
            </w:r>
          </w:p>
          <w:p>
            <w:pPr>
              <w:spacing w:after="100"/>
            </w:pPr>
            <w:r>
              <w:rPr>
                <w:rFonts w:ascii="Arial" w:cs="Arial" w:eastAsia="Arial" w:hAnsi="Arial"/>
                <w:sz w:val="18"/>
                <w:szCs w:val="18"/>
              </w:rPr>
              <w:t xml:space="preserve">Upravni odbor ima najmanje pet, a najviše sedam članova. Članove Upravnog odbora bira i razrješava Skupština većinom glasova prisutnih članova. Predsjednika Upravnog odbora biraju članovi Upravnog odbora iz svog reda.</w:t>
            </w:r>
          </w:p>
          <w:p>
            <w:pPr>
              <w:spacing w:after="100"/>
            </w:pPr>
            <w:r>
              <w:rPr>
                <w:rFonts w:ascii="Arial" w:cs="Arial" w:eastAsia="Arial" w:hAnsi="Arial"/>
                <w:sz w:val="18"/>
                <w:szCs w:val="18"/>
              </w:rPr>
              <w:t xml:space="preserve">Većinu članova Upravnog odbora čine nezavisni članovi. Nezavisan je član koji nije zaposlen u udruženju, ne prima od udruženja naknadu po bilo kom osnovu osim naknade opravdanih troškova, i nije bračni drug, srodnik u pravoj liniji ili srodnik u pobočnoj liniji do drugog stepena lica zaposlenog u udruženju.</w:t>
            </w:r>
          </w:p>
          <w:p>
            <w:pPr>
              <w:spacing w:after="100"/>
            </w:pPr>
            <w:r>
              <w:rPr>
                <w:rFonts w:ascii="Arial" w:cs="Arial" w:eastAsia="Arial" w:hAnsi="Arial"/>
                <w:sz w:val="18"/>
                <w:szCs w:val="18"/>
              </w:rPr>
              <w:t xml:space="preserve">Pri izboru članova Upravnog odbora Skupština nastoji da u njegovom sastavu budu zastupljena znanja iz oblasti računovodstva i finansija, prava, privrede i organizacije sportskih i javnih događaja, kao i predstavnik lokalne zajednice ili korisnika.</w:t>
            </w:r>
          </w:p>
          <w:p>
            <w:pPr>
              <w:spacing w:after="100"/>
            </w:pPr>
            <w:r>
              <w:rPr>
                <w:rFonts w:ascii="Arial" w:cs="Arial" w:eastAsia="Arial" w:hAnsi="Arial"/>
                <w:sz w:val="18"/>
                <w:szCs w:val="18"/>
              </w:rPr>
              <w:t xml:space="preserve">Izvršni direktor prisustvuje sjednicama Upravnog odbora bez prava glasa. Ako je Izvršni direktor izabran za člana Upravnog odbora, ne može biti njegov predsjednik i ne računa se u većinu iz stava 3 ovog člana.</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32. Position and composition.</w:t>
            </w:r>
            <w:r>
              <w:rPr>
                <w:rFonts w:ascii="Arial" w:cs="Arial" w:eastAsia="Arial" w:hAnsi="Arial"/>
                <w:sz w:val="18"/>
                <w:szCs w:val="18"/>
              </w:rPr>
              <w:t xml:space="preserve"> The Board is the governing body that directs the association's work between two sessions of the Assembly, within the Statute and the Assembly's decisions. The Board has at least five and at most seven members, elected and dismissed by the Assembly by a majority of members present; the Board elects its President from among its members. A majority of the Board are independent members: not employed by the association, not paid by it other than reimbursement of justified costs, and not the spouse or a close relative of an employee. The Assembly aims for skills in accounting and finance, law, business and the organisation of sporting and public events, plus a community or beneficiary voice. The Executive Director attends without a vote; if elected to the Board, the Director cannot be its President and does not count towards the independent majority.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33 — Mandat i razrješenje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33. Term and dismissal.</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Mandat člana Upravnog odbora traje četiri godine. Isto lice može biti ponovo birano.</w:t>
            </w:r>
          </w:p>
          <w:p>
            <w:pPr>
              <w:spacing w:after="100"/>
            </w:pPr>
            <w:r>
              <w:rPr>
                <w:rFonts w:ascii="Arial" w:cs="Arial" w:eastAsia="Arial" w:hAnsi="Arial"/>
                <w:sz w:val="18"/>
                <w:szCs w:val="18"/>
              </w:rPr>
              <w:t xml:space="preserve">Skupština može razriješiti člana Upravnog odbora i prije isteka mandata, većinom glasova prisutnih članova, na predlog najmanje jedne trećine članova Skupštine ili većine članova Upravnog odbora, ako član ne prisustvuje trima uzastopnim sjednicama bez opravdanja, prekrši pravila o sukobu interesa, ili svojim radom nanese štetu ugledu ili imovini udruženja.</w:t>
            </w:r>
          </w:p>
          <w:p>
            <w:pPr>
              <w:spacing w:after="100"/>
            </w:pPr>
            <w:r>
              <w:rPr>
                <w:rFonts w:ascii="Arial" w:cs="Arial" w:eastAsia="Arial" w:hAnsi="Arial"/>
                <w:sz w:val="18"/>
                <w:szCs w:val="18"/>
              </w:rPr>
              <w:t xml:space="preserve">Član Upravnog odbora kome je prestao mandat ostaje na dužnosti do izbora novog člana, a najduže šest mjeseci.</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33. Term and dismissal.</w:t>
            </w:r>
            <w:r>
              <w:rPr>
                <w:rFonts w:ascii="Arial" w:cs="Arial" w:eastAsia="Arial" w:hAnsi="Arial"/>
                <w:sz w:val="18"/>
                <w:szCs w:val="18"/>
              </w:rPr>
              <w:t xml:space="preserve"> Four-year term, re-election allowed. The Assembly may dismiss a member early, by a majority of those present, on the proposal of one third of the Assembly or a majority of the Board, for three unjustified absences in a row, a breach of the conflict-of-interest rules, or damage to the association's reputation or assets. A member whose term has ended stays on until a successor is elected, for at most six months.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34 — Nadležnosti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34. Powers.</w:t>
            </w:r>
          </w:p>
        </w:tc>
      </w:tr>
      <w:tr>
        <w:tc>
          <w:tcPr>
            <w:tcW w:type="dxa" w:w="9906"/>
            <w:gridSpan w:val="2"/>
            <w:tcMar>
              <w:top w:type="dxa" w:w="80"/>
              <w:left w:type="dxa" w:w="100"/>
              <w:bottom w:type="dxa" w:w="80"/>
              <w:right w:type="dxa" w:w="100"/>
            </w:tcMar>
          </w:tcPr>
          <w:p>
            <w:pPr>
              <w:spacing w:after="100"/>
            </w:pPr>
            <w:r>
              <w:rPr>
                <w:rFonts w:ascii="Arial" w:cs="Arial" w:eastAsia="Arial" w:hAnsi="Arial"/>
                <w:sz w:val="18"/>
                <w:szCs w:val="18"/>
              </w:rPr>
              <w:t xml:space="preserve">Upravni odbor:</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utvrđuje strategiju i višegodišnji plan rada udruženja i predlaže ih Skupštini;</w:t>
            </w:r>
          </w:p>
          <w:p>
            <w:pPr>
              <w:pStyle w:val="ListParagraph"/>
              <w:numPr>
                <w:ilvl w:val="0"/>
                <w:numId w:val="2"/>
              </w:numPr>
              <w:spacing w:after="40"/>
            </w:pPr>
            <w:r>
              <w:rPr>
                <w:rFonts w:ascii="Arial" w:cs="Arial" w:eastAsia="Arial" w:hAnsi="Arial"/>
                <w:sz w:val="18"/>
                <w:szCs w:val="18"/>
              </w:rPr>
              <w:t xml:space="preserve">utvrđuje predlog godišnjeg plana rada i godišnjeg budžeta i podnosi ih Skupštini na usvajanje;</w:t>
            </w:r>
          </w:p>
          <w:p>
            <w:pPr>
              <w:pStyle w:val="ListParagraph"/>
              <w:numPr>
                <w:ilvl w:val="0"/>
                <w:numId w:val="2"/>
              </w:numPr>
              <w:spacing w:after="40"/>
            </w:pPr>
            <w:r>
              <w:rPr>
                <w:rFonts w:ascii="Arial" w:cs="Arial" w:eastAsia="Arial" w:hAnsi="Arial"/>
                <w:sz w:val="18"/>
                <w:szCs w:val="18"/>
              </w:rPr>
              <w:t xml:space="preserve">nadzire izvršenje budžeta i finansijsko poslovanje udruženja i najmanje jednom u tri mjeseca razmatra izvještaj Izvršnog direktora o prihodima i rashodima;</w:t>
            </w:r>
          </w:p>
          <w:p>
            <w:pPr>
              <w:pStyle w:val="ListParagraph"/>
              <w:numPr>
                <w:ilvl w:val="0"/>
                <w:numId w:val="2"/>
              </w:numPr>
              <w:spacing w:after="40"/>
            </w:pPr>
            <w:r>
              <w:rPr>
                <w:rFonts w:ascii="Arial" w:cs="Arial" w:eastAsia="Arial" w:hAnsi="Arial"/>
                <w:sz w:val="18"/>
                <w:szCs w:val="18"/>
              </w:rPr>
              <w:t xml:space="preserve">utvrđuje predlog godišnjeg finansijskog izvještaja i izvještaja o radu i podnosi ih Skupštini;</w:t>
            </w:r>
          </w:p>
          <w:p>
            <w:pPr>
              <w:pStyle w:val="ListParagraph"/>
              <w:numPr>
                <w:ilvl w:val="0"/>
                <w:numId w:val="2"/>
              </w:numPr>
              <w:spacing w:after="40"/>
            </w:pPr>
            <w:r>
              <w:rPr>
                <w:rFonts w:ascii="Arial" w:cs="Arial" w:eastAsia="Arial" w:hAnsi="Arial"/>
                <w:sz w:val="18"/>
                <w:szCs w:val="18"/>
              </w:rPr>
              <w:t xml:space="preserve">donosi Akt o sistematizaciji radnih mjesta, odlučuje o zasnivanju i prestanku radnog odnosa i utvrđuje zarade i naknade zaposlenih i Izvršnog direktora, na osnovu pisanog obrazloženja i uporednih podataka koji se unose u zapisnik;</w:t>
            </w:r>
          </w:p>
          <w:p>
            <w:pPr>
              <w:pStyle w:val="ListParagraph"/>
              <w:numPr>
                <w:ilvl w:val="0"/>
                <w:numId w:val="2"/>
              </w:numPr>
              <w:spacing w:after="40"/>
            </w:pPr>
            <w:r>
              <w:rPr>
                <w:rFonts w:ascii="Arial" w:cs="Arial" w:eastAsia="Arial" w:hAnsi="Arial"/>
                <w:sz w:val="18"/>
                <w:szCs w:val="18"/>
              </w:rPr>
              <w:t xml:space="preserve">predlaže Skupštini izbor i razrješenje Izvršnog direktora;</w:t>
            </w:r>
          </w:p>
          <w:p>
            <w:pPr>
              <w:pStyle w:val="ListParagraph"/>
              <w:numPr>
                <w:ilvl w:val="0"/>
                <w:numId w:val="2"/>
              </w:numPr>
              <w:spacing w:after="40"/>
            </w:pPr>
            <w:r>
              <w:rPr>
                <w:rFonts w:ascii="Arial" w:cs="Arial" w:eastAsia="Arial" w:hAnsi="Arial"/>
                <w:sz w:val="18"/>
                <w:szCs w:val="18"/>
              </w:rPr>
              <w:t xml:space="preserve">predlaže Skupštini izbor i razrješenje članova Komisije za dodjelu sredstava, u skladu sa članom 36 ovog statuta;</w:t>
            </w:r>
          </w:p>
          <w:p>
            <w:pPr>
              <w:pStyle w:val="ListParagraph"/>
              <w:numPr>
                <w:ilvl w:val="0"/>
                <w:numId w:val="2"/>
              </w:numPr>
              <w:spacing w:after="40"/>
            </w:pPr>
            <w:r>
              <w:rPr>
                <w:rFonts w:ascii="Arial" w:cs="Arial" w:eastAsia="Arial" w:hAnsi="Arial"/>
                <w:sz w:val="18"/>
                <w:szCs w:val="18"/>
              </w:rPr>
              <w:t xml:space="preserve">usvaja i objavljuje kriterijume za dodjelu sredstava korisnicima, na predlog Komisije za dodjelu sredstava;</w:t>
            </w:r>
          </w:p>
          <w:p>
            <w:pPr>
              <w:pStyle w:val="ListParagraph"/>
              <w:numPr>
                <w:ilvl w:val="0"/>
                <w:numId w:val="2"/>
              </w:numPr>
              <w:spacing w:after="40"/>
            </w:pPr>
            <w:r>
              <w:rPr>
                <w:rFonts w:ascii="Arial" w:cs="Arial" w:eastAsia="Arial" w:hAnsi="Arial"/>
                <w:sz w:val="18"/>
                <w:szCs w:val="18"/>
              </w:rPr>
              <w:t xml:space="preserve">odlučuje o osnivanju i prestanku rada ogranaka i donosi Pravila o ograncima;</w:t>
            </w:r>
          </w:p>
          <w:p>
            <w:pPr>
              <w:pStyle w:val="ListParagraph"/>
              <w:numPr>
                <w:ilvl w:val="0"/>
                <w:numId w:val="2"/>
              </w:numPr>
              <w:spacing w:after="40"/>
            </w:pPr>
            <w:r>
              <w:rPr>
                <w:rFonts w:ascii="Arial" w:cs="Arial" w:eastAsia="Arial" w:hAnsi="Arial"/>
                <w:sz w:val="18"/>
                <w:szCs w:val="18"/>
              </w:rPr>
              <w:t xml:space="preserve">donosi pravila o sukobu interesa, pravila o zaštiti djece i ranjivih lica na događajima udruženja i druga interna pravila;</w:t>
            </w:r>
          </w:p>
          <w:p>
            <w:pPr>
              <w:pStyle w:val="ListParagraph"/>
              <w:numPr>
                <w:ilvl w:val="0"/>
                <w:numId w:val="2"/>
              </w:numPr>
              <w:spacing w:after="40"/>
            </w:pPr>
            <w:r>
              <w:rPr>
                <w:rFonts w:ascii="Arial" w:cs="Arial" w:eastAsia="Arial" w:hAnsi="Arial"/>
                <w:sz w:val="18"/>
                <w:szCs w:val="18"/>
              </w:rPr>
              <w:t xml:space="preserve">odlučuje o drugim pitanjima koja mu Skupština povjeri.</w:t>
            </w:r>
          </w:p>
          <w:p>
            <w:pPr>
              <w:spacing w:after="100"/>
            </w:pPr>
            <w:r>
              <w:rPr>
                <w:rFonts w:ascii="Arial" w:cs="Arial" w:eastAsia="Arial" w:hAnsi="Arial"/>
                <w:sz w:val="18"/>
                <w:szCs w:val="18"/>
              </w:rPr>
              <w:t xml:space="preserve">Upravni odbor ne odlučuje o tome kojim korisnicima se dodjeljuju sredstva; ta odluka je u isključivoj nadležnosti Komisije za dodjelu sredstava.</w:t>
            </w:r>
          </w:p>
          <w:p>
            <w:pPr>
              <w:spacing w:after="100"/>
            </w:pPr>
            <w:r>
              <w:rPr>
                <w:rFonts w:ascii="Arial" w:cs="Arial" w:eastAsia="Arial" w:hAnsi="Arial"/>
                <w:sz w:val="18"/>
                <w:szCs w:val="18"/>
              </w:rPr>
              <w:t xml:space="preserve">O zaradi ili naknadi lica koje prima naknadu od udruženja odlučuju samo nezavisni članovi Upravnog odbora. Rasponi zarada objavljuju se u godišnjem izvještaju o radu.</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34. Powers.</w:t>
            </w:r>
            <w:r>
              <w:rPr>
                <w:rFonts w:ascii="Arial" w:cs="Arial" w:eastAsia="Arial" w:hAnsi="Arial"/>
                <w:sz w:val="18"/>
                <w:szCs w:val="18"/>
              </w:rPr>
              <w:t xml:space="preserve"> The Board sets strategy and the multi-year plan and proposes them to the Assembly; prepares the annual work plan and budget for the Assembly; supervises budget execution and reviews the Director's income-and-expenditure report at least quarterly; prepares the annual financial report and work report for the Assembly; adopts the staffing act, hires and dismisses staff and sets the pay of staff and the Director on a written justification with benchmark data recorded in the minutes; proposes to the Assembly the election and dismissal of the Director and of Grants Committee members; adopts and publishes the grant criteria proposed by the Grants Committee; founds and dissolves chapters and adopts the Chapter Rules; adopts conflict-of-interest, safeguarding and other internal rules; decides other matters the Assembly entrusts to it. The Board never decides which beneficiaries receive funds. Only independent members vote on anyone's pay, and pay bands are published in the annual report.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35 — Sazivanje, kvorum i odlučivanje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35. Convening, quorum and decisions.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Sjednice Upravnog odbora saziva i njima rukovodi predsjednik Upravnog odbora, najmanje četiri puta godišnje. Predsjednik je dužan da sazove sjednicu u roku od 15 dana na zahtjev najmanje dva člana Upravnog odbora ili Izvršnog direktora.</w:t>
            </w:r>
          </w:p>
          <w:p>
            <w:pPr>
              <w:spacing w:after="100"/>
            </w:pPr>
            <w:r>
              <w:rPr>
                <w:rFonts w:ascii="Arial" w:cs="Arial" w:eastAsia="Arial" w:hAnsi="Arial"/>
                <w:sz w:val="18"/>
                <w:szCs w:val="18"/>
              </w:rPr>
              <w:t xml:space="preserve">Poziv sa dnevnim redom i materijalom dostavlja se članovima najmanje sedam dana prije sjednice, a u hitnim slučajevima najmanje 48 sati.</w:t>
            </w:r>
          </w:p>
          <w:p>
            <w:pPr>
              <w:spacing w:after="100"/>
            </w:pPr>
            <w:r>
              <w:rPr>
                <w:rFonts w:ascii="Arial" w:cs="Arial" w:eastAsia="Arial" w:hAnsi="Arial"/>
                <w:sz w:val="18"/>
                <w:szCs w:val="18"/>
              </w:rPr>
              <w:t xml:space="preserve">Upravni odbor može da odlučuje ako je prisutna većina njegovih članova. Odluke se donose većinom glasova prisutnih članova. Ako je broj glasova jednak, predlog nije usvojen.</w:t>
            </w:r>
          </w:p>
          <w:p>
            <w:pPr>
              <w:spacing w:after="100"/>
            </w:pPr>
            <w:r>
              <w:rPr>
                <w:rFonts w:ascii="Arial" w:cs="Arial" w:eastAsia="Arial" w:hAnsi="Arial"/>
                <w:sz w:val="18"/>
                <w:szCs w:val="18"/>
              </w:rPr>
              <w:t xml:space="preserve">Sjednice se mogu održati i putem video veze, a odluke donositi i pisanim ili elektronskim putem, ako su svi članovi obaviješteni i ako za odluku glasa većina svih članova.</w:t>
            </w:r>
          </w:p>
          <w:p>
            <w:pPr>
              <w:spacing w:after="100"/>
            </w:pPr>
            <w:r>
              <w:rPr>
                <w:rFonts w:ascii="Arial" w:cs="Arial" w:eastAsia="Arial" w:hAnsi="Arial"/>
                <w:sz w:val="18"/>
                <w:szCs w:val="18"/>
              </w:rPr>
              <w:t xml:space="preserve">Na rad Upravnog odbora, vođenje zapisnika i isključenje prava glasa shodno se primjenjuju članovi 22 do 26 ovog statuta.</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35. Convening, quorum and decisions.</w:t>
            </w:r>
            <w:r>
              <w:rPr>
                <w:rFonts w:ascii="Arial" w:cs="Arial" w:eastAsia="Arial" w:hAnsi="Arial"/>
                <w:sz w:val="18"/>
                <w:szCs w:val="18"/>
              </w:rPr>
              <w:t xml:space="preserve"> The President convenes and chairs at least four meetings a year and must convene one within 15 days at the request of two members or the Director. Notice with agenda and papers goes out seven days ahead, 48 hours in urgent cases. Quorum is a majority of members; decisions by a majority of those present; a tie means the proposal is not adopted. Meetings may be held by video and decisions taken in writing or electronically if all members were informed and a majority of all members vote in favour. Articles 22 to 26 (minutes, exclusion from voting) apply accordingly.</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3. New chapter: KOMISIJA ZA DODJELU SREDSTAVA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THE GRANTS COMMITTEE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36 — Položaj i sastav</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36. Position and composition.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Komisija za dodjelu sredstava je nezavisan organ udruženja koji odlučuje o tome kojim korisnicima, u kom iznosu i za koju namjenu se dodjeljuju sredstva prikupljena za korisnike.</w:t>
            </w:r>
          </w:p>
          <w:p>
            <w:pPr>
              <w:spacing w:after="100"/>
            </w:pPr>
            <w:r>
              <w:rPr>
                <w:rFonts w:ascii="Arial" w:cs="Arial" w:eastAsia="Arial" w:hAnsi="Arial"/>
                <w:sz w:val="18"/>
                <w:szCs w:val="18"/>
              </w:rPr>
              <w:t xml:space="preserve">Komisija ima najmanje tri, a najviše pet članova. Članove Komisije bira i razrješava Skupština, na predlog Upravnog odbora, većinom glasova prisutnih članova. Predsjednika Komisije biraju članovi Komisije iz svog reda.</w:t>
            </w:r>
          </w:p>
          <w:p>
            <w:pPr>
              <w:spacing w:after="100"/>
            </w:pPr>
            <w:r>
              <w:rPr>
                <w:rFonts w:ascii="Arial" w:cs="Arial" w:eastAsia="Arial" w:hAnsi="Arial"/>
                <w:sz w:val="18"/>
                <w:szCs w:val="18"/>
              </w:rPr>
              <w:t xml:space="preserve">Osnivači udruženja, Izvršni direktor i lica zaposlena u udruženju ne mogu biti članovi Komisije. Većina članova Komisije ne smije primati naknadu od udruženja po bilo kom osnovu osim naknade opravdanih troškova. Najviše jedan član Komisije može istovremeno biti član Upravnog odbora.</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36. Position and composition.</w:t>
            </w:r>
            <w:r>
              <w:rPr>
                <w:rFonts w:ascii="Arial" w:cs="Arial" w:eastAsia="Arial" w:hAnsi="Arial"/>
                <w:sz w:val="18"/>
                <w:szCs w:val="18"/>
              </w:rPr>
              <w:t xml:space="preserve"> The Grants Committee is an independent body that decides which beneficiaries receive funds collected for beneficiaries, how much and for what. Three to five members, elected and dismissed by the Assembly on the Board's proposal by a majority of those present; the Committee elects its own chair. Founders, the Executive Director and employees cannot sit on it; a majority must receive no payment from the association beyond expenses; at most one member may also sit on the Board.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37 — Mandat i rotacija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37. Term and rotation.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Mandat člana Komisije traje tri godine. Svake godine mijenja se najmanje jedna trećina članova Komisije. Radi uspostavljanja rotacije, članovima prvog saziva Skupština utvrđuje mandate od jedne, dvije i tri godine.</w:t>
            </w:r>
          </w:p>
          <w:p>
            <w:pPr>
              <w:spacing w:after="100"/>
            </w:pPr>
            <w:r>
              <w:rPr>
                <w:rFonts w:ascii="Arial" w:cs="Arial" w:eastAsia="Arial" w:hAnsi="Arial"/>
                <w:sz w:val="18"/>
                <w:szCs w:val="18"/>
              </w:rPr>
              <w:t xml:space="preserve">Isto lice može biti ponovo birano u Komisiju nakon isteka najmanje jedne godine od prestanka prethodnog mandata.</w:t>
            </w:r>
          </w:p>
          <w:p>
            <w:pPr>
              <w:spacing w:after="100"/>
            </w:pPr>
            <w:r>
              <w:rPr>
                <w:rFonts w:ascii="Arial" w:cs="Arial" w:eastAsia="Arial" w:hAnsi="Arial"/>
                <w:sz w:val="18"/>
                <w:szCs w:val="18"/>
              </w:rPr>
              <w:t xml:space="preserve">Skupština može razriješiti člana Komisije prije isteka mandata samo ako član prekrši pravila o sukobu interesa, ne prisustvuje trima uzastopnim sjednicama bez opravdanja, ili ako nastupe okolnosti iz člana 36 stav 3 ovog statuta.</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37. Term and rotation.</w:t>
            </w:r>
            <w:r>
              <w:rPr>
                <w:rFonts w:ascii="Arial" w:cs="Arial" w:eastAsia="Arial" w:hAnsi="Arial"/>
                <w:sz w:val="18"/>
                <w:szCs w:val="18"/>
              </w:rPr>
              <w:t xml:space="preserve"> Three-year terms; at least one third of the seats change every year, so the first intake gets one-, two- and three-year terms set by the Assembly. A member may return after a gap of at least one year. Early dismissal only for a conflict-of-interest breach, three unjustified absences in a row, or becoming ineligible under Article 36.</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38 — Nadležnosti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38. Powers.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Komisija za dodjelu sredstava:</w:t>
            </w:r>
          </w:p>
          <w:p>
            <w:pPr>
              <w:pStyle w:val="ListParagraph"/>
              <w:numPr>
                <w:ilvl w:val="0"/>
                <w:numId w:val="3"/>
              </w:numPr>
              <w:spacing w:after="40"/>
            </w:pPr>
            <w:r>
              <w:rPr>
                <w:rFonts w:ascii="Arial" w:cs="Arial" w:eastAsia="Arial" w:hAnsi="Arial"/>
                <w:sz w:val="18"/>
                <w:szCs w:val="18"/>
              </w:rPr>
              <w:t xml:space="preserve">predlaže Upravnom odboru kriterijume za dodjelu sredstava korisnicima; kriterijumi se objavljuju na internet stranici udruženja prije primjene;</w:t>
            </w:r>
          </w:p>
          <w:p>
            <w:pPr>
              <w:pStyle w:val="ListParagraph"/>
              <w:numPr>
                <w:ilvl w:val="0"/>
                <w:numId w:val="3"/>
              </w:numPr>
              <w:spacing w:after="40"/>
            </w:pPr>
            <w:r>
              <w:rPr>
                <w:rFonts w:ascii="Arial" w:cs="Arial" w:eastAsia="Arial" w:hAnsi="Arial"/>
                <w:sz w:val="18"/>
                <w:szCs w:val="18"/>
              </w:rPr>
              <w:t xml:space="preserve">razmatra prijave i predloge za podršku i odlučuje o svakoj dodjeli sredstava korisnicima;</w:t>
            </w:r>
          </w:p>
          <w:p>
            <w:pPr>
              <w:pStyle w:val="ListParagraph"/>
              <w:numPr>
                <w:ilvl w:val="0"/>
                <w:numId w:val="3"/>
              </w:numPr>
              <w:spacing w:after="40"/>
            </w:pPr>
            <w:r>
              <w:rPr>
                <w:rFonts w:ascii="Arial" w:cs="Arial" w:eastAsia="Arial" w:hAnsi="Arial"/>
                <w:sz w:val="18"/>
                <w:szCs w:val="18"/>
              </w:rPr>
              <w:t xml:space="preserve">u hitnim slučajevima može odlučiti u skraćenom postupku, elektronskim putem, o pomoći do iznosa koji utvrdi Upravni odbor;</w:t>
            </w:r>
          </w:p>
          <w:p>
            <w:pPr>
              <w:pStyle w:val="ListParagraph"/>
              <w:numPr>
                <w:ilvl w:val="0"/>
                <w:numId w:val="3"/>
              </w:numPr>
              <w:spacing w:after="40"/>
            </w:pPr>
            <w:r>
              <w:rPr>
                <w:rFonts w:ascii="Arial" w:cs="Arial" w:eastAsia="Arial" w:hAnsi="Arial"/>
                <w:sz w:val="18"/>
                <w:szCs w:val="18"/>
              </w:rPr>
              <w:t xml:space="preserve">vodi evidenciju svojih odluka i objavljuje sažetak svake dodjele (korisnik u obliku koji štiti privatnost, namjena i iznos) na internet stranici udruženja;</w:t>
            </w:r>
          </w:p>
          <w:p>
            <w:pPr>
              <w:pStyle w:val="ListParagraph"/>
              <w:numPr>
                <w:ilvl w:val="0"/>
                <w:numId w:val="3"/>
              </w:numPr>
              <w:spacing w:after="40"/>
            </w:pPr>
            <w:r>
              <w:rPr>
                <w:rFonts w:ascii="Arial" w:cs="Arial" w:eastAsia="Arial" w:hAnsi="Arial"/>
                <w:sz w:val="18"/>
                <w:szCs w:val="18"/>
              </w:rPr>
              <w:t xml:space="preserve">podnosi godišnji izvještaj o svom radu Skupštini i Upravnom odboru.</w:t>
            </w:r>
          </w:p>
          <w:p>
            <w:pPr>
              <w:spacing w:after="100"/>
            </w:pPr>
            <w:r>
              <w:rPr>
                <w:rFonts w:ascii="Arial" w:cs="Arial" w:eastAsia="Arial" w:hAnsi="Arial"/>
                <w:sz w:val="18"/>
                <w:szCs w:val="18"/>
              </w:rPr>
              <w:t xml:space="preserve">Odluke Komisije su konačne. Upravni odbor može odluku Komisije vratiti na ponovno razmatranje samo ako je donesena suprotno objavljenim kriterijumima ili ovom statutu, uz pisano obrazloženje; o vraćenoj odluci Komisija ponovo odlučuje i ta odluka je konačna.</w:t>
            </w:r>
          </w:p>
          <w:p>
            <w:pPr>
              <w:spacing w:after="100"/>
            </w:pPr>
            <w:r>
              <w:rPr>
                <w:rFonts w:ascii="Arial" w:cs="Arial" w:eastAsia="Arial" w:hAnsi="Arial"/>
                <w:sz w:val="18"/>
                <w:szCs w:val="18"/>
              </w:rPr>
              <w:t xml:space="preserve">Izvršni direktor sprovodi odluke Komisije i obezbjeđuje da se svaka isplata korisniku evidentira i objavi.</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38. Powers.</w:t>
            </w:r>
            <w:r>
              <w:rPr>
                <w:rFonts w:ascii="Arial" w:cs="Arial" w:eastAsia="Arial" w:hAnsi="Arial"/>
                <w:sz w:val="18"/>
                <w:szCs w:val="18"/>
              </w:rPr>
              <w:t xml:space="preserve"> The Committee proposes the grant criteria to the Board (published on the website before use); considers applications and decides every allocation to a beneficiary; may decide urgent aid by a fast electronic procedure up to a limit the Board sets; keeps a record of its decisions and publishes a privacy-safe summary of each allocation (beneficiary in protected form, purpose, amount); reports annually to the Assembly and the Board. Its decisions are final. The Board may send a decision back once, with written reasons, only if it breached the published criteria or the Statute; the Committee's second decision is final. The Director implements the decisions and ensures every payment to a beneficiary is recorded and published.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39 — Sukob interesa i odlučivanje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39. Conflicts of interest and decisions.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Komisija može da odlučuje ako je prisutna većina njenih članova. Odluke se donose većinom glasova svih članova Komisije.</w:t>
            </w:r>
          </w:p>
          <w:p>
            <w:pPr>
              <w:spacing w:after="100"/>
            </w:pPr>
            <w:r>
              <w:rPr>
                <w:rFonts w:ascii="Arial" w:cs="Arial" w:eastAsia="Arial" w:hAnsi="Arial"/>
                <w:sz w:val="18"/>
                <w:szCs w:val="18"/>
              </w:rPr>
              <w:t xml:space="preserve">Član Komisije koji je sa podnosiocem prijave ili korisnikom u srodstvu, poslovnom, radnom ili drugom ličnom odnosu, ili ima bilo koji drugi lični interes u odluci, dužan je da to prijavi prije rasprave i ne učestvuje u raspravi ni u odlučivanju o toj tački. Prijava sukoba interesa i izuzeće unose se u zapisnik.</w:t>
            </w:r>
          </w:p>
          <w:p>
            <w:pPr>
              <w:spacing w:after="100"/>
            </w:pPr>
            <w:r>
              <w:rPr>
                <w:rFonts w:ascii="Arial" w:cs="Arial" w:eastAsia="Arial" w:hAnsi="Arial"/>
                <w:sz w:val="18"/>
                <w:szCs w:val="18"/>
              </w:rPr>
              <w:t xml:space="preserve">Članovi Komisije potpisuju godišnju izjavu o nepostojanju sukoba interesa.</w:t>
            </w:r>
          </w:p>
          <w:p>
            <w:pPr>
              <w:spacing w:after="100"/>
            </w:pPr>
            <w:r>
              <w:rPr>
                <w:rFonts w:ascii="Arial" w:cs="Arial" w:eastAsia="Arial" w:hAnsi="Arial"/>
                <w:sz w:val="18"/>
                <w:szCs w:val="18"/>
              </w:rPr>
              <w:t xml:space="preserve">Sjednice Komisije mogu se održati putem video veze. Na vođenje zapisnika shodno se primjenjuju članovi 23 do 26 ovog statuta.</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39. Conflicts of interest and decisions.</w:t>
            </w:r>
            <w:r>
              <w:rPr>
                <w:rFonts w:ascii="Arial" w:cs="Arial" w:eastAsia="Arial" w:hAnsi="Arial"/>
                <w:sz w:val="18"/>
                <w:szCs w:val="18"/>
              </w:rPr>
              <w:t xml:space="preserve"> Quorum is a majority of members; decisions need a majority of all members. A member related to, in business or employment with, or otherwise personally interested in an applicant or beneficiary must declare it before the discussion and take no part in it or the vote; the declaration and recusal go in the minutes. Members sign an annual conflict-of-interest declaration. Meetings may be held by video; the minutes rules apply.</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4. New chapter: OGRANCI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CHAPTERS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40 — Osnivanje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40. Founding a chapter.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može osnivati ogranke za područje jedne ili više opština, radi ostvarivanja ciljeva udruženja na lokalnom nivou.</w:t>
            </w:r>
          </w:p>
          <w:p>
            <w:pPr>
              <w:spacing w:after="100"/>
            </w:pPr>
            <w:r>
              <w:rPr>
                <w:rFonts w:ascii="Arial" w:cs="Arial" w:eastAsia="Arial" w:hAnsi="Arial"/>
                <w:sz w:val="18"/>
                <w:szCs w:val="18"/>
              </w:rPr>
              <w:t xml:space="preserve">Ogranak osniva Upravni odbor odlukom, na predlog najmanje tri člana udruženja sa prebivalištem na tom području. Odlukom o osnivanju utvrđuju se naziv ogranka, koji čine naziv udruženja i naziv opštine, područje ogranka i imena lica iz člana 41 stav 1 ovog statuta.</w:t>
            </w:r>
          </w:p>
          <w:p>
            <w:pPr>
              <w:spacing w:after="100"/>
            </w:pPr>
            <w:r>
              <w:rPr>
                <w:rFonts w:ascii="Arial" w:cs="Arial" w:eastAsia="Arial" w:hAnsi="Arial"/>
                <w:sz w:val="18"/>
                <w:szCs w:val="18"/>
              </w:rPr>
              <w:t xml:space="preserve">Ogranak nema svojstvo pravnog lica. Ogranak djeluje u ime i za račun udruženja, u okviru ovog statuta, Pravila o ograncima i budžeta koji mu utvrdi Upravni odbor.</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40. Founding a chapter.</w:t>
            </w:r>
            <w:r>
              <w:rPr>
                <w:rFonts w:ascii="Arial" w:cs="Arial" w:eastAsia="Arial" w:hAnsi="Arial"/>
                <w:sz w:val="18"/>
                <w:szCs w:val="18"/>
              </w:rPr>
              <w:t xml:space="preserve"> The association may found chapters for one or more municipalities to pursue its goals locally. The Board founds a chapter by decision on the proposal of at least three members resident in that area, naming the chapter (association name plus municipality), its area and its officers. A chapter is not a legal person; it acts in the name and on behalf of the association within the Statute, the Chapter Rules and the budget the Board sets.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41 — Organizacija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41. Organisation.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ima rukovodioca ogranka, blagajnika ogranka i koordinatora volontera. Imenuje ih Upravni odbor, na predlog članova ogranka, na mandat od dvije godine, uz mogućnost ponovnog imenovanja.</w:t>
            </w:r>
          </w:p>
          <w:p>
            <w:pPr>
              <w:spacing w:after="100"/>
            </w:pPr>
            <w:r>
              <w:rPr>
                <w:rFonts w:ascii="Arial" w:cs="Arial" w:eastAsia="Arial" w:hAnsi="Arial"/>
                <w:sz w:val="18"/>
                <w:szCs w:val="18"/>
              </w:rPr>
              <w:t xml:space="preserve">Rukovodilac ogranka organizuje rad ogranka, sarađuje sa Izvršnim direktorom i podnosi mu izvještaj o radu i prihodima i rashodima ogranka najmanje jednom u tri mjeseca. Rukovodilac ogranka ne može zaključivati ugovore niti preuzimati obaveze u ime udruženja bez pisanog ovlašćenja Izvršnog direktora.</w:t>
            </w:r>
          </w:p>
          <w:p>
            <w:pPr>
              <w:spacing w:after="100"/>
            </w:pPr>
            <w:r>
              <w:rPr>
                <w:rFonts w:ascii="Arial" w:cs="Arial" w:eastAsia="Arial" w:hAnsi="Arial"/>
                <w:sz w:val="18"/>
                <w:szCs w:val="18"/>
              </w:rPr>
              <w:t xml:space="preserve">Svaki ogranak organizuje najmanje jedan javni događaj godišnje.</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41. Organisation.</w:t>
            </w:r>
            <w:r>
              <w:rPr>
                <w:rFonts w:ascii="Arial" w:cs="Arial" w:eastAsia="Arial" w:hAnsi="Arial"/>
                <w:sz w:val="18"/>
                <w:szCs w:val="18"/>
              </w:rPr>
              <w:t xml:space="preserve"> Each chapter has a chapter lead, a chapter treasurer and a volunteer coordinator, appointed by the Board on the chapter members' proposal for two years, renewable. The lead runs the chapter, works with the Director and reports to the Director on activity and money at least quarterly; the lead cannot sign contracts or commit the association without the Director's written authorisation. Every chapter holds at least one public event a year.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42 — Sredstva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42. Chapter funds.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 sredstva prikupljena aktivnostima ogranka prikuplja udruženje na svoj račun. Ogranak nema poseban račun.</w:t>
            </w:r>
          </w:p>
          <w:p>
            <w:pPr>
              <w:spacing w:after="100"/>
            </w:pPr>
            <w:r>
              <w:rPr>
                <w:rFonts w:ascii="Arial" w:cs="Arial" w:eastAsia="Arial" w:hAnsi="Arial"/>
                <w:sz w:val="18"/>
                <w:szCs w:val="18"/>
              </w:rPr>
              <w:t xml:space="preserve">Udruženje vodi posebnu evidenciju prihoda i rashoda za svaki ogranak. Prilozi i donacije prikupljeni na području ogranka namijenjeni su korisnicima sa tog područja. Komisija za dodjelu sredstava može ta sredstva dodijeliti korisnicima sa drugog područja samo uz pisano obrazloženje koje se objavljuje uz odluku.</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42. Chapter funds.</w:t>
            </w:r>
            <w:r>
              <w:rPr>
                <w:rFonts w:ascii="Arial" w:cs="Arial" w:eastAsia="Arial" w:hAnsi="Arial"/>
                <w:sz w:val="18"/>
                <w:szCs w:val="18"/>
              </w:rPr>
              <w:t xml:space="preserve"> All money raised through a chapter goes into the association's account; chapters have no account of their own. The association keeps separate income and expenditure records per chapter. Contributions raised in a chapter's area are earmarked for beneficiaries from that area; the Grants Committee may allocate them elsewhere only with written reasons published with the decision.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43 — Pravila o ograncima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43. Chapter Rules.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donosi Pravila o ograncima, jedinstvena za sve ogranke, kojima se bliže uređuju način rada ogranka, planiranje i odobravanje događaja, rukovanje novcem i evidencija, upotreba naziva i znaka udruženja, obaveze izvještavanja i saradnja sa Izvršnim direktorom.</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43. Chapter Rules.</w:t>
            </w:r>
            <w:r>
              <w:rPr>
                <w:rFonts w:ascii="Arial" w:cs="Arial" w:eastAsia="Arial" w:hAnsi="Arial"/>
                <w:sz w:val="18"/>
                <w:szCs w:val="18"/>
              </w:rPr>
              <w:t xml:space="preserve"> The Board adopts one set of Chapter Rules for all chapters, covering how a chapter works, event planning and approval, money handling and records, use of the name and mark, reporting duties and cooperation with the Director.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44 — Prestanak rada ogranka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44. Dissolving a chapter.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može ukinuti ogranak na predlog većine članova ogranka, ako ogranak nije organizovao nijedan događaj u periodu od dvanaest mjeseci, ili ako ogranak prekrši ovaj statut ili Pravila o ograncima.</w:t>
            </w:r>
          </w:p>
          <w:p>
            <w:pPr>
              <w:spacing w:after="100"/>
            </w:pPr>
            <w:r>
              <w:rPr>
                <w:rFonts w:ascii="Arial" w:cs="Arial" w:eastAsia="Arial" w:hAnsi="Arial"/>
                <w:sz w:val="18"/>
                <w:szCs w:val="18"/>
              </w:rPr>
              <w:t xml:space="preserve">Sredstva evidentirana za ukinuti ogranak ostaju namijenjena korisnicima sa njegovog područja.</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44. Dissolving a chapter.</w:t>
            </w:r>
            <w:r>
              <w:rPr>
                <w:rFonts w:ascii="Arial" w:cs="Arial" w:eastAsia="Arial" w:hAnsi="Arial"/>
                <w:sz w:val="18"/>
                <w:szCs w:val="18"/>
              </w:rPr>
              <w:t xml:space="preserve"> The Board may dissolve a chapter on the proposal of a majority of its members, if it has held no event in twelve months, or if it breaches the Statute or the Chapter Rules. Funds recorded for a dissolved chapter stay earmarked for beneficiaries from its area.</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5. New chapter: NAČIN PREDSTAVLJANJA ČLANOVA U SKUPŠTINI PREKO OPUNOMOĆENIH PREDSTAVNIKA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REPRESENTING MEMBERS IN THE ASSEMBLY THROUGH AUTHORISED PROXIES</w:t>
            </w:r>
          </w:p>
        </w:tc>
      </w:tr>
      <w:tr>
        <w:tc>
          <w:tcPr>
            <w:tcW w:type="dxa" w:w="9906"/>
            <w:gridSpan w:val="2"/>
            <w:tcMar>
              <w:top w:type="dxa" w:w="80"/>
              <w:left w:type="dxa" w:w="100"/>
              <w:bottom w:type="dxa" w:w="80"/>
              <w:right w:type="dxa" w:w="100"/>
            </w:tcMar>
          </w:tcPr>
          <w:p>
            <w:pPr>
              <w:spacing w:after="100"/>
            </w:pPr>
            <w:r>
              <w:rPr>
                <w:rFonts w:ascii="Arial" w:cs="Arial" w:eastAsia="Arial" w:hAnsi="Arial"/>
                <w:sz w:val="18"/>
                <w:szCs w:val="18"/>
              </w:rPr>
              <w:t xml:space="preserve">The Ministry's guidance note recommends this chapter for associations with many or territorially dispersed members, and says it should define what a proxy contains, how it is obtained and whether proxies are organised by territory or by number. With chapters in several towns and an Assembly that must meet at least once a year, it keeps the Assembly quorate without everyone travelling, and it gives the Article 14 sentence about "authorised representatives of more than 50 percent of members" a procedure. Insert after Article 17, before the chapter "NAČIN ODLUČIVANJA"; numbered 17a to 17f here so nothing else moves until the final renumbering.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17a — Pravo na predstavljanje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17a. Right to be represented.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udruženja koji ne može prisustvovati sjednici Skupštine može pisanim punomoćjem ovlastiti drugog člana udruženja (opunomoćeni predstavnik) da ga predstavlja i glasa u njegovo ime na toj sjednici.</w:t>
            </w:r>
          </w:p>
          <w:p>
            <w:pPr>
              <w:spacing w:after="100"/>
            </w:pPr>
            <w:r>
              <w:rPr>
                <w:rFonts w:ascii="Arial" w:cs="Arial" w:eastAsia="Arial" w:hAnsi="Arial"/>
                <w:sz w:val="18"/>
                <w:szCs w:val="18"/>
              </w:rPr>
              <w:t xml:space="preserve">Opunomoćeni predstavnik može biti samo član udruženja koji ima pravo glasa i na kojeg se ne odnosi isključenje prava glasa iz člana 22 ovog statuta po pitanju o kome se glasa.</w:t>
            </w:r>
          </w:p>
          <w:p>
            <w:pPr>
              <w:spacing w:after="100"/>
            </w:pPr>
            <w:r>
              <w:rPr>
                <w:rFonts w:ascii="Arial" w:cs="Arial" w:eastAsia="Arial" w:hAnsi="Arial"/>
                <w:sz w:val="18"/>
                <w:szCs w:val="18"/>
              </w:rPr>
              <w:t xml:space="preserve">Punomoćje se može dati za jednu sjednicu Skupštine, uključujući i njen nastavak ili ponovno sazivanje iz člana 15 ovog statuta. Punomoćje dato za više sjednica ili na neodređeno vrijeme ne važi.</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17a. Right to be represented.</w:t>
            </w:r>
            <w:r>
              <w:rPr>
                <w:rFonts w:ascii="Arial" w:cs="Arial" w:eastAsia="Arial" w:hAnsi="Arial"/>
                <w:sz w:val="18"/>
                <w:szCs w:val="18"/>
              </w:rPr>
              <w:t xml:space="preserve"> A member who cannot attend may authorise another member in writing to represent them and vote for them at that session. Only a voting member not excluded under Article 22 on the matter in question may act as proxy. A proxy is valid for one session, including its continuation or reconvening under Article 15; a proxy for several sessions or for an indefinite period is void.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17b — Sadržina punomoćja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17b. Content of a proxy.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Punomoćje sadrži:</w:t>
            </w:r>
          </w:p>
          <w:p>
            <w:pPr>
              <w:pStyle w:val="ListParagraph"/>
              <w:numPr>
                <w:ilvl w:val="0"/>
                <w:numId w:val="4"/>
              </w:numPr>
              <w:spacing w:after="40"/>
            </w:pPr>
            <w:r>
              <w:rPr>
                <w:rFonts w:ascii="Arial" w:cs="Arial" w:eastAsia="Arial" w:hAnsi="Arial"/>
                <w:sz w:val="18"/>
                <w:szCs w:val="18"/>
              </w:rPr>
              <w:t xml:space="preserve">ime i prezime i JMB, odnosno broj putne isprave, člana koji daje punomoćje;</w:t>
            </w:r>
          </w:p>
          <w:p>
            <w:pPr>
              <w:pStyle w:val="ListParagraph"/>
              <w:numPr>
                <w:ilvl w:val="0"/>
                <w:numId w:val="4"/>
              </w:numPr>
              <w:spacing w:after="40"/>
            </w:pPr>
            <w:r>
              <w:rPr>
                <w:rFonts w:ascii="Arial" w:cs="Arial" w:eastAsia="Arial" w:hAnsi="Arial"/>
                <w:sz w:val="18"/>
                <w:szCs w:val="18"/>
              </w:rPr>
              <w:t xml:space="preserve">ime i prezime i JMB, odnosno broj putne isprave, opunomoćenog predstavnika;</w:t>
            </w:r>
          </w:p>
          <w:p>
            <w:pPr>
              <w:pStyle w:val="ListParagraph"/>
              <w:numPr>
                <w:ilvl w:val="0"/>
                <w:numId w:val="4"/>
              </w:numPr>
              <w:spacing w:after="40"/>
            </w:pPr>
            <w:r>
              <w:rPr>
                <w:rFonts w:ascii="Arial" w:cs="Arial" w:eastAsia="Arial" w:hAnsi="Arial"/>
                <w:sz w:val="18"/>
                <w:szCs w:val="18"/>
              </w:rPr>
              <w:t xml:space="preserve">oznaku sjednice Skupštine na koju se odnosi (datum sazivanja ili datum održavanja);</w:t>
            </w:r>
          </w:p>
          <w:p>
            <w:pPr>
              <w:pStyle w:val="ListParagraph"/>
              <w:numPr>
                <w:ilvl w:val="0"/>
                <w:numId w:val="4"/>
              </w:numPr>
              <w:spacing w:after="40"/>
            </w:pPr>
            <w:r>
              <w:rPr>
                <w:rFonts w:ascii="Arial" w:cs="Arial" w:eastAsia="Arial" w:hAnsi="Arial"/>
                <w:sz w:val="18"/>
                <w:szCs w:val="18"/>
              </w:rPr>
              <w:t xml:space="preserve">po izboru davaoca punomoćja, uputstvo kako da se glasa o pojedinim tačkama dnevnog reda; ako uputstva nema, opunomoćeni predstavnik glasa po sopstvenoj ocjeni;</w:t>
            </w:r>
          </w:p>
          <w:p>
            <w:pPr>
              <w:pStyle w:val="ListParagraph"/>
              <w:numPr>
                <w:ilvl w:val="0"/>
                <w:numId w:val="4"/>
              </w:numPr>
              <w:spacing w:after="40"/>
            </w:pPr>
            <w:r>
              <w:rPr>
                <w:rFonts w:ascii="Arial" w:cs="Arial" w:eastAsia="Arial" w:hAnsi="Arial"/>
                <w:sz w:val="18"/>
                <w:szCs w:val="18"/>
              </w:rPr>
              <w:t xml:space="preserve">datum i potpis davaoca punomoćja.</w:t>
            </w:r>
          </w:p>
          <w:p>
            <w:pPr>
              <w:spacing w:after="100"/>
            </w:pPr>
            <w:r>
              <w:rPr>
                <w:rFonts w:ascii="Arial" w:cs="Arial" w:eastAsia="Arial" w:hAnsi="Arial"/>
                <w:sz w:val="18"/>
                <w:szCs w:val="18"/>
              </w:rPr>
              <w:t xml:space="preserve">Punomoćje se daje na obrascu koji utvrđuje Predsjednik Skupštine i objavljuje uz poziv za sjednicu, a važi i punomoćje dato u slobodnoj formi ako sadrži sve podatke iz stava 1 ovog člana.</w:t>
            </w:r>
          </w:p>
          <w:p>
            <w:pPr>
              <w:spacing w:after="100"/>
            </w:pPr>
            <w:r>
              <w:rPr>
                <w:rFonts w:ascii="Arial" w:cs="Arial" w:eastAsia="Arial" w:hAnsi="Arial"/>
                <w:sz w:val="18"/>
                <w:szCs w:val="18"/>
              </w:rPr>
              <w:t xml:space="preserve">Punomoćje se može dati i elektronskim putem, porukom poslatom sa adrese elektronske pošte davaoca punomoćja upisane u registar članova, na adresu udruženja navedenu u pozivu za sjednicu. Elektronsko punomoćje ne mora biti potpisano.</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17b. Content of a proxy.</w:t>
            </w:r>
            <w:r>
              <w:rPr>
                <w:rFonts w:ascii="Arial" w:cs="Arial" w:eastAsia="Arial" w:hAnsi="Arial"/>
                <w:sz w:val="18"/>
                <w:szCs w:val="18"/>
              </w:rPr>
              <w:t xml:space="preserve"> Names and JMB or passport numbers of both members; the session it covers; optional voting instructions per agenda item, failing which the proxy votes at their own discretion; date and signature. The President of the Assembly publishes a form with the notice of the session, but a free-form proxy with the same content is valid. A proxy may be given by email from the address in the register of members to the address in the notice, and then needs no signature.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17c — Dostavljanje i provjera punomoćja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17c. Delivery and verification.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Punomoćje se dostavlja Predsjedniku Skupštine najkasnije do početka sjednice. Punomoćje dostavljeno nakon početka sjednice ne uzima se u obzir.</w:t>
            </w:r>
          </w:p>
          <w:p>
            <w:pPr>
              <w:spacing w:after="100"/>
            </w:pPr>
            <w:r>
              <w:rPr>
                <w:rFonts w:ascii="Arial" w:cs="Arial" w:eastAsia="Arial" w:hAnsi="Arial"/>
                <w:sz w:val="18"/>
                <w:szCs w:val="18"/>
              </w:rPr>
              <w:t xml:space="preserve">Predsjednik Skupštine, prije utvrđivanja kvoruma, provjerava da li su punomoćja uredna, da li su davalac i primalac punomoćja članovi udruženja i da li je poštovano ograničenje iz člana 17d ovog statuta, i o tome obavještava Skupštinu. Neuredno punomoćje ne proizvodi dejstvo, a Predsjednik Skupštine unosi razlog u zapisnik.</w:t>
            </w:r>
          </w:p>
          <w:p>
            <w:pPr>
              <w:spacing w:after="100"/>
            </w:pPr>
            <w:r>
              <w:rPr>
                <w:rFonts w:ascii="Arial" w:cs="Arial" w:eastAsia="Arial" w:hAnsi="Arial"/>
                <w:sz w:val="18"/>
                <w:szCs w:val="18"/>
              </w:rPr>
              <w:t xml:space="preserve">Punomoćja se prilažu zapisniku i čuvaju uz njega.</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17c. Delivery and verification.</w:t>
            </w:r>
            <w:r>
              <w:rPr>
                <w:rFonts w:ascii="Arial" w:cs="Arial" w:eastAsia="Arial" w:hAnsi="Arial"/>
                <w:sz w:val="18"/>
                <w:szCs w:val="18"/>
              </w:rPr>
              <w:t xml:space="preserve"> Proxies reach the President of the Assembly no later than the start of the session; later ones are disregarded. Before establishing the quorum the President checks each proxy is in order, that both parties are members and that the cap in Article 17d is respected, and reports to the Assembly. A defective proxy has no effect and the reason goes in the minutes. Proxies are attached to the minutes and kept with them.</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17d — Ograničenje broja punomoćja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17d. Cap on proxies.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Jedan opunomoćeni predstavnik može predstavljati najviše pet članova udruženja, pored sopstvenog glasa.</w:t>
            </w:r>
          </w:p>
          <w:p>
            <w:pPr>
              <w:spacing w:after="100"/>
            </w:pPr>
            <w:r>
              <w:rPr>
                <w:rFonts w:ascii="Arial" w:cs="Arial" w:eastAsia="Arial" w:hAnsi="Arial"/>
                <w:sz w:val="18"/>
                <w:szCs w:val="18"/>
              </w:rPr>
              <w:t xml:space="preserve">Izuzetno, rukovodilac ogranka može predstavljati sve članove udruženja sa područja svog ogranka koji su mu dali punomoćje, ako je ogranak najmanje deset dana prije sjednice održao sastanak članova ogranka o tačkama dnevnog reda i ako je zapisnik sa tog sastanka dostavljen Predsjedniku Skupštine uz punomoćja.</w:t>
            </w:r>
          </w:p>
          <w:p>
            <w:pPr>
              <w:spacing w:after="100"/>
            </w:pPr>
            <w:r>
              <w:rPr>
                <w:rFonts w:ascii="Arial" w:cs="Arial" w:eastAsia="Arial" w:hAnsi="Arial"/>
                <w:sz w:val="18"/>
                <w:szCs w:val="18"/>
              </w:rPr>
              <w:t xml:space="preserve">Izvršni direktor, članovi Upravnog odbora i članovi Komisije za dodjelu sredstava ne mogu biti opunomoćeni predstavnici kada se odlučuje o njihovom izboru, razrješenju, izvještaju o radu ili naknadi.</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17d. Cap on proxies.</w:t>
            </w:r>
            <w:r>
              <w:rPr>
                <w:rFonts w:ascii="Arial" w:cs="Arial" w:eastAsia="Arial" w:hAnsi="Arial"/>
                <w:sz w:val="18"/>
                <w:szCs w:val="18"/>
              </w:rPr>
              <w:t xml:space="preserve"> One proxy holder may represent at most five members in addition to their own vote. By exception, a chapter lead may represent all members from the chapter's area who gave them a proxy, provided the chapter held a members' meeting on the agenda at least ten days before the session and its minutes accompany the proxies. The Executive Director, Board members and Grants Committee members cannot act as proxies on decisions about their own election, dismissal, reports or remuneration.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17e — Opoziv punomoćja i lično prisustvo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17e. Revocation and personal attendance.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Davalac punomoćja može opozvati punomoćje pisanom ili elektronskom izjavom dostavljenom Predsjedniku Skupštine do početka sjednice.</w:t>
            </w:r>
          </w:p>
          <w:p>
            <w:pPr>
              <w:spacing w:after="100"/>
            </w:pPr>
            <w:r>
              <w:rPr>
                <w:rFonts w:ascii="Arial" w:cs="Arial" w:eastAsia="Arial" w:hAnsi="Arial"/>
                <w:sz w:val="18"/>
                <w:szCs w:val="18"/>
              </w:rPr>
              <w:t xml:space="preserve">Ako davalac punomoćja lično pristupi sjednici, punomoćje prestaje da važi od trenutka kada Predsjednik Skupštine utvrdi njegovo prisustvo, o čemu se stavlja zabilješka u zapisnik.</w:t>
            </w:r>
          </w:p>
          <w:p>
            <w:pPr>
              <w:spacing w:after="100"/>
            </w:pPr>
            <w:r>
              <w:rPr>
                <w:rFonts w:ascii="Arial" w:cs="Arial" w:eastAsia="Arial" w:hAnsi="Arial"/>
                <w:sz w:val="18"/>
                <w:szCs w:val="18"/>
              </w:rPr>
              <w:t xml:space="preserve">Opunomoćeni predstavnik ne može prenijeti punomoćje na drugo lice.</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17e. Revocation and personal attendance.</w:t>
            </w:r>
            <w:r>
              <w:rPr>
                <w:rFonts w:ascii="Arial" w:cs="Arial" w:eastAsia="Arial" w:hAnsi="Arial"/>
                <w:sz w:val="18"/>
                <w:szCs w:val="18"/>
              </w:rPr>
              <w:t xml:space="preserve"> A proxy may be revoked by a written or electronic statement delivered to the President before the session starts. If the giver attends in person, the proxy lapses the moment the President records their presence. A proxy cannot be passed on to a third person.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17f — Dejstvo punomoćja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17f. Effect of a proxy.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kojeg predstavlja opunomoćeni predstavnik smatra se prisutnim za utvrđivanje kvoruma iz člana 14 i za utvrđivanje većine iz članova 16, 17 i 39 ovog statuta.</w:t>
            </w:r>
          </w:p>
          <w:p>
            <w:pPr>
              <w:spacing w:after="100"/>
            </w:pPr>
            <w:r>
              <w:rPr>
                <w:rFonts w:ascii="Arial" w:cs="Arial" w:eastAsia="Arial" w:hAnsi="Arial"/>
                <w:sz w:val="18"/>
                <w:szCs w:val="18"/>
              </w:rPr>
              <w:t xml:space="preserve">Opunomoćeni predstavnik glasa javno u ime svakog člana kojeg predstavlja, a u zapisnik se za svaku tačku unosi koliko je glasova dato lično, a koliko preko punomoćja. Kod tajnog glasanja iz člana 20 opunomoćeni predstavnik dobija po jedan glasački listić za svakog člana kojeg predstavlja.</w:t>
            </w:r>
          </w:p>
          <w:p>
            <w:pPr>
              <w:spacing w:after="100"/>
            </w:pPr>
            <w:r>
              <w:rPr>
                <w:rFonts w:ascii="Arial" w:cs="Arial" w:eastAsia="Arial" w:hAnsi="Arial"/>
                <w:sz w:val="18"/>
                <w:szCs w:val="18"/>
              </w:rPr>
              <w:t xml:space="preserve">Opunomoćeni predstavnik koji glasa suprotno pisanom uputstvu davaoca punomoćja odgovara davaocu punomoćja, ali to ne utiče na punovažnost odluke Skupštine.</w:t>
            </w:r>
          </w:p>
          <w:p>
            <w:pPr>
              <w:spacing w:after="100"/>
            </w:pPr>
            <w:r>
              <w:rPr>
                <w:rFonts w:ascii="Arial" w:cs="Arial" w:eastAsia="Arial" w:hAnsi="Arial"/>
                <w:sz w:val="18"/>
                <w:szCs w:val="18"/>
              </w:rPr>
              <w:t xml:space="preserve">Predstavljanje preko opunomoćenog predstavnika nije dozvoljeno pri glasanju o prestanku rada udruženja iz člana 39 ovog statuta i o raspodjeli imovine iz člana 40 ovog statuta. [Alternativa: obrisati ovaj stav ako osnivači žele da punomoćja važe i za ta pitanja.]</w:t>
            </w:r>
          </w:p>
        </w:tc>
        <w:tc>
          <w:tcPr>
            <w:tcW w:type="dxa" w:w="4953"/>
            <w:tcMar>
              <w:top w:type="dxa" w:w="80"/>
              <w:left w:type="dxa" w:w="100"/>
              <w:bottom w:type="dxa" w:w="80"/>
              <w:right w:type="dxa" w:w="100"/>
            </w:tcMar>
          </w:tcPr>
          <w:p>
            <w:pPr>
              <w:spacing w:after="100"/>
            </w:pPr>
            <w:r>
              <w:rPr>
                <w:rFonts w:ascii="Arial" w:cs="Arial" w:eastAsia="Arial" w:hAnsi="Arial"/>
                <w:i/>
                <w:iCs/>
                <w:sz w:val="18"/>
                <w:szCs w:val="18"/>
              </w:rPr>
              <w:t xml:space="preserve">Article 17f. Effect of a proxy.</w:t>
            </w:r>
            <w:r>
              <w:rPr>
                <w:rFonts w:ascii="Arial" w:cs="Arial" w:eastAsia="Arial" w:hAnsi="Arial"/>
                <w:sz w:val="18"/>
                <w:szCs w:val="18"/>
              </w:rPr>
              <w:t xml:space="preserve"> A represented member counts as present for the quorum in Article 14 and the majorities in Articles 16, 17 and 39. The proxy votes openly for each member represented, and the minutes record per item how many votes were cast in person and how many by proxy; in a secret ballot under Article 20 the proxy receives one ballot per member represented. A proxy who votes against written instructions is answerable to the giver, but the Assembly's decision stands. Proxies are not allowed on the decision to dissolve the association (Article 39) or to distribute its assets (Article 40). [Alternative: delete this paragraph if the founders want proxies to count on those decisions too.]</w:t>
            </w:r>
          </w:p>
          <w:p>
            <w:pPr>
              <w:spacing w:after="100"/>
            </w:pPr>
            <w:r>
              <w:rPr>
                <w:rFonts w:ascii="Arial" w:cs="Arial" w:eastAsia="Arial" w:hAnsi="Arial"/>
                <w:b/>
                <w:bCs/>
                <w:sz w:val="18"/>
                <w:szCs w:val="18"/>
              </w:rPr>
              <w:t xml:space="preserve">Consequential edit to Article 14.</w:t>
            </w:r>
            <w:r>
              <w:rPr>
                <w:rFonts w:ascii="Arial" w:cs="Arial" w:eastAsia="Arial" w:hAnsi="Arial"/>
                <w:sz w:val="18"/>
                <w:szCs w:val="18"/>
              </w:rPr>
              <w:t xml:space="preserve"> Replace its second paragraph with: "Članovi koje predstavljaju opunomoćeni predstavnici u skladu sa članovima 17a do 17f ovog statuta računaju se kao prisutni." / "Members represented by proxies under Articles 17a to 17f count as present." The template's current wording ("proxies of more than 50 percent of members") becomes redundant once the chapter defines the mechanism.</w:t>
            </w:r>
          </w:p>
          <w:p>
            <w:pPr>
              <w:spacing w:after="100"/>
            </w:pPr>
            <w:r>
              <w:rPr>
                <w:rFonts w:ascii="Arial" w:cs="Arial" w:eastAsia="Arial" w:hAnsi="Arial"/>
                <w:b/>
                <w:bCs/>
                <w:sz w:val="18"/>
                <w:szCs w:val="18"/>
              </w:rPr>
              <w:t xml:space="preserve">Decisions embedded here.</w:t>
            </w:r>
            <w:r>
              <w:rPr>
                <w:rFonts w:ascii="Arial" w:cs="Arial" w:eastAsia="Arial" w:hAnsi="Arial"/>
                <w:sz w:val="18"/>
                <w:szCs w:val="18"/>
              </w:rPr>
              <w:t xml:space="preserve"> Five proxies per holder; the chapter-lead exception conditional on a chapter meeting ten days before; email proxies accepted without signature; no proxies on dissolution. Each is one number or one sentence to change.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Predložene izmjene od 21. 10. 2026: rukovođenje, nadležnosti, zastoj u odlučivanju, članstvo</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6. Proposed amendments of 2026-10-21: leadership, decision rights, deadlock, membership</w:t>
            </w:r>
          </w:p>
        </w:tc>
      </w:tr>
      <w:tr>
        <w:tc>
          <w:tcPr>
            <w:tcW w:type="dxa" w:w="9906"/>
            <w:gridSpan w:val="2"/>
            <w:tcMar>
              <w:top w:type="dxa" w:w="80"/>
              <w:left w:type="dxa" w:w="100"/>
              <w:bottom w:type="dxa" w:w="80"/>
              <w:right w:type="dxa" w:w="100"/>
            </w:tcMar>
          </w:tcPr>
          <w:p>
            <w:pPr>
              <w:spacing w:after="100"/>
            </w:pPr>
            <w:r>
              <w:rPr>
                <w:rFonts w:ascii="Arial" w:cs="Arial" w:eastAsia="Arial" w:hAnsi="Arial"/>
                <w:b/>
                <w:bCs/>
                <w:sz w:val="18"/>
                <w:szCs w:val="18"/>
              </w:rPr>
              <w:t xml:space="preserve">Why.</w:t>
            </w:r>
            <w:r>
              <w:rPr>
                <w:rFonts w:ascii="Arial" w:cs="Arial" w:eastAsia="Arial" w:hAnsi="Arial"/>
                <w:sz w:val="18"/>
                <w:szCs w:val="18"/>
              </w:rPr>
              <w:t xml:space="preserve"> The founders asked for a clear hierarchy of decision-making, a way out of stalemates, a founder who leads the association for as long as possible, and a membership whose fee is waived for 2026. The Law makes the Assembly the highest body and keeps every elected office subject to the Assembly, so no statute can make a position permanent; what a statute can do is give the Executive Director a long renewable term, full operational authority by default, and a high bar for early dismissal, and give every collective body a tie-breaker. That is what is proposed. It keeps the independence promises already in the draft (independent Board majority, Grants Committee outside the founders' control), which is what sponsors and grant funders look for. </w:t>
            </w:r>
            <w:r>
              <w:rPr>
                <w:rFonts w:ascii="Arial" w:cs="Arial" w:eastAsia="Arial" w:hAnsi="Arial"/>
                <w:b/>
                <w:bCs/>
                <w:sz w:val="18"/>
                <w:szCs w:val="18"/>
              </w:rPr>
              <w:t xml:space="preserve">Not yet in form 04a:</w:t>
            </w:r>
            <w:r>
              <w:rPr>
                <w:rFonts w:ascii="Arial" w:cs="Arial" w:eastAsia="Arial" w:hAnsi="Arial"/>
                <w:sz w:val="18"/>
                <w:szCs w:val="18"/>
              </w:rPr>
              <w:t xml:space="preserve"> these edits are applied to the registration pack only once the founders adopt them.</w:t>
            </w:r>
          </w:p>
        </w:tc>
      </w:tr>
      <w:tr>
        <w:tc>
          <w:tcPr>
            <w:tcW w:type="dxa" w:w="9906"/>
            <w:gridSpan w:val="2"/>
            <w:tcMar>
              <w:top w:type="dxa" w:w="80"/>
              <w:left w:type="dxa" w:w="100"/>
              <w:bottom w:type="dxa" w:w="80"/>
              <w:right w:type="dxa" w:w="100"/>
            </w:tcMar>
          </w:tcPr>
          <w:p>
            <w:pPr>
              <w:spacing w:after="100"/>
            </w:pPr>
            <w:r>
              <w:rPr>
                <w:rFonts w:ascii="Arial" w:cs="Arial" w:eastAsia="Arial" w:hAnsi="Arial"/>
                <w:b/>
                <w:bCs/>
                <w:sz w:val="18"/>
                <w:szCs w:val="18"/>
              </w:rPr>
              <w:t xml:space="preserve">Zašto.</w:t>
            </w:r>
            <w:r>
              <w:rPr>
                <w:rFonts w:ascii="Arial" w:cs="Arial" w:eastAsia="Arial" w:hAnsi="Arial"/>
                <w:sz w:val="18"/>
                <w:szCs w:val="18"/>
              </w:rPr>
              <w:t xml:space="preserve"> Osnivači su tražili jasnu hijerarhiju odlučivanja, izlaz iz zastoja, osnivača koji vodi udruženje što je duže moguće i članstvo bez članarine za 2026. Zakon određuje Skupštinu kao najviši organ i svaku izabranu funkciju ostavlja pod njenom kontrolom, pa nijedan statut ne može neku funkciju učiniti trajnom; statut može Izvršnom direktoru dati dug mandat sa mogućnošću ponovnog izbora, punu operativnu nadležnost i visok prag za prijevremeno razrješenje, a svakom kolektivnom organu pravilo za neriješen ishod glasanja. To se ovdje predlaže. Zadržavaju se obećanja o nezavisnosti iz postojećeg nacrta (nezavisna većina u Upravnom odboru, Komisija izvan uticaja osnivača), na koja gledaju sponzori i donatori grantova. </w:t>
            </w:r>
            <w:r>
              <w:rPr>
                <w:rFonts w:ascii="Arial" w:cs="Arial" w:eastAsia="Arial" w:hAnsi="Arial"/>
                <w:b/>
                <w:bCs/>
                <w:sz w:val="18"/>
                <w:szCs w:val="18"/>
              </w:rPr>
              <w:t xml:space="preserve">Još nije u obrascu 04a:</w:t>
            </w:r>
            <w:r>
              <w:rPr>
                <w:rFonts w:ascii="Arial" w:cs="Arial" w:eastAsia="Arial" w:hAnsi="Arial"/>
                <w:sz w:val="18"/>
                <w:szCs w:val="18"/>
              </w:rPr>
              <w:t xml:space="preserve"> ove izmjene se unose u registracioni paket tek kada ih osnivači usvoje.</w:t>
            </w:r>
          </w:p>
        </w:tc>
      </w:tr>
      <w:tr>
        <w:tc>
          <w:tcPr>
            <w:tcW w:type="dxa" w:w="9906"/>
            <w:gridSpan w:val="2"/>
            <w:tcMar>
              <w:top w:type="dxa" w:w="80"/>
              <w:left w:type="dxa" w:w="100"/>
              <w:bottom w:type="dxa" w:w="80"/>
              <w:right w:type="dxa" w:w="100"/>
            </w:tcMar>
          </w:tcPr>
          <w:tbl>
            <w:tblPr>
              <w:tblW w:type="dxa" w:w="9706"/>
              <w:tblBorders>
                <w:top w:val="single" w:color="C9D3D7" w:sz="4"/>
                <w:left w:val="single" w:color="C9D3D7" w:sz="4"/>
                <w:bottom w:val="single" w:color="C9D3D7" w:sz="4"/>
                <w:right w:val="single" w:color="C9D3D7" w:sz="4"/>
                <w:insideH w:val="single" w:color="C9D3D7" w:sz="4"/>
                <w:insideV w:val="single" w:color="C9D3D7" w:sz="4"/>
              </w:tblBorders>
            </w:tblPr>
            <w:tblGrid>
              <w:gridCol w:w="3235"/>
              <w:gridCol w:w="3235"/>
              <w:gridCol w:w="3235"/>
            </w:tblGrid>
            <w:tr>
              <w:trPr>
                <w:tblHeader/>
              </w:trPr>
              <w:tc>
                <w:tcPr>
                  <w:tcW w:type="dxa" w:w="3235"/>
                  <w:shd w:fill="E3EBED" w:color="auto" w:val="clear"/>
                  <w:tcMar>
                    <w:top w:type="dxa" w:w="40"/>
                    <w:left w:type="dxa" w:w="60"/>
                    <w:bottom w:type="dxa" w:w="40"/>
                    <w:right w:type="dxa" w:w="60"/>
                  </w:tcMar>
                </w:tcPr>
                <w:p>
                  <w:r>
                    <w:rPr>
                      <w:rFonts w:ascii="Arial" w:cs="Arial" w:eastAsia="Arial" w:hAnsi="Arial"/>
                      <w:b/>
                      <w:bCs/>
                      <w:sz w:val="16"/>
                      <w:szCs w:val="16"/>
                    </w:rPr>
                    <w:t xml:space="preserve">Article / Član</w:t>
                  </w:r>
                </w:p>
              </w:tc>
              <w:tc>
                <w:tcPr>
                  <w:tcW w:type="dxa" w:w="3235"/>
                  <w:shd w:fill="E3EBED" w:color="auto" w:val="clear"/>
                  <w:tcMar>
                    <w:top w:type="dxa" w:w="40"/>
                    <w:left w:type="dxa" w:w="60"/>
                    <w:bottom w:type="dxa" w:w="40"/>
                    <w:right w:type="dxa" w:w="60"/>
                  </w:tcMar>
                </w:tcPr>
                <w:p>
                  <w:r>
                    <w:rPr>
                      <w:rFonts w:ascii="Arial" w:cs="Arial" w:eastAsia="Arial" w:hAnsi="Arial"/>
                      <w:b/>
                      <w:bCs/>
                      <w:sz w:val="16"/>
                      <w:szCs w:val="16"/>
                    </w:rPr>
                    <w:t xml:space="preserve">Change (EN)</w:t>
                  </w:r>
                </w:p>
              </w:tc>
              <w:tc>
                <w:tcPr>
                  <w:tcW w:type="dxa" w:w="3235"/>
                  <w:shd w:fill="E3EBED" w:color="auto" w:val="clear"/>
                  <w:tcMar>
                    <w:top w:type="dxa" w:w="40"/>
                    <w:left w:type="dxa" w:w="60"/>
                    <w:bottom w:type="dxa" w:w="40"/>
                    <w:right w:type="dxa" w:w="60"/>
                  </w:tcMar>
                </w:tcPr>
                <w:p>
                  <w:r>
                    <w:rPr>
                      <w:rFonts w:ascii="Arial" w:cs="Arial" w:eastAsia="Arial" w:hAnsi="Arial"/>
                      <w:b/>
                      <w:bCs/>
                      <w:sz w:val="16"/>
                      <w:szCs w:val="16"/>
                    </w:rPr>
                    <w:t xml:space="preserve">Izmjena (ME)</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27 (Director's term)</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Fill the blank with "five" years; add: "The same person may be re-elected without limit on the number of terms. The first Executive Director is elected by the founding assembly."</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Popuniti prazninu sa „pet“ godina; dodati: „Isto lice može biti ponovo birano bez ograničenja broja mandata. Prvog Izvršnog direktora bira osnivačka skupština.“</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28 (Director's powers)</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a paragraph: "The Executive Director decides on every matter that the Law, this Statute or a decision of the Assembly does not reserve to another body, within the adopted budget and the spending limits the Board sets. Where the Board does not decide on a matter the Executive Director submitted to it, because it lacked a quorum at two consecutive sessions or because the vote was tied, the Executive Director may act within the adopted budget and reports on it at the Board's next session."</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stav: „Izvršni direktor odlučuje o svakom pitanju koje Zakon, ovaj statut ili odluka Skupštine ne stavlja u nadležnost drugog organa, u okviru usvojenog budžeta i ograničenja potrošnje koja utvrdi Upravni odbor. Ako Upravni odbor ne odluči o pitanju koje mu je Izvršni direktor podnio, zbog nedostatka kvoruma na dvije uzastopne sjednice ili jednakog broja glasova, Izvršni direktor može postupiti u okviru usvojenog budžeta i o tome izvještava na narednoj sjednici Upravnog odbora.“</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30 and 31 (dismissal of the Director)</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Keep the three causes in Art. 30 and add to Art. 31: "The Assembly decides on the dismissal of the Executive Director before the end of the term only for a reason in Article 30, on the proposal of the Board or of at least one third of the members, by a two-thirds majority of all members of the association, after the Executive Director has been given the opportunity to respond. The Executive Director may be represented by proxy at that session but not act as a proxy."</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Zadržati tri razloga iz čl. 30 i u čl. 31 dodati: „Skupština odlučuje o razrješenju Izvršnog direktora prije isteka mandata samo iz razloga iz člana 30, na predlog Upravnog odbora ili najmanje jedne trećine članova, dvotrećinskom većinom svih članova udruženja, pošto je Izvršnom direktoru data mogućnost da se izjasni. Izvršni direktor na toj sjednici može biti predstavljen preko punomoćnika, ali ne može biti punomoćnik.“</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19 (Assembly, other matters)</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"If the votes are equal, the matter is put to a second vote at the same session after further discussion. If the votes are again equal, the vote of the President of the Assembly decides."</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„Ako je broj glasova jednak, o pitanju se ponovo glasa na istoj sjednici poslije dodatne rasprave. Ako je broj glasova ponovo jednak, odlučuje glas Predsjednika Skupštine.“</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35 (Board, decisions; section 2 above)</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Replace "If the number of votes is equal, the proposal is not adopted." with: "If the votes are equal, the vote of the President of the Board decides, except on the pay of any person, on a proposal to dismiss the Executive Director or a member of a body, and on the Executive Director's report, where an equal vote means the proposal is not adopted."</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Zamijeniti „Ako je broj glasova jednak, predlog nije usvojen.“ sa: „Ako je broj glasova jednak, odlučuje glas predsjednika Upravnog odbora, osim o zaradi ili naknadi bilo kog lica, o predlogu za razrješenje Izvršnog direktora ili člana organa i o izvještaju Izvršnog direktora, gdje jednak broj glasova znači da predlog nije usvojen.“</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36 (old; termination of membership)</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"The membership of a founder of the association ends only by the founder's written statement of withdrawal, or by a decision of the Assembly taken by a two-thirds majority of all members for a reason in paragraph 2 of this Article."</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„Članstvo osnivača udruženja prestaje samo pisanom izjavom osnivača o istupanju, ili odlukom Skupštine donesenom dvotrećinskom većinom svih članova iz razloga iz stava 2 ovog člana.“</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38 (old; rights and obligations of members)</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to the rights: "to propose causes for which the association raises funds, and to vote on the shortlist of causes;". Replace "pay the membership fee;" with "pay the membership fee, if the Assembly has set one for that calendar year;".</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u prava: „da predlaže ciljeve za koje udruženje prikuplja sredstva i da glasa o užem izboru ciljeva;“. Zamijeniti „plaća članarinu;“ sa „plaća članarinu, ako ju je Skupština utvrdila za tu kalendarsku godinu;“.</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Art. 34 (old; financing)</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Add: "The Assembly decides, on the Board's proposal, whether a membership fee is charged for a calendar year and in what amount; it may decide that no fee is charged."</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Dodati: „Skupština odlučuje, na predlog Upravnog odbora, da li se za kalendarsku godinu naplaćuje članarina i u kom iznosu; može odlučiti da se članarina ne naplaćuje.“</w:t>
                  </w:r>
                </w:p>
              </w:tc>
            </w:tr>
            <w:tr>
              <w:trPr>
                <w:tblHeader w:val="off"/>
              </w:trPr>
              <w:tc>
                <w:tcPr>
                  <w:tcW w:type="dxa" w:w="3235"/>
                  <w:tcMar>
                    <w:top w:type="dxa" w:w="40"/>
                    <w:left w:type="dxa" w:w="60"/>
                    <w:bottom w:type="dxa" w:w="40"/>
                    <w:right w:type="dxa" w:w="60"/>
                  </w:tcMar>
                </w:tcPr>
                <w:p>
                  <w:r>
                    <w:rPr>
                      <w:rFonts w:ascii="Arial" w:cs="Arial" w:eastAsia="Arial" w:hAnsi="Arial"/>
                      <w:b w:val="false"/>
                      <w:bCs w:val="false"/>
                      <w:sz w:val="16"/>
                      <w:szCs w:val="16"/>
                    </w:rPr>
                    <w:t xml:space="preserve">New Art. 34a (optional; Advisory Council)</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"The Board may establish an Advisory Council of persons who support the association with advice and contacts. The Advisory Council has no decision-making powers and its members are not members of a body of the association." Include only if the founders want the dotted-line body shown on common non-profit charts.</w:t>
                  </w:r>
                </w:p>
              </w:tc>
              <w:tc>
                <w:tcPr>
                  <w:tcW w:type="dxa" w:w="3235"/>
                  <w:tcMar>
                    <w:top w:type="dxa" w:w="40"/>
                    <w:left w:type="dxa" w:w="60"/>
                    <w:bottom w:type="dxa" w:w="40"/>
                    <w:right w:type="dxa" w:w="60"/>
                  </w:tcMar>
                </w:tcPr>
                <w:p>
                  <w:r>
                    <w:rPr>
                      <w:rFonts w:ascii="Arial" w:cs="Arial" w:eastAsia="Arial" w:hAnsi="Arial"/>
                      <w:b w:val="false"/>
                      <w:bCs w:val="false"/>
                      <w:sz w:val="16"/>
                      <w:szCs w:val="16"/>
                    </w:rPr>
                    <w:t xml:space="preserve">„Upravni odbor može obrazovati Savjet od lica koja udruženje podržavaju savjetom i kontaktima. Savjet nema nadležnost odlučivanja, a njegovi članovi nijesu članovi organa udruženja.“ Unijeti samo ako osnivači žele tijelo sa isprekidanom linijom koje se viđa na organigramima neprofitnih organizacija.</w:t>
                  </w:r>
                </w:p>
              </w:tc>
            </w:tr>
          </w:tbl>
          <w:p/>
        </w:tc>
      </w:tr>
      <w:tr>
        <w:tc>
          <w:tcPr>
            <w:tcW w:type="dxa" w:w="9906"/>
            <w:gridSpan w:val="2"/>
            <w:tcMar>
              <w:top w:type="dxa" w:w="80"/>
              <w:left w:type="dxa" w:w="100"/>
              <w:bottom w:type="dxa" w:w="80"/>
              <w:right w:type="dxa" w:w="100"/>
            </w:tcMar>
          </w:tcPr>
          <w:p>
            <w:pPr>
              <w:spacing w:after="100"/>
            </w:pPr>
            <w:r>
              <w:rPr>
                <w:rFonts w:ascii="Arial" w:cs="Arial" w:eastAsia="Arial" w:hAnsi="Arial"/>
                <w:b/>
                <w:bCs/>
                <w:sz w:val="18"/>
                <w:szCs w:val="18"/>
              </w:rPr>
              <w:t xml:space="preserve">Decisions embedded here.</w:t>
            </w:r>
            <w:r>
              <w:rPr>
                <w:rFonts w:ascii="Arial" w:cs="Arial" w:eastAsia="Arial" w:hAnsi="Arial"/>
                <w:sz w:val="18"/>
                <w:szCs w:val="18"/>
              </w:rPr>
              <w:t xml:space="preserve"> Five-year Director term, re-election unlimited, first Director elected by the founding assembly; dismissal of the Director only for cause by two-thirds of all members; the Director decides everything not reserved to another body; the President of the Assembly and the President of the Board break ties, except on pay, dismissals and the Director's report; a founder can be expelled only by two-thirds of all members; the fee is a yearly Assembly decision and may be zero. Each is one number or one sentence to change.</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Odluke sadržane ovdje.</w:t>
            </w:r>
            <w:r>
              <w:rPr>
                <w:rFonts w:ascii="Arial" w:cs="Arial" w:eastAsia="Arial" w:hAnsi="Arial"/>
                <w:sz w:val="18"/>
                <w:szCs w:val="18"/>
              </w:rPr>
              <w:t xml:space="preserve"> Mandat direktora pet godina, ponovni izbor bez ograničenja, prvog direktora bira osnivačka skupština; razrješenje direktora samo iz razloga i dvotrećinskom većinom svih članova; direktor odlučuje o svemu što nije u nadležnosti drugog organa; Predsjednik Skupštine i predsjednik Upravnog odbora odlučuju kod jednakog broja glasova, osim o zaradama, razrješenjima i izvještaju direktora; osnivač se može isključiti samo dvotrećinskom većinom svih članova; članarina je godišnja odluka Skupštine i može biti nula. Svako je jedan broj ili jedna rečenica za izmjenu.</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What is deliberately not proposed.</w:t>
            </w:r>
            <w:r>
              <w:rPr>
                <w:rFonts w:ascii="Arial" w:cs="Arial" w:eastAsia="Arial" w:hAnsi="Arial"/>
                <w:sz w:val="18"/>
                <w:szCs w:val="18"/>
              </w:rPr>
              <w:t xml:space="preserve"> A lifetime or non-removable Executive Director, a founder's veto over the Board or the Grants Committee, and a founder's seat on the Grants Committee. Each would contradict the Law (the Assembly elects and recalls every body), the Ministry's guidance (terms of about four years, recall by the assembly), and the independence promise in the team guide that sponsors and grant funders rely on. A long renewable term with a two-thirds dismissal bar gives the founder the same practical security without those costs.</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Šta se namjerno ne predlaže.</w:t>
            </w:r>
            <w:r>
              <w:rPr>
                <w:rFonts w:ascii="Arial" w:cs="Arial" w:eastAsia="Arial" w:hAnsi="Arial"/>
                <w:sz w:val="18"/>
                <w:szCs w:val="18"/>
              </w:rPr>
              <w:t xml:space="preserve"> Doživotni ili nesmjenjivi Izvršni direktor, pravo veta osnivača nad Upravnim odborom ili Komisijom i mjesto osnivača u Komisiji. Svako od toga bilo bi suprotno Zakonu (Skupština bira i razrješava sve organe), Uputstvu Ministarstva (mandati od oko četiri godine, opoziv od strane skupštine) i obećanju nezavisnosti iz vodiča za tim na koje se oslanjaju sponzori i donatori grantova. Dug mandat sa mogućnošću ponovnog izbora i dvotrećinski prag za razrješenje daju osnivaču istu praktičnu sigurnost bez tih troškova.</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How the roles line up once adopted.</w:t>
            </w:r>
            <w:r>
              <w:rPr>
                <w:rFonts w:ascii="Arial" w:cs="Arial" w:eastAsia="Arial" w:hAnsi="Arial"/>
                <w:sz w:val="18"/>
                <w:szCs w:val="18"/>
              </w:rPr>
              <w:t xml:space="preserve"> The Assembly, meaning every member, elects and recalls the bodies and amends the statute. The Board governs between Assemblies and owns strategy, budget, staffing and pay. The Grants Committee alone decides who receives funds. The Executive Director, the founder in the first term, represents the association, runs operations and decides everything not reserved to the others. Team leads, chapter officers and staff report to the Director; volunteers report to them. The membership policy and the organisation document in </w:t>
            </w:r>
            <w:r>
              <w:rPr>
                <w:rFonts w:ascii="Courier New" w:cs="Courier New" w:eastAsia="Courier New" w:hAnsi="Courier New"/>
                <w:sz w:val="18"/>
                <w:szCs w:val="18"/>
              </w:rPr>
              <w:t xml:space="preserve">docs/legal/governance/</w:t>
            </w:r>
            <w:r>
              <w:rPr>
                <w:rFonts w:ascii="Arial" w:cs="Arial" w:eastAsia="Arial" w:hAnsi="Arial"/>
                <w:sz w:val="18"/>
                <w:szCs w:val="18"/>
              </w:rPr>
              <w:t xml:space="preserve"> describe this in full.</w:t>
            </w:r>
          </w:p>
        </w:tc>
      </w:tr>
      <w:tr>
        <w:tc>
          <w:tcPr>
            <w:tcW w:type="dxa" w:w="9906"/>
            <w:gridSpan w:val="2"/>
            <w:tcMar>
              <w:top w:type="dxa" w:w="80"/>
              <w:left w:type="dxa" w:w="100"/>
              <w:bottom w:type="dxa" w:w="80"/>
              <w:right w:type="dxa" w:w="100"/>
            </w:tcMar>
          </w:tcPr>
          <w:p>
            <w:pPr>
              <w:spacing w:after="100"/>
            </w:pPr>
            <w:r>
              <w:rPr>
                <w:rFonts w:ascii="Arial" w:cs="Arial" w:eastAsia="Arial" w:hAnsi="Arial"/>
                <w:b/>
                <w:bCs/>
                <w:sz w:val="18"/>
                <w:szCs w:val="18"/>
              </w:rPr>
              <w:t xml:space="preserve">Kako se funkcije slažu nakon usvajanja.</w:t>
            </w:r>
            <w:r>
              <w:rPr>
                <w:rFonts w:ascii="Arial" w:cs="Arial" w:eastAsia="Arial" w:hAnsi="Arial"/>
                <w:sz w:val="18"/>
                <w:szCs w:val="18"/>
              </w:rPr>
              <w:t xml:space="preserve"> Skupština, odnosno svi članovi, bira i razrješava organe i mijenja statut. Upravni odbor upravlja između sjednica Skupštine i odgovoran je za strategiju, budžet, zapošljavanje i zarade. Komisija za dodjelu sredstava sama odlučuje ko dobija sredstva. Izvršni direktor, u prvom mandatu osnivač, zastupa udruženje, vodi poslovanje i odlučuje o svemu što nije u nadležnosti drugih. Rukovodioci timova, funkcioneri ogranaka i zaposleni odgovaraju direktoru; volonteri odgovaraju njima. Politika članstva i dokument o organizaciji u </w:t>
            </w:r>
            <w:r>
              <w:rPr>
                <w:rFonts w:ascii="Courier New" w:cs="Courier New" w:eastAsia="Courier New" w:hAnsi="Courier New"/>
                <w:sz w:val="18"/>
                <w:szCs w:val="18"/>
              </w:rPr>
              <w:t xml:space="preserve">docs/legal/governance/</w:t>
            </w:r>
            <w:r>
              <w:rPr>
                <w:rFonts w:ascii="Arial" w:cs="Arial" w:eastAsia="Arial" w:hAnsi="Arial"/>
                <w:sz w:val="18"/>
                <w:szCs w:val="18"/>
              </w:rPr>
              <w:t xml:space="preserve"> opisuju to u cjelini.</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Pitanja za advokata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7. Points for the lawyer</w:t>
            </w:r>
          </w:p>
        </w:tc>
      </w:tr>
      <w:tr>
        <w:tc>
          <w:tcPr>
            <w:tcW w:type="dxa" w:w="9906"/>
            <w:gridSpan w:val="2"/>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Confirm that the Assembly electing the Grants Committee on the Board's proposal (Art. 36) is the cleanest fit with Art. 12 of the template, or whether the Board should elect it directly. / Potvrditi da izbor Komisije od strane Skupštine na predlog Upravnog odbora najbolje odgovara čl. 12, ili da je Upravni odbor bira neposredno.</w:t>
            </w:r>
          </w:p>
          <w:p>
            <w:pPr>
              <w:pStyle w:val="ListParagraph"/>
              <w:numPr>
                <w:ilvl w:val="0"/>
                <w:numId w:val="5"/>
              </w:numPr>
              <w:spacing w:after="40"/>
            </w:pPr>
            <w:r>
              <w:rPr>
                <w:rFonts w:ascii="Arial" w:cs="Arial" w:eastAsia="Arial" w:hAnsi="Arial"/>
                <w:sz w:val="18"/>
                <w:szCs w:val="18"/>
              </w:rPr>
              <w:t xml:space="preserve">Confirm the staffing act may move from the Assembly to the Board (edit to old Art. 32). / Potvrditi da Akt o sistematizaciji može preći sa Skupštine na Upravni odbor.</w:t>
            </w:r>
          </w:p>
          <w:p>
            <w:pPr>
              <w:pStyle w:val="ListParagraph"/>
              <w:numPr>
                <w:ilvl w:val="0"/>
                <w:numId w:val="5"/>
              </w:numPr>
              <w:spacing w:after="40"/>
            </w:pPr>
            <w:r>
              <w:rPr>
                <w:rFonts w:ascii="Arial" w:cs="Arial" w:eastAsia="Arial" w:hAnsi="Arial"/>
                <w:sz w:val="18"/>
                <w:szCs w:val="18"/>
              </w:rPr>
              <w:t xml:space="preserve">Check whether the earmarking of donations in the new paragraph of old Art. 34 needs wording aligned with Article 30 of the Law on the use of assets. / Provjeriti da li namjensko vezivanje priloga u novom stavu čl. 34 treba uskladiti sa čl. 30 Zakona.</w:t>
            </w:r>
          </w:p>
          <w:p>
            <w:pPr>
              <w:pStyle w:val="ListParagraph"/>
              <w:numPr>
                <w:ilvl w:val="0"/>
                <w:numId w:val="5"/>
              </w:numPr>
              <w:spacing w:after="40"/>
            </w:pPr>
            <w:r>
              <w:rPr>
                <w:rFonts w:ascii="Arial" w:cs="Arial" w:eastAsia="Arial" w:hAnsi="Arial"/>
                <w:sz w:val="18"/>
                <w:szCs w:val="18"/>
              </w:rPr>
              <w:t xml:space="preserve">Decide whether Board members should have a term limit (the draft allows re-election without limit). / Odlučiti da li članovi Upravnog odbora treba da imaju ograničenje broja mandata (nacrt dozvoljava ponovni izbor bez ograničenja).</w:t>
            </w:r>
          </w:p>
          <w:p>
            <w:pPr>
              <w:pStyle w:val="ListParagraph"/>
              <w:numPr>
                <w:ilvl w:val="0"/>
                <w:numId w:val="5"/>
              </w:numPr>
              <w:spacing w:after="40"/>
            </w:pPr>
            <w:r>
              <w:rPr>
                <w:rFonts w:ascii="Arial" w:cs="Arial" w:eastAsia="Arial" w:hAnsi="Arial"/>
                <w:sz w:val="18"/>
                <w:szCs w:val="18"/>
              </w:rPr>
              <w:t xml:space="preserve">Confirm that Article 14 of the template, once amended as in section 5, satisfies Article 23 of the Law on proxy representation, and whether the no-proxy rule for dissolution (Art. 17f, last paragraph) is permissible. / Potvrditi da izmijenjeni čl. 14 ispunjava čl. 23 Zakona o predstavljanju preko punomoćnika, i da li je dozvoljena zabrana punomoćja pri odlučivanju o prestanku rada (čl. 17f, posljednji stav).</w:t>
            </w:r>
          </w:p>
          <w:p>
            <w:pPr>
              <w:pStyle w:val="ListParagraph"/>
              <w:numPr>
                <w:ilvl w:val="0"/>
                <w:numId w:val="5"/>
              </w:numPr>
              <w:spacing w:after="40"/>
            </w:pPr>
            <w:r>
              <w:rPr>
                <w:rFonts w:ascii="Arial" w:cs="Arial" w:eastAsia="Arial" w:hAnsi="Arial"/>
                <w:sz w:val="18"/>
                <w:szCs w:val="18"/>
              </w:rPr>
              <w:t xml:space="preserve">Renumber all articles and cross-references once the insertions are final. / Prenumerisati sve članove i upućivanja kada dopune budu konačne.</w:t>
            </w:r>
          </w:p>
          <w:p>
            <w:pPr>
              <w:pStyle w:val="ListParagraph"/>
              <w:numPr>
                <w:ilvl w:val="0"/>
                <w:numId w:val="5"/>
              </w:numPr>
              <w:spacing w:after="40"/>
            </w:pPr>
            <w:r>
              <w:rPr>
                <w:rFonts w:ascii="Arial" w:cs="Arial" w:eastAsia="Arial" w:hAnsi="Arial"/>
                <w:sz w:val="18"/>
                <w:szCs w:val="18"/>
              </w:rPr>
              <w:t xml:space="preserve">Confirm that a five-year term for the Executive Director with unlimited re-election is acceptable under Article 23 of the Law and the Ministry's guidance (section 6). / Potvrditi da je petogodišnji mandat Izvršnog direktora sa neograničenim ponovnim izborom prihvatljiv prema čl. 23 Zakona i Uputstvu Ministarstva (odjeljak 6).</w:t>
            </w:r>
          </w:p>
          <w:p>
            <w:pPr>
              <w:pStyle w:val="ListParagraph"/>
              <w:numPr>
                <w:ilvl w:val="0"/>
                <w:numId w:val="5"/>
              </w:numPr>
              <w:spacing w:after="40"/>
            </w:pPr>
            <w:r>
              <w:rPr>
                <w:rFonts w:ascii="Arial" w:cs="Arial" w:eastAsia="Arial" w:hAnsi="Arial"/>
                <w:sz w:val="18"/>
                <w:szCs w:val="18"/>
              </w:rPr>
              <w:t xml:space="preserve">Confirm that a two-thirds majority of all members for the early dismissal of the Director and for the expulsion of a founder may be set by the statute, and does not conflict with the Assembly's power to recall under the Law. / Potvrditi da statut može propisati dvotrećinsku većinu svih članova za prijevremeno razrješenje direktora i isključenje osnivača, i da to nije u sukobu sa zakonskim pravom Skupštine na opoziv.</w:t>
            </w:r>
          </w:p>
          <w:p>
            <w:pPr>
              <w:pStyle w:val="ListParagraph"/>
              <w:numPr>
                <w:ilvl w:val="0"/>
                <w:numId w:val="5"/>
              </w:numPr>
              <w:spacing w:after="40"/>
            </w:pPr>
            <w:r>
              <w:rPr>
                <w:rFonts w:ascii="Arial" w:cs="Arial" w:eastAsia="Arial" w:hAnsi="Arial"/>
                <w:sz w:val="18"/>
                <w:szCs w:val="18"/>
              </w:rPr>
              <w:t xml:space="preserve">Confirm that a casting vote of the President of the Assembly and of the President of the Board is permissible, given that the Law speaks only of majority decisions. / Potvrditi da je dozvoljen odlučujući glas Predsjednika Skupštine i predsjednika Upravnog odbora, s obzirom na to da Zakon govori samo o većinskom odlučivanju.</w:t>
            </w:r>
          </w:p>
          <w:p>
            <w:pPr>
              <w:pStyle w:val="ListParagraph"/>
              <w:numPr>
                <w:ilvl w:val="0"/>
                <w:numId w:val="5"/>
              </w:numPr>
              <w:spacing w:after="40"/>
            </w:pPr>
            <w:r>
              <w:rPr>
                <w:rFonts w:ascii="Arial" w:cs="Arial" w:eastAsia="Arial" w:hAnsi="Arial"/>
                <w:sz w:val="18"/>
                <w:szCs w:val="18"/>
              </w:rPr>
              <w:t xml:space="preserve">Confirm that the Director acting after a tied or inquorate Board (Art. 28 addition) does not make the Director liable for a decision the Board should have taken. / Potvrditi da postupanje direktora poslije neodlučnog ili nekvorumskog Upravnog odbora (dopuna čl. 28) ne čini direktora odgovornim za odluku koju je trebalo da donese Upravni odbor.</w:t>
            </w:r>
          </w:p>
          <w:p>
            <w:pPr>
              <w:pStyle w:val="ListParagraph"/>
              <w:numPr>
                <w:ilvl w:val="0"/>
                <w:numId w:val="5"/>
              </w:numPr>
              <w:spacing w:after="40"/>
            </w:pPr>
            <w:r>
              <w:rPr>
                <w:rFonts w:ascii="Arial" w:cs="Arial" w:eastAsia="Arial" w:hAnsi="Arial"/>
                <w:sz w:val="18"/>
                <w:szCs w:val="18"/>
              </w:rPr>
              <w:t xml:space="preserve">Confirm that "pay the membership fee, if the Assembly has set one" satisfies the membership-fee wording the Law expects, and whether the 2026 waiver should be a decision of the founding assembly. / Potvrditi da „plaća članarinu, ako ju je Skupština utvrdila“ odgovara zakonskom očekivanju o članarini, i da li oslobađanje za 2026. treba da bude odluka osnivačke skupštine.</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Statute additions: Board, Grants Committee, chapters / Dopune statuta: Upravni odbor, Komisija za dodjelu sredstava, ogranci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2026-10-21T07:45:19.177Z</dcterms:created>
  <dcterms:modified xsi:type="dcterms:W3CDTF">2026-10-21T07:45:19.177Z</dcterms:modified>
</cp:coreProperties>
</file>

<file path=docProps/custom.xml><?xml version="1.0" encoding="utf-8"?>
<Properties xmlns="http://schemas.openxmlformats.org/officeDocument/2006/custom-properties" xmlns:vt="http://schemas.openxmlformats.org/officeDocument/2006/docPropsVTypes"/>
</file>