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Pravila o ograncima / Chapter Rules</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9906"/>
            <w:gridSpan w:val="2"/>
            <w:tcMar>
              <w:top w:type="dxa" w:w="80"/>
              <w:left w:type="dxa" w:w="100"/>
              <w:bottom w:type="dxa" w:w="80"/>
              <w:right w:type="dxa" w:w="100"/>
            </w:tcMar>
          </w:tcPr>
          <w:p>
            <w:pPr>
              <w:spacing w:after="80"/>
            </w:pPr>
            <w:r>
              <w:rPr>
                <w:rFonts w:ascii="Arial" w:cs="Arial" w:eastAsia="Arial" w:hAnsi="Arial"/>
                <w:color w:val="5A6A72"/>
                <w:sz w:val="16"/>
                <w:szCs w:val="16"/>
              </w:rPr>
              <w:t xml:space="preserve">Draft of the rules Article 43 of the statute additions (</w:t>
            </w:r>
            <w:r>
              <w:rPr>
                <w:rFonts w:ascii="Courier New" w:cs="Courier New" w:eastAsia="Courier New" w:hAnsi="Courier New"/>
                <w:color w:val="5A6A72"/>
                <w:sz w:val="16"/>
                <w:szCs w:val="16"/>
              </w:rPr>
              <w:t xml:space="preserve">docs/legal/registration/statute-additions.md</w:t>
            </w:r>
            <w:r>
              <w:rPr>
                <w:rFonts w:ascii="Arial" w:cs="Arial" w:eastAsia="Arial" w:hAnsi="Arial"/>
                <w:color w:val="5A6A72"/>
                <w:sz w:val="16"/>
                <w:szCs w:val="16"/>
              </w:rPr>
              <w:t xml:space="preserve">) has the Board adopt, one set for every chapter: how a chapter works, how events are planned and approved, how money is handled and recorded, how the name and mark are used, what is reported, and how the chapter works with the Executive Director. Montenegrin is the operative text; the English under each article is a translation for founders who do not read it. Drafted 2026-09-21 from the team guide (chapter roles, the Chapter in a Box, the one-event-a-year charter, the published split), the brief (cash logging, waivers, safeguarding lead per event) and the statute drafts. </w:t>
            </w:r>
            <w:r>
              <w:rPr>
                <w:rFonts w:ascii="Arial" w:cs="Arial" w:eastAsia="Arial" w:hAnsi="Arial"/>
                <w:b/>
                <w:bCs/>
                <w:color w:val="5A6A72"/>
                <w:sz w:val="16"/>
                <w:szCs w:val="16"/>
              </w:rPr>
              <w:t xml:space="preserve">The lawyer and the accountant review before adoption.</w:t>
            </w:r>
            <w:r>
              <w:rPr>
                <w:rFonts w:ascii="Arial" w:cs="Arial" w:eastAsia="Arial" w:hAnsi="Arial"/>
                <w:color w:val="5A6A72"/>
                <w:sz w:val="16"/>
                <w:szCs w:val="16"/>
              </w:rPr>
              <w:t xml:space="preserve"> Every bracketed value is a parameter for the Board; suggested values are in the final section.</w:t>
            </w:r>
          </w:p>
        </w:tc>
      </w:tr>
      <w:tr>
        <w:tc>
          <w:tcPr>
            <w:tcW w:type="dxa" w:w="9906"/>
            <w:gridSpan w:val="2"/>
            <w:tcMar>
              <w:top w:type="dxa" w:w="80"/>
              <w:left w:type="dxa" w:w="100"/>
              <w:bottom w:type="dxa" w:w="80"/>
              <w:right w:type="dxa" w:w="100"/>
            </w:tcMar>
          </w:tcPr>
          <w:p>
            <w:pPr>
              <w:spacing w:after="80"/>
            </w:pPr>
            <w:r>
              <w:rPr>
                <w:rFonts w:ascii="Arial" w:cs="Arial" w:eastAsia="Arial" w:hAnsi="Arial"/>
                <w:b/>
                <w:bCs/>
                <w:color w:val="5A6A72"/>
                <w:sz w:val="16"/>
                <w:szCs w:val="16"/>
              </w:rPr>
              <w:t xml:space="preserve">Decisions embedded here, all from the team guide:</w:t>
            </w:r>
            <w:r>
              <w:rPr>
                <w:rFonts w:ascii="Arial" w:cs="Arial" w:eastAsia="Arial" w:hAnsi="Arial"/>
                <w:color w:val="5A6A72"/>
                <w:sz w:val="16"/>
                <w:szCs w:val="16"/>
              </w:rPr>
              <w:t xml:space="preserve"> chapters are internal teams, not legal persons, with no account of their own; three officers per chapter (lead, treasurer, volunteer coordinator); one public event a year as the charter test; a published split of money raised in a town.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 OPŠTE ODREDBE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GENERAL PROVISIONS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 — Predmet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 Subject.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Ovim pravilima bliže se uređuju osnivanje, organizacija, rad, finansije, izvještavanje i prestanak rada ogranaka udruženja, u skladu sa članovima 40 do 44 Statuta.</w:t>
            </w:r>
          </w:p>
          <w:p>
            <w:pPr>
              <w:spacing w:after="100"/>
            </w:pPr>
            <w:r>
              <w:rPr>
                <w:rFonts w:ascii="Arial" w:cs="Arial" w:eastAsia="Arial" w:hAnsi="Arial"/>
                <w:sz w:val="18"/>
                <w:szCs w:val="18"/>
              </w:rPr>
              <w:t xml:space="preserve">Pravila su jedinstvena za sve ogranke. Upravni odbor može odlukom o osnivanju ogranka utvrditi samo one posebnosti koje ova pravila izričito dopuštaju.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 Subject.</w:t>
            </w:r>
            <w:r>
              <w:rPr>
                <w:rFonts w:ascii="Arial" w:cs="Arial" w:eastAsia="Arial" w:hAnsi="Arial"/>
                <w:sz w:val="18"/>
                <w:szCs w:val="18"/>
              </w:rPr>
              <w:t xml:space="preserve"> These rules govern the founding, organisation, operation, finances, reporting and dissolution of chapters under Articles 40 to 44 of the Statute. They are the same for every chapter; the Board's founding decision may vary only what these rules expressly allow.</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 — Položaj ogranka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 Status.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Ogranak je unutrašnja organizaciona jedinica udruženja za područje jedne ili više opština. Ogranak nema svojstvo pravnog lica, nema sopstveni račun, pečat ni imovinu, i ne može zaključivati ugovore niti preuzimati obaveze.</w:t>
            </w:r>
          </w:p>
          <w:p>
            <w:pPr>
              <w:spacing w:after="100"/>
            </w:pPr>
            <w:r>
              <w:rPr>
                <w:rFonts w:ascii="Arial" w:cs="Arial" w:eastAsia="Arial" w:hAnsi="Arial"/>
                <w:sz w:val="18"/>
                <w:szCs w:val="18"/>
              </w:rPr>
              <w:t xml:space="preserve">Sve što ogranak radi, radi u ime i za račun udruženja. Za obaveze koje nastanu radom ogranka odgovara udruženje, a lica koja su ih preuzela bez ovlašćenja odgovaraju udruženju.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 Status.</w:t>
            </w:r>
            <w:r>
              <w:rPr>
                <w:rFonts w:ascii="Arial" w:cs="Arial" w:eastAsia="Arial" w:hAnsi="Arial"/>
                <w:sz w:val="18"/>
                <w:szCs w:val="18"/>
              </w:rPr>
              <w:t xml:space="preserve"> A chapter is an internal unit of the association for one or more municipalities. It is not a legal person and has no account, seal or property of its own, and cannot conclude contracts or assume obligations. Everything it does, it does in the association's name; the association answers for obligations arising from a chapter's work, and anyone who assumed them without authority answers to the association.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II. OSNIVANJE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FOUNDING</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 — Predlog za osnivanje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 Proposal.</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Predlog za osnivanje ogranka podnose Upravnom odboru najmanje tri člana udruženja sa prebivalištem na predloženom području. Predlog sadrži:</w:t>
            </w:r>
          </w:p>
          <w:p>
            <w:pPr>
              <w:pStyle w:val="ListParagraph"/>
              <w:numPr>
                <w:ilvl w:val="0"/>
                <w:numId w:val="2"/>
              </w:numPr>
              <w:spacing w:after="40"/>
            </w:pPr>
            <w:r>
              <w:rPr>
                <w:rFonts w:ascii="Arial" w:cs="Arial" w:eastAsia="Arial" w:hAnsi="Arial"/>
                <w:sz w:val="18"/>
                <w:szCs w:val="18"/>
              </w:rPr>
              <w:t xml:space="preserve">područje ogranka (opština ili opštine);</w:t>
            </w:r>
          </w:p>
          <w:p>
            <w:pPr>
              <w:pStyle w:val="ListParagraph"/>
              <w:numPr>
                <w:ilvl w:val="0"/>
                <w:numId w:val="2"/>
              </w:numPr>
              <w:spacing w:after="40"/>
            </w:pPr>
            <w:r>
              <w:rPr>
                <w:rFonts w:ascii="Arial" w:cs="Arial" w:eastAsia="Arial" w:hAnsi="Arial"/>
                <w:sz w:val="18"/>
                <w:szCs w:val="18"/>
              </w:rPr>
              <w:t xml:space="preserve">imena predloženog rukovodioca ogranka, blagajnika i koordinatora volontera, sa kratkim opisom iskustva;</w:t>
            </w:r>
          </w:p>
          <w:p>
            <w:pPr>
              <w:pStyle w:val="ListParagraph"/>
              <w:numPr>
                <w:ilvl w:val="0"/>
                <w:numId w:val="2"/>
              </w:numPr>
              <w:spacing w:after="40"/>
            </w:pPr>
            <w:r>
              <w:rPr>
                <w:rFonts w:ascii="Arial" w:cs="Arial" w:eastAsia="Arial" w:hAnsi="Arial"/>
                <w:sz w:val="18"/>
                <w:szCs w:val="18"/>
              </w:rPr>
              <w:t xml:space="preserve">plan prvog javnog događaja u roku od dvanaest mjeseci, sa procjenom troškova i izvora sredstava;</w:t>
            </w:r>
          </w:p>
          <w:p>
            <w:pPr>
              <w:pStyle w:val="ListParagraph"/>
              <w:numPr>
                <w:ilvl w:val="0"/>
                <w:numId w:val="2"/>
              </w:numPr>
              <w:spacing w:after="40"/>
            </w:pPr>
            <w:r>
              <w:rPr>
                <w:rFonts w:ascii="Arial" w:cs="Arial" w:eastAsia="Arial" w:hAnsi="Arial"/>
                <w:sz w:val="18"/>
                <w:szCs w:val="18"/>
              </w:rPr>
              <w:t xml:space="preserve">spisak klubova, škola, privrednih društava i drugih partnera sa kojima su predlagači već u kontaktu;</w:t>
            </w:r>
          </w:p>
          <w:p>
            <w:pPr>
              <w:pStyle w:val="ListParagraph"/>
              <w:numPr>
                <w:ilvl w:val="0"/>
                <w:numId w:val="2"/>
              </w:numPr>
              <w:spacing w:after="40"/>
            </w:pPr>
            <w:r>
              <w:rPr>
                <w:rFonts w:ascii="Arial" w:cs="Arial" w:eastAsia="Arial" w:hAnsi="Arial"/>
                <w:sz w:val="18"/>
                <w:szCs w:val="18"/>
              </w:rPr>
              <w:t xml:space="preserve">izjavu predlagača da prihvataju Statut, ova pravila, kriterijume za dodjelu sredstava i politiku zaštite djece.</w:t>
            </w:r>
          </w:p>
          <w:p>
            <w:pPr>
              <w:spacing w:after="100"/>
            </w:pPr>
            <w:r>
              <w:rPr>
                <w:rFonts w:ascii="Arial" w:cs="Arial" w:eastAsia="Arial" w:hAnsi="Arial"/>
                <w:sz w:val="18"/>
                <w:szCs w:val="18"/>
              </w:rPr>
              <w:t xml:space="preserve">Upravni odbor odlučuje o predlogu na prvoj narednoj sjednici, po pribavljenom mišljenju Izvršnog direktora.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 Proposal.</w:t>
            </w:r>
            <w:r>
              <w:rPr>
                <w:rFonts w:ascii="Arial" w:cs="Arial" w:eastAsia="Arial" w:hAnsi="Arial"/>
                <w:sz w:val="18"/>
                <w:szCs w:val="18"/>
              </w:rPr>
              <w:t xml:space="preserve"> At least three members resident in the proposed area submit a proposal to the Board stating the area; the proposed lead, treasurer and volunteer coordinator with brief experience; a plan for a first public event within twelve months with costs and funding; the clubs, schools, companies and other partners already in contact; and a declaration accepting the Statute, these rules, the grant criteria and the safeguarding policy. The Board decides at its next meeting after the Executive Director's opinion.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 — Odluka o osnivanju i Paket za ogranak</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 Founding decision and the Chapter in a Box.</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Odlukom o osnivanju Upravni odbor utvrđuje naziv ogranka (naziv udruženja i naziv opštine, na primjer „Santamore Kotor“), područje, imena lica iz člana 3 tačka 2, početni budžet i lice iz reda zaposlenih ili organa udruženja koje je stalni kontakt ogranka (nacionalni kontakt).</w:t>
            </w:r>
          </w:p>
          <w:p>
            <w:pPr>
              <w:spacing w:after="100"/>
            </w:pPr>
            <w:r>
              <w:rPr>
                <w:rFonts w:ascii="Arial" w:cs="Arial" w:eastAsia="Arial" w:hAnsi="Arial"/>
                <w:sz w:val="18"/>
                <w:szCs w:val="18"/>
              </w:rPr>
              <w:t xml:space="preserve">U roku od 30 dana od odluke Izvršni direktor ogranku dostavlja Paket za ogranak, koji sadrži najmanje:</w:t>
            </w:r>
          </w:p>
          <w:p>
            <w:pPr>
              <w:pStyle w:val="ListParagraph"/>
              <w:numPr>
                <w:ilvl w:val="0"/>
                <w:numId w:val="3"/>
              </w:numPr>
              <w:spacing w:after="40"/>
            </w:pPr>
            <w:r>
              <w:rPr>
                <w:rFonts w:ascii="Arial" w:cs="Arial" w:eastAsia="Arial" w:hAnsi="Arial"/>
                <w:sz w:val="18"/>
                <w:szCs w:val="18"/>
              </w:rPr>
              <w:t xml:space="preserve">priručnik za organizaciju događaja sa obrascima (plan, budžet, procjena rizika, lista dozvola, program dana, izvještaj);</w:t>
            </w:r>
          </w:p>
          <w:p>
            <w:pPr>
              <w:pStyle w:val="ListParagraph"/>
              <w:numPr>
                <w:ilvl w:val="0"/>
                <w:numId w:val="3"/>
              </w:numPr>
              <w:spacing w:after="40"/>
            </w:pPr>
            <w:r>
              <w:rPr>
                <w:rFonts w:ascii="Arial" w:cs="Arial" w:eastAsia="Arial" w:hAnsi="Arial"/>
                <w:sz w:val="18"/>
                <w:szCs w:val="18"/>
              </w:rPr>
              <w:t xml:space="preserve">vizuelni identitet: logotip, boje, šablone za objave, plakate i majice;</w:t>
            </w:r>
          </w:p>
          <w:p>
            <w:pPr>
              <w:pStyle w:val="ListParagraph"/>
              <w:numPr>
                <w:ilvl w:val="0"/>
                <w:numId w:val="3"/>
              </w:numPr>
              <w:spacing w:after="40"/>
            </w:pPr>
            <w:r>
              <w:rPr>
                <w:rFonts w:ascii="Arial" w:cs="Arial" w:eastAsia="Arial" w:hAnsi="Arial"/>
                <w:sz w:val="18"/>
                <w:szCs w:val="18"/>
              </w:rPr>
              <w:t xml:space="preserve">obrasce za evidenciju gotovine, obračun troškova i prijavu incidenta;</w:t>
            </w:r>
          </w:p>
          <w:p>
            <w:pPr>
              <w:pStyle w:val="ListParagraph"/>
              <w:numPr>
                <w:ilvl w:val="0"/>
                <w:numId w:val="3"/>
              </w:numPr>
              <w:spacing w:after="40"/>
            </w:pPr>
            <w:r>
              <w:rPr>
                <w:rFonts w:ascii="Arial" w:cs="Arial" w:eastAsia="Arial" w:hAnsi="Arial"/>
                <w:sz w:val="18"/>
                <w:szCs w:val="18"/>
              </w:rPr>
              <w:t xml:space="preserve">pristup platformi udruženja: stranicu ogranka, evidenciju prihoda i rashoda ogranka, alat za evidenciju gotovine i registar volontera;</w:t>
            </w:r>
          </w:p>
          <w:p>
            <w:pPr>
              <w:pStyle w:val="ListParagraph"/>
              <w:numPr>
                <w:ilvl w:val="0"/>
                <w:numId w:val="3"/>
              </w:numPr>
              <w:spacing w:after="40"/>
            </w:pPr>
            <w:r>
              <w:rPr>
                <w:rFonts w:ascii="Arial" w:cs="Arial" w:eastAsia="Arial" w:hAnsi="Arial"/>
                <w:sz w:val="18"/>
                <w:szCs w:val="18"/>
              </w:rPr>
              <w:t xml:space="preserve">adresu elektronske pošte ogranka na domenu udruženja;</w:t>
            </w:r>
          </w:p>
          <w:p>
            <w:pPr>
              <w:pStyle w:val="ListParagraph"/>
              <w:numPr>
                <w:ilvl w:val="0"/>
                <w:numId w:val="3"/>
              </w:numPr>
              <w:spacing w:after="40"/>
            </w:pPr>
            <w:r>
              <w:rPr>
                <w:rFonts w:ascii="Arial" w:cs="Arial" w:eastAsia="Arial" w:hAnsi="Arial"/>
                <w:sz w:val="18"/>
                <w:szCs w:val="18"/>
              </w:rPr>
              <w:t xml:space="preserve">potvrdu o osiguranju koje pokriva događaje ogranka i uslove pod kojima važi;</w:t>
            </w:r>
          </w:p>
          <w:p>
            <w:pPr>
              <w:pStyle w:val="ListParagraph"/>
              <w:numPr>
                <w:ilvl w:val="0"/>
                <w:numId w:val="3"/>
              </w:numPr>
              <w:spacing w:after="40"/>
            </w:pPr>
            <w:r>
              <w:rPr>
                <w:rFonts w:ascii="Arial" w:cs="Arial" w:eastAsia="Arial" w:hAnsi="Arial"/>
                <w:sz w:val="18"/>
                <w:szCs w:val="18"/>
              </w:rPr>
              <w:t xml:space="preserve">ova pravila, kriterijume za dodjelu sredstava, politiku zaštite djece i uslove učešća na događajima.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 Founding decision and the Chapter in a Box.</w:t>
            </w:r>
            <w:r>
              <w:rPr>
                <w:rFonts w:ascii="Arial" w:cs="Arial" w:eastAsia="Arial" w:hAnsi="Arial"/>
                <w:sz w:val="18"/>
                <w:szCs w:val="18"/>
              </w:rPr>
              <w:t xml:space="preserve"> The Board's decision names the chapter (association name plus municipality, e.g. "Santamore Kotor"), its area, its three officers, its starting budget and its named national contact. Within 30 days the Director delivers the Chapter in a Box: the event playbook with templates (plan, budget, risk assessment, permit checklist, run sheet, report); the brand kit; forms for cash, expenses and incident reports; platform access (chapter page, chapter ledger, cash log, volunteer register); a chapter email address on the association's domain; the insurance confirmation and its conditions; and the rules, criteria, safeguarding policy and event terms.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III. ORGANIZACIJA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ORGANISATION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5 — Lica ogranka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5. Officers.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Ogranak ima rukovodioca ogranka, blagajnika ogranka i koordinatora volontera. Imenuje ih Upravni odbor na predlog članova ogranka, na mandat od dvije godine, uz mogućnost ponovnog imenovanja (član 41 Statuta).</w:t>
            </w:r>
          </w:p>
          <w:p>
            <w:pPr>
              <w:spacing w:after="100"/>
            </w:pPr>
            <w:r>
              <w:rPr>
                <w:rFonts w:ascii="Arial" w:cs="Arial" w:eastAsia="Arial" w:hAnsi="Arial"/>
                <w:sz w:val="18"/>
                <w:szCs w:val="18"/>
              </w:rPr>
              <w:t xml:space="preserve">Ta lica moraju biti punoljetni članovi udruženja. Rukovodilac ogranka i blagajnik ne mogu biti isto lice, niti bračni drugovi ili bliski srodnici. Ista lica ne mogu istovremeno biti članovi Komisije za dodjelu sredstava.</w:t>
            </w:r>
          </w:p>
          <w:p>
            <w:pPr>
              <w:spacing w:after="100"/>
            </w:pPr>
            <w:r>
              <w:rPr>
                <w:rFonts w:ascii="Arial" w:cs="Arial" w:eastAsia="Arial" w:hAnsi="Arial"/>
                <w:sz w:val="18"/>
                <w:szCs w:val="18"/>
              </w:rPr>
              <w:t xml:space="preserve">Ako neko od tih mjesta ostane upražnjeno, rukovodilac ogranka u roku od 30 dana predlaže zamjenu, a do imenovanja poslove obavlja lice koje odredi Izvršni direktor.</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5. Officers.</w:t>
            </w:r>
            <w:r>
              <w:rPr>
                <w:rFonts w:ascii="Arial" w:cs="Arial" w:eastAsia="Arial" w:hAnsi="Arial"/>
                <w:sz w:val="18"/>
                <w:szCs w:val="18"/>
              </w:rPr>
              <w:t xml:space="preserve"> The lead, treasurer and volunteer coordinator are appointed by the Board on the chapter members' proposal for two years, renewable (statute Art. 41). They must be adult members. Lead and treasurer cannot be the same person, spouses or close relatives, and none may sit on the Grants Committee. A vacancy is filled on the lead's proposal within 30 days; meanwhile the Director designates who acts.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6 — Rukovodilac ogranka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6. Chapter lead.</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Rukovodilac ogranka:</w:t>
            </w:r>
          </w:p>
        </w:tc>
      </w:tr>
      <w:tr>
        <w:tc>
          <w:tcPr>
            <w:tcW w:type="dxa" w:w="4953"/>
            <w:tcMar>
              <w:top w:type="dxa" w:w="80"/>
              <w:left w:type="dxa" w:w="100"/>
              <w:bottom w:type="dxa" w:w="80"/>
              <w:right w:type="dxa" w:w="100"/>
            </w:tcMar>
          </w:tcPr>
          <w:p>
            <w:pPr>
              <w:pStyle w:val="ListParagraph"/>
              <w:numPr>
                <w:ilvl w:val="0"/>
                <w:numId w:val="4"/>
              </w:numPr>
              <w:spacing w:after="40"/>
            </w:pPr>
            <w:r>
              <w:rPr>
                <w:rFonts w:ascii="Arial" w:cs="Arial" w:eastAsia="Arial" w:hAnsi="Arial"/>
                <w:sz w:val="18"/>
                <w:szCs w:val="18"/>
              </w:rPr>
              <w:t xml:space="preserve">organizuje rad ogranka i predstavlja ga prema partnerima i javnosti na svom području, u okviru ovlašćenja iz ovih pravila;</w:t>
            </w:r>
          </w:p>
          <w:p>
            <w:pPr>
              <w:pStyle w:val="ListParagraph"/>
              <w:numPr>
                <w:ilvl w:val="0"/>
                <w:numId w:val="4"/>
              </w:numPr>
              <w:spacing w:after="40"/>
            </w:pPr>
            <w:r>
              <w:rPr>
                <w:rFonts w:ascii="Arial" w:cs="Arial" w:eastAsia="Arial" w:hAnsi="Arial"/>
                <w:sz w:val="18"/>
                <w:szCs w:val="18"/>
              </w:rPr>
              <w:t xml:space="preserve">priprema godišnji plan i budžet ogranka i predlaže ih Izvršnom direktoru;</w:t>
            </w:r>
          </w:p>
          <w:p>
            <w:pPr>
              <w:pStyle w:val="ListParagraph"/>
              <w:numPr>
                <w:ilvl w:val="0"/>
                <w:numId w:val="4"/>
              </w:numPr>
              <w:spacing w:after="40"/>
            </w:pPr>
            <w:r>
              <w:rPr>
                <w:rFonts w:ascii="Arial" w:cs="Arial" w:eastAsia="Arial" w:hAnsi="Arial"/>
                <w:sz w:val="18"/>
                <w:szCs w:val="18"/>
              </w:rPr>
              <w:t xml:space="preserve">odgovara za to da se svaki događaj ogranka pripremi i održi u skladu sa dijelom IV ovih pravila;</w:t>
            </w:r>
          </w:p>
          <w:p>
            <w:pPr>
              <w:pStyle w:val="ListParagraph"/>
              <w:numPr>
                <w:ilvl w:val="0"/>
                <w:numId w:val="4"/>
              </w:numPr>
              <w:spacing w:after="40"/>
            </w:pPr>
            <w:r>
              <w:rPr>
                <w:rFonts w:ascii="Arial" w:cs="Arial" w:eastAsia="Arial" w:hAnsi="Arial"/>
                <w:sz w:val="18"/>
                <w:szCs w:val="18"/>
              </w:rPr>
              <w:t xml:space="preserve">saziva i vodi sastanke članova ogranka;</w:t>
            </w:r>
          </w:p>
          <w:p>
            <w:pPr>
              <w:pStyle w:val="ListParagraph"/>
              <w:numPr>
                <w:ilvl w:val="0"/>
                <w:numId w:val="4"/>
              </w:numPr>
              <w:spacing w:after="40"/>
            </w:pPr>
            <w:r>
              <w:rPr>
                <w:rFonts w:ascii="Arial" w:cs="Arial" w:eastAsia="Arial" w:hAnsi="Arial"/>
                <w:sz w:val="18"/>
                <w:szCs w:val="18"/>
              </w:rPr>
              <w:t xml:space="preserve">podnosi izvještaje iz dijela VII ovih pravila;</w:t>
            </w:r>
          </w:p>
          <w:p>
            <w:pPr>
              <w:pStyle w:val="ListParagraph"/>
              <w:numPr>
                <w:ilvl w:val="0"/>
                <w:numId w:val="4"/>
              </w:numPr>
              <w:spacing w:after="40"/>
            </w:pPr>
            <w:r>
              <w:rPr>
                <w:rFonts w:ascii="Arial" w:cs="Arial" w:eastAsia="Arial" w:hAnsi="Arial"/>
                <w:sz w:val="18"/>
                <w:szCs w:val="18"/>
              </w:rPr>
              <w:t xml:space="preserve">prima prijave za pomoć sa svog područja i prosljeđuje ih u postupak iz kriterijuma za dodjelu sredstava, bez ocjene i bez obećanja podnosiocu;</w:t>
            </w:r>
          </w:p>
          <w:p>
            <w:pPr>
              <w:pStyle w:val="ListParagraph"/>
              <w:numPr>
                <w:ilvl w:val="0"/>
                <w:numId w:val="4"/>
              </w:numPr>
              <w:spacing w:after="40"/>
            </w:pPr>
            <w:r>
              <w:rPr>
                <w:rFonts w:ascii="Arial" w:cs="Arial" w:eastAsia="Arial" w:hAnsi="Arial"/>
                <w:sz w:val="18"/>
                <w:szCs w:val="18"/>
              </w:rPr>
              <w:t xml:space="preserve">bez odlaganja obavještava Izvršnog direktora o svakom incidentu, prigovoru, medijskom upitu ili okolnosti koja može štetiti ugledu udruženja.</w:t>
            </w:r>
          </w:p>
          <w:p>
            <w:pPr>
              <w:spacing w:after="100"/>
            </w:pPr>
            <w:r>
              <w:rPr>
                <w:rFonts w:ascii="Arial" w:cs="Arial" w:eastAsia="Arial" w:hAnsi="Arial"/>
                <w:sz w:val="18"/>
                <w:szCs w:val="18"/>
              </w:rPr>
              <w:t xml:space="preserve">Rukovodilac ogranka ne može zaključivati ugovore, zapošljavati, primati sponzorstva na lični račun ni davati javne izjave o politici udruženja bez pisanog ovlašćenja Izvršnog direktora.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6. Chapter lead.</w:t>
            </w:r>
            <w:r>
              <w:rPr>
                <w:rFonts w:ascii="Arial" w:cs="Arial" w:eastAsia="Arial" w:hAnsi="Arial"/>
                <w:sz w:val="18"/>
                <w:szCs w:val="18"/>
              </w:rPr>
              <w:t xml:space="preserve"> Organises the chapter and represents it locally within these rules; prepares the annual plan and budget for the Director; is responsible for every event complying with Part IV; convenes and chairs chapter meetings; submits the reports in Part VII; receives aid applications from the area and forwards them into the grants procedure without assessing them or promising anything; and reports at once any incident, complaint, media enquiry or reputational risk. The lead cannot sign contracts, hire, receive sponsorship personally or make policy statements without the Director's written authorisation.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7 — Blagajnik ogranka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7. Chapter treasurer.</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Blagajnik ogranka:</w:t>
            </w:r>
          </w:p>
        </w:tc>
      </w:tr>
      <w:tr>
        <w:tc>
          <w:tcPr>
            <w:tcW w:type="dxa" w:w="4953"/>
            <w:tcMar>
              <w:top w:type="dxa" w:w="80"/>
              <w:left w:type="dxa" w:w="100"/>
              <w:bottom w:type="dxa" w:w="80"/>
              <w:right w:type="dxa" w:w="100"/>
            </w:tcMar>
          </w:tcPr>
          <w:p>
            <w:pPr>
              <w:pStyle w:val="ListParagraph"/>
              <w:numPr>
                <w:ilvl w:val="0"/>
                <w:numId w:val="5"/>
              </w:numPr>
              <w:spacing w:after="40"/>
            </w:pPr>
            <w:r>
              <w:rPr>
                <w:rFonts w:ascii="Arial" w:cs="Arial" w:eastAsia="Arial" w:hAnsi="Arial"/>
                <w:sz w:val="18"/>
                <w:szCs w:val="18"/>
              </w:rPr>
              <w:t xml:space="preserve">vodi evidenciju svih prihoda i rashoda ogranka na platformi udruženja i čuva prateću dokumentaciju;</w:t>
            </w:r>
          </w:p>
          <w:p>
            <w:pPr>
              <w:pStyle w:val="ListParagraph"/>
              <w:numPr>
                <w:ilvl w:val="0"/>
                <w:numId w:val="5"/>
              </w:numPr>
              <w:spacing w:after="40"/>
            </w:pPr>
            <w:r>
              <w:rPr>
                <w:rFonts w:ascii="Arial" w:cs="Arial" w:eastAsia="Arial" w:hAnsi="Arial"/>
                <w:sz w:val="18"/>
                <w:szCs w:val="18"/>
              </w:rPr>
              <w:t xml:space="preserve">odgovara za rukovanje gotovinom u skladu sa članom 13 ovih pravila;</w:t>
            </w:r>
          </w:p>
          <w:p>
            <w:pPr>
              <w:pStyle w:val="ListParagraph"/>
              <w:numPr>
                <w:ilvl w:val="0"/>
                <w:numId w:val="5"/>
              </w:numPr>
              <w:spacing w:after="40"/>
            </w:pPr>
            <w:r>
              <w:rPr>
                <w:rFonts w:ascii="Arial" w:cs="Arial" w:eastAsia="Arial" w:hAnsi="Arial"/>
                <w:sz w:val="18"/>
                <w:szCs w:val="18"/>
              </w:rPr>
              <w:t xml:space="preserve">provjerava da svaki trošak ima odobrenje, račun na ime udruženja i pokriće u budžetu;</w:t>
            </w:r>
          </w:p>
          <w:p>
            <w:pPr>
              <w:pStyle w:val="ListParagraph"/>
              <w:numPr>
                <w:ilvl w:val="0"/>
                <w:numId w:val="5"/>
              </w:numPr>
              <w:spacing w:after="40"/>
            </w:pPr>
            <w:r>
              <w:rPr>
                <w:rFonts w:ascii="Arial" w:cs="Arial" w:eastAsia="Arial" w:hAnsi="Arial"/>
                <w:sz w:val="18"/>
                <w:szCs w:val="18"/>
              </w:rPr>
              <w:t xml:space="preserve">priprema finansijski dio izvještaja ogranka i sarađuje sa računovođom udruženja;</w:t>
            </w:r>
          </w:p>
          <w:p>
            <w:pPr>
              <w:pStyle w:val="ListParagraph"/>
              <w:numPr>
                <w:ilvl w:val="0"/>
                <w:numId w:val="5"/>
              </w:numPr>
              <w:spacing w:after="40"/>
            </w:pPr>
            <w:r>
              <w:rPr>
                <w:rFonts w:ascii="Arial" w:cs="Arial" w:eastAsia="Arial" w:hAnsi="Arial"/>
                <w:sz w:val="18"/>
                <w:szCs w:val="18"/>
              </w:rPr>
              <w:t xml:space="preserve">ne raspolaže sredstvima udruženja: nema pristup računu i ne vrši plaćanja, osim isplate gotovine iz odobrenih sitnih troškova do iznosa iz člana 14.</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7. Chapter treasurer.</w:t>
            </w:r>
            <w:r>
              <w:rPr>
                <w:rFonts w:ascii="Arial" w:cs="Arial" w:eastAsia="Arial" w:hAnsi="Arial"/>
                <w:sz w:val="18"/>
                <w:szCs w:val="18"/>
              </w:rPr>
              <w:t xml:space="preserve"> Keeps the chapter's income and expenditure records on the platform with supporting documents; is responsible for cash handling under Article 13; checks every cost has approval, an invoice in the association's name and budget cover; prepares the financial part of reports and works with the association's accountant; and has no access to the bank account and makes no payments, other than petty cash within the Article 14 limit.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8 — Koordinator volontera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8. Volunteer coordinator.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Koordinator volontera vodi registar volontera ogranka, organizuje pozivanje, raspored i uputstva volontera za svaki događaj, obezbjeđuje da svaki volonter prije događaja prođe kratku obuku iz bezbjednosti i zaštite djece, i vodi evidenciju sati volontera za godišnji izvještaj.</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8. Volunteer coordinator.</w:t>
            </w:r>
            <w:r>
              <w:rPr>
                <w:rFonts w:ascii="Arial" w:cs="Arial" w:eastAsia="Arial" w:hAnsi="Arial"/>
                <w:sz w:val="18"/>
                <w:szCs w:val="18"/>
              </w:rPr>
              <w:t xml:space="preserve"> Keeps the chapter's volunteer register; organises recruiting, rostering and briefing for every event; ensures every volunteer receives the short safety and safeguarding briefing before the event; and records volunteer hours for the annual report.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9 — Članovi i sastanci ogranka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9. Members and meetings.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Članovi ogranka su članovi udruženja sa prebivalištem ili stalnim angažmanom na području ogranka, koji su u registru članova označeni kao članovi tog ogranka. Član može biti član samo jednog ogranka.</w:t>
            </w:r>
          </w:p>
          <w:p>
            <w:pPr>
              <w:spacing w:after="100"/>
            </w:pPr>
            <w:r>
              <w:rPr>
                <w:rFonts w:ascii="Arial" w:cs="Arial" w:eastAsia="Arial" w:hAnsi="Arial"/>
                <w:sz w:val="18"/>
                <w:szCs w:val="18"/>
              </w:rPr>
              <w:t xml:space="preserve">Ogranak održava sastanak članova najmanje jednom u tri mjeseca. O sastanku se vodi kratak zapisnik (datum, prisutni, odluke), koji se čuva na platformi. Sastanak prije godišnje sjednice Skupštine, na kome se razmatra dnevni red Skupštine, uslov je da rukovodilac ogranka može zastupati članove po punomoćju (član 17d Statuta).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9. Members and meetings.</w:t>
            </w:r>
            <w:r>
              <w:rPr>
                <w:rFonts w:ascii="Arial" w:cs="Arial" w:eastAsia="Arial" w:hAnsi="Arial"/>
                <w:sz w:val="18"/>
                <w:szCs w:val="18"/>
              </w:rPr>
              <w:t xml:space="preserve"> Chapter members are association members resident in or permanently engaged in the area and marked as such in the members' register; one chapter per member. The chapter meets at least quarterly, with brief minutes kept on the platform. The pre-Assembly meeting on the Assembly's agenda is the condition for the lead to hold members' proxies (statute Art. 17d).</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IV. DOGAĐAJI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EVENTS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10 — Godišnji plan</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10. Annual plan.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Rukovodilac ogranka do [[PLACEHOLDER: datum, npr. 31. oktobra]] dostavlja Izvršnom direktoru plan ogranka za narednu godinu: događaje sa okvirnim datumima, ciljni iznos prikupljanja, potrebe za volonterima, planirane partnere i sponzore i budžet po događaju.</w:t>
            </w:r>
          </w:p>
          <w:p>
            <w:pPr>
              <w:spacing w:after="100"/>
            </w:pPr>
            <w:r>
              <w:rPr>
                <w:rFonts w:ascii="Arial" w:cs="Arial" w:eastAsia="Arial" w:hAnsi="Arial"/>
                <w:sz w:val="18"/>
                <w:szCs w:val="18"/>
              </w:rPr>
              <w:t xml:space="preserve">Izvršni direktor plan usaglašava sa nacionalnim kalendarom i budžetom i dostavlja ga Upravnom odboru uz predlog godišnjeg budžeta udruženja. Odobreni budžet ogranka je gornja granica troškova ogranka u toj godini.</w:t>
            </w:r>
          </w:p>
          <w:p>
            <w:pPr>
              <w:spacing w:after="100"/>
            </w:pPr>
            <w:r>
              <w:rPr>
                <w:rFonts w:ascii="Arial" w:cs="Arial" w:eastAsia="Arial" w:hAnsi="Arial"/>
                <w:sz w:val="18"/>
                <w:szCs w:val="18"/>
              </w:rPr>
              <w:t xml:space="preserve">Svaki ogranak organizuje najmanje jedan javni događaj godišnje (član 41 Statuta).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10. Annual plan.</w:t>
            </w:r>
            <w:r>
              <w:rPr>
                <w:rFonts w:ascii="Arial" w:cs="Arial" w:eastAsia="Arial" w:hAnsi="Arial"/>
                <w:sz w:val="18"/>
                <w:szCs w:val="18"/>
              </w:rPr>
              <w:t xml:space="preserve"> By [date] the lead sends the Director next year's plan: events with dates, fundraising target, volunteer needs, partners and sponsors, and a budget per event. The Director reconciles it with the national calendar and budget and passes it to the Board with the association's annual budget. The approved chapter budget is the ceiling for the year. Every chapter holds at least one public event a year (statute Art. 41).</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11 — Odobravanje događaja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11. Event approval.</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Nijedan događaj se ne objavljuje ni ne održava bez pisanog odobrenja Izvršnog direktora.</w:t>
            </w:r>
          </w:p>
          <w:p>
            <w:pPr>
              <w:spacing w:after="100"/>
            </w:pPr>
            <w:r>
              <w:rPr>
                <w:rFonts w:ascii="Arial" w:cs="Arial" w:eastAsia="Arial" w:hAnsi="Arial"/>
                <w:sz w:val="18"/>
                <w:szCs w:val="18"/>
              </w:rPr>
              <w:t xml:space="preserve">Rukovodilac ogranka najavljuje događaj Izvršnom direktoru najmanje [[PLACEHOLDER: broj, npr. 60]] dana prije održavanja, a najmanje [[PLACEHOLDER: broj, npr. 30]] dana prije dostavlja kompletnu dokumentaciju: plan događaja, budžet sa izvorom sredstava za troškove prije prihoda, procjenu rizika, listu potrebnih dozvola i status svake, plan bezbjednosti i medicinske pomoći, ime lica zaduženog za zaštitu djece, plan volontera i plan komunikacije.</w:t>
            </w:r>
          </w:p>
          <w:p>
            <w:pPr>
              <w:spacing w:after="100"/>
            </w:pPr>
            <w:r>
              <w:rPr>
                <w:rFonts w:ascii="Arial" w:cs="Arial" w:eastAsia="Arial" w:hAnsi="Arial"/>
                <w:sz w:val="18"/>
                <w:szCs w:val="18"/>
              </w:rPr>
              <w:t xml:space="preserve">Izvršni direktor odobrava događaj u roku od sedam dana od prijema kompletne dokumentacije, može ga odobriti uz uslove, ili ga odbija uz obrazloženje. Događaj koji predviđa učešće u vodi, učešće djece ili više od [[PLACEHOLDER: broj]] učesnika Izvršni direktor odobrava tek po pribavljenoj saglasnosti nacionalnog lica za bezbjednost, odnosno zaštitu djece.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11. Event approval.</w:t>
            </w:r>
            <w:r>
              <w:rPr>
                <w:rFonts w:ascii="Arial" w:cs="Arial" w:eastAsia="Arial" w:hAnsi="Arial"/>
                <w:sz w:val="18"/>
                <w:szCs w:val="18"/>
              </w:rPr>
              <w:t xml:space="preserve"> No event is announced or held without the Director's written approval. The lead notifies the Director at least [60] days ahead and delivers the full file at least [30] days ahead: event plan, budget with the source of pre-income costs, risk assessment, permit list with status, safety and medical plan, the named safeguarding lead, volunteer plan and communications plan. The Director approves within seven days of a complete file, approves with conditions, or refuses with reasons. Events on the water, with children, or above [number] participants need the sign-off of the national safety or safeguarding lead first.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12 — Uslovi za održavanje događaja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12. Conditions for every event.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svaki događaj ogranka obavezno je:</w:t>
            </w:r>
          </w:p>
          <w:p>
            <w:pPr>
              <w:pStyle w:val="ListParagraph"/>
              <w:numPr>
                <w:ilvl w:val="0"/>
                <w:numId w:val="6"/>
              </w:numPr>
              <w:spacing w:after="40"/>
            </w:pPr>
            <w:r>
              <w:rPr>
                <w:rFonts w:ascii="Arial" w:cs="Arial" w:eastAsia="Arial" w:hAnsi="Arial"/>
                <w:sz w:val="18"/>
                <w:szCs w:val="18"/>
              </w:rPr>
              <w:t xml:space="preserve">dozvola nadležnog organa opštine i, kada je potrebno, policije i upravljača puta ili obale, pribavljena prije objave prijava;</w:t>
            </w:r>
          </w:p>
          <w:p>
            <w:pPr>
              <w:pStyle w:val="ListParagraph"/>
              <w:numPr>
                <w:ilvl w:val="0"/>
                <w:numId w:val="6"/>
              </w:numPr>
              <w:spacing w:after="40"/>
            </w:pPr>
            <w:r>
              <w:rPr>
                <w:rFonts w:ascii="Arial" w:cs="Arial" w:eastAsia="Arial" w:hAnsi="Arial"/>
                <w:sz w:val="18"/>
                <w:szCs w:val="18"/>
              </w:rPr>
              <w:t xml:space="preserve">osiguranje od odgovornosti koje pokriva događaj, u skladu sa potvrdom iz Paketa za ogranak;</w:t>
            </w:r>
          </w:p>
          <w:p>
            <w:pPr>
              <w:pStyle w:val="ListParagraph"/>
              <w:numPr>
                <w:ilvl w:val="0"/>
                <w:numId w:val="6"/>
              </w:numPr>
              <w:spacing w:after="40"/>
            </w:pPr>
            <w:r>
              <w:rPr>
                <w:rFonts w:ascii="Arial" w:cs="Arial" w:eastAsia="Arial" w:hAnsi="Arial"/>
                <w:sz w:val="18"/>
                <w:szCs w:val="18"/>
              </w:rPr>
              <w:t xml:space="preserve">medicinska pomoć na licu mjesta srazmjerna broju učesnika i vrsti aktivnosti;</w:t>
            </w:r>
          </w:p>
          <w:p>
            <w:pPr>
              <w:pStyle w:val="ListParagraph"/>
              <w:numPr>
                <w:ilvl w:val="0"/>
                <w:numId w:val="6"/>
              </w:numPr>
              <w:spacing w:after="40"/>
            </w:pPr>
            <w:r>
              <w:rPr>
                <w:rFonts w:ascii="Arial" w:cs="Arial" w:eastAsia="Arial" w:hAnsi="Arial"/>
                <w:sz w:val="18"/>
                <w:szCs w:val="18"/>
              </w:rPr>
              <w:t xml:space="preserve">prijava učesnika isključivo preko platforme udruženja, sa prihvatanjem uslova učešća i izjave o odricanju od odgovornosti; za maloljetne učesnike saglasnost roditelja ili staratelja;</w:t>
            </w:r>
          </w:p>
          <w:p>
            <w:pPr>
              <w:pStyle w:val="ListParagraph"/>
              <w:numPr>
                <w:ilvl w:val="0"/>
                <w:numId w:val="6"/>
              </w:numPr>
              <w:spacing w:after="40"/>
            </w:pPr>
            <w:r>
              <w:rPr>
                <w:rFonts w:ascii="Arial" w:cs="Arial" w:eastAsia="Arial" w:hAnsi="Arial"/>
                <w:sz w:val="18"/>
                <w:szCs w:val="18"/>
              </w:rPr>
              <w:t xml:space="preserve">imenovano lice za zaštitu djece, vidljivo označeno i objavljeno na stranici događaja;</w:t>
            </w:r>
          </w:p>
          <w:p>
            <w:pPr>
              <w:pStyle w:val="ListParagraph"/>
              <w:numPr>
                <w:ilvl w:val="0"/>
                <w:numId w:val="6"/>
              </w:numPr>
              <w:spacing w:after="40"/>
            </w:pPr>
            <w:r>
              <w:rPr>
                <w:rFonts w:ascii="Arial" w:cs="Arial" w:eastAsia="Arial" w:hAnsi="Arial"/>
                <w:sz w:val="18"/>
                <w:szCs w:val="18"/>
              </w:rPr>
              <w:t xml:space="preserve">ograničenje broja učesnika utvrđeno u planu i poštovano;</w:t>
            </w:r>
          </w:p>
          <w:p>
            <w:pPr>
              <w:pStyle w:val="ListParagraph"/>
              <w:numPr>
                <w:ilvl w:val="0"/>
                <w:numId w:val="6"/>
              </w:numPr>
              <w:spacing w:after="40"/>
            </w:pPr>
            <w:r>
              <w:rPr>
                <w:rFonts w:ascii="Arial" w:cs="Arial" w:eastAsia="Arial" w:hAnsi="Arial"/>
                <w:sz w:val="18"/>
                <w:szCs w:val="18"/>
              </w:rPr>
              <w:t xml:space="preserve">za događaje u vodi: kvalifikovani spasioci, pratilački čamac, bezbjednosni brifing svih učesnika i saradnja sa klubom koji takve aktivnosti obavlja profesionalno; bez toga se događaj u vodi ne održava;</w:t>
            </w:r>
          </w:p>
          <w:p>
            <w:pPr>
              <w:pStyle w:val="ListParagraph"/>
              <w:numPr>
                <w:ilvl w:val="0"/>
                <w:numId w:val="6"/>
              </w:numPr>
              <w:spacing w:after="40"/>
            </w:pPr>
            <w:r>
              <w:rPr>
                <w:rFonts w:ascii="Arial" w:cs="Arial" w:eastAsia="Arial" w:hAnsi="Arial"/>
                <w:sz w:val="18"/>
                <w:szCs w:val="18"/>
              </w:rPr>
              <w:t xml:space="preserve">fotografisanje i snimanje samo uz objavljenu napomenu, a djeca prepoznatljiva samo uz saglasnost roditelja;</w:t>
            </w:r>
          </w:p>
          <w:p>
            <w:pPr>
              <w:pStyle w:val="ListParagraph"/>
              <w:numPr>
                <w:ilvl w:val="0"/>
                <w:numId w:val="6"/>
              </w:numPr>
              <w:spacing w:after="40"/>
            </w:pPr>
            <w:r>
              <w:rPr>
                <w:rFonts w:ascii="Arial" w:cs="Arial" w:eastAsia="Arial" w:hAnsi="Arial"/>
                <w:sz w:val="18"/>
                <w:szCs w:val="18"/>
              </w:rPr>
              <w:t xml:space="preserve">izvještaj o događaju u roku iz člana 19.</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12. Conditions for every event.</w:t>
            </w:r>
            <w:r>
              <w:rPr>
                <w:rFonts w:ascii="Arial" w:cs="Arial" w:eastAsia="Arial" w:hAnsi="Arial"/>
                <w:sz w:val="18"/>
                <w:szCs w:val="18"/>
              </w:rPr>
              <w:t xml:space="preserve"> Municipal permit and, where needed, police and road or shore authority consent before registration opens; liability insurance per the Chapter in a Box confirmation; on-site medical cover proportionate to numbers and activity; registration only through the platform with acceptance of the event terms and waiver, and guardian consent for minors; a named, visible, published safeguarding lead; a capacity cap set in the plan and enforced; for water events, qualified lifeguards, a safety boat, a briefing and a professional club partner, or no event; photography only with published notice and children identifiable only with parental consent; an event report within the Article 19 deadline.</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 NOVAC I EVIDENCIJA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MONEY AND RECORDS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13 — Osnovna pravila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13. Basic rules.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 sredstva prikupljena radom ogranka su sredstva udruženja i uplaćuju se na račun udruženja. Ogranak, njegova lica i volonteri ne smiju držati sredstva udruženja na ličnim računima, u privatnim kasama ni u gotovini duže nego što ova pravila dopuštaju.</w:t>
            </w:r>
          </w:p>
          <w:p>
            <w:pPr>
              <w:spacing w:after="100"/>
            </w:pPr>
            <w:r>
              <w:rPr>
                <w:rFonts w:ascii="Arial" w:cs="Arial" w:eastAsia="Arial" w:hAnsi="Arial"/>
                <w:sz w:val="18"/>
                <w:szCs w:val="18"/>
              </w:rPr>
              <w:t xml:space="preserve">Prilozi se prikupljaju prvenstveno preko platforme udruženja (kartica, uplata sa referencom, stranice učesnika). Gotovina se prima samo kada drugi način nije moguć.</w:t>
            </w:r>
          </w:p>
          <w:p>
            <w:pPr>
              <w:spacing w:after="100"/>
            </w:pPr>
            <w:r>
              <w:rPr>
                <w:rFonts w:ascii="Arial" w:cs="Arial" w:eastAsia="Arial" w:hAnsi="Arial"/>
                <w:sz w:val="18"/>
                <w:szCs w:val="18"/>
              </w:rPr>
              <w:t xml:space="preserve">Za primljenu gotovinu izdaje se numerisana potvrda iz bloka udruženja. Gotovinu prebrojavaju dva lica, od kojih jedno mora biti blagajnik ili rukovodilac ogranka, i oba potpisuju obračun. Iznos se unosi u evidenciju gotovine na platformi u roku od 48 sati, a polaže na račun udruženja u roku od pet radnih dana, sa referencom koja povezuje uplatu sa evidencijom. Do potvrde prijema od strane udruženja, iznos se na platformi vodi kao „predat na čekanju“.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13. Basic rules.</w:t>
            </w:r>
            <w:r>
              <w:rPr>
                <w:rFonts w:ascii="Arial" w:cs="Arial" w:eastAsia="Arial" w:hAnsi="Arial"/>
                <w:sz w:val="18"/>
                <w:szCs w:val="18"/>
              </w:rPr>
              <w:t xml:space="preserve"> All money raised by a chapter belongs to the association and goes into its account. No officer or volunteer may hold association money in personal accounts, private tills or in cash beyond what these rules allow. Donations are collected through the platform first (card, referenced transfer, fundraiser pages); cash only when nothing else works. Cash gets a numbered receipt from the association's book, is counted by two people, one of them the treasurer or lead, both signing; it is logged on the platform within 48 hours and deposited within five working days with a reference linking the deposit to the log. Until the association confirms receipt, the platform shows it as pending hand-in.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14 — Troškovi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14. Expenses.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Ogranak može napraviti trošak samo u okviru odobrenog budžeta i odobrenog događaja. Trošak preko [[PLACEHOLDER: iznos]] EUR po stavci, ili ukupno preko budžeta stavke za više od 10 procenata, traži prethodno pisano odobrenje Izvršnog direktora.</w:t>
            </w:r>
          </w:p>
          <w:p>
            <w:pPr>
              <w:spacing w:after="100"/>
            </w:pPr>
            <w:r>
              <w:rPr>
                <w:rFonts w:ascii="Arial" w:cs="Arial" w:eastAsia="Arial" w:hAnsi="Arial"/>
                <w:sz w:val="18"/>
                <w:szCs w:val="18"/>
              </w:rPr>
              <w:t xml:space="preserve">Račun glasi na udruženje, sa PIB-om udruženja. Plaćanja vrši udruženje sa svog računa. Lice koje je uz odobrenje platilo trošak sopstvenim sredstvima podnosi zahtjev za refundaciju sa računom u roku od 30 dana; udruženje refundira u roku od 15 dana od urednog zahtjeva.</w:t>
            </w:r>
          </w:p>
          <w:p>
            <w:pPr>
              <w:spacing w:after="100"/>
            </w:pPr>
            <w:r>
              <w:rPr>
                <w:rFonts w:ascii="Arial" w:cs="Arial" w:eastAsia="Arial" w:hAnsi="Arial"/>
                <w:sz w:val="18"/>
                <w:szCs w:val="18"/>
              </w:rPr>
              <w:t xml:space="preserve">Blagajnik može voditi sitne troškove u gotovini do [[PLACEHOLDER: iznos]] EUR ukupno, uz račun za svaku stavku i obračun na platformi u roku od sedam dana.</w:t>
            </w:r>
          </w:p>
          <w:p>
            <w:pPr>
              <w:spacing w:after="100"/>
            </w:pPr>
            <w:r>
              <w:rPr>
                <w:rFonts w:ascii="Arial" w:cs="Arial" w:eastAsia="Arial" w:hAnsi="Arial"/>
                <w:sz w:val="18"/>
                <w:szCs w:val="18"/>
              </w:rPr>
              <w:t xml:space="preserve">Ogranak ne isplaćuje sredstva korisnicima. O svakoj dodjeli odlučuje Komisija za dodjelu sredstava, a isplatu vrši udruženje (kriterijumi za dodjelu sredstava, odjeljak 11).</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14. Expenses.</w:t>
            </w:r>
            <w:r>
              <w:rPr>
                <w:rFonts w:ascii="Arial" w:cs="Arial" w:eastAsia="Arial" w:hAnsi="Arial"/>
                <w:sz w:val="18"/>
                <w:szCs w:val="18"/>
              </w:rPr>
              <w:t xml:space="preserve"> Only within the approved budget and an approved event. Any item above [amount] EUR, or any line exceeding its budget by more than 10 percent, needs the Director's prior written approval. Invoices are in the association's name with its PIB and paid from its account. Someone who paid an approved cost personally claims reimbursement with the invoice within 30 days and is repaid within 15. The treasurer may run petty cash up to [amount] EUR in total, with a receipt for every item and a reconciliation on the platform within seven days. Chapters never pay beneficiaries: the Grants Committee decides and the association pays (grant criteria, section 11).</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15 — Sponzorstva i pokloni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15. Sponsorship and gifts.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Sponzorstva, donacije privrednih društava i pokloni u naturi za događaje ogranka dogovaraju se u ime udruženja. Ugovor o sponzorstvu potpisuje Izvršni direktor; rukovodilac ogranka može voditi pregovore u okviru nacionalnih paketa i cjenovnika za sponzore.</w:t>
            </w:r>
          </w:p>
          <w:p>
            <w:pPr>
              <w:spacing w:after="100"/>
            </w:pPr>
            <w:r>
              <w:rPr>
                <w:rFonts w:ascii="Arial" w:cs="Arial" w:eastAsia="Arial" w:hAnsi="Arial"/>
                <w:sz w:val="18"/>
                <w:szCs w:val="18"/>
              </w:rPr>
              <w:t xml:space="preserve">Svaki poklon u naturi (oprema, hrana, usluge, prostor) evidentira se na platformi sa procijenjenom vrijednošću i imenom davaoca. Sponzorske obaveze prema davaocu (logotip, pominjanje, mjesto na događaju) evidentiraju se i ispunjavaju kako je ugovoreno.</w:t>
            </w:r>
          </w:p>
          <w:p>
            <w:pPr>
              <w:spacing w:after="100"/>
            </w:pPr>
            <w:r>
              <w:rPr>
                <w:rFonts w:ascii="Arial" w:cs="Arial" w:eastAsia="Arial" w:hAnsi="Arial"/>
                <w:sz w:val="18"/>
                <w:szCs w:val="18"/>
              </w:rPr>
              <w:t xml:space="preserve">Lica ogranka ne mogu primati lične poklone, naknade ni pogodnosti od sponzora, dobavljača ili korisnika.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15. Sponsorship and gifts.</w:t>
            </w:r>
            <w:r>
              <w:rPr>
                <w:rFonts w:ascii="Arial" w:cs="Arial" w:eastAsia="Arial" w:hAnsi="Arial"/>
                <w:sz w:val="18"/>
                <w:szCs w:val="18"/>
              </w:rPr>
              <w:t xml:space="preserve"> Negotiated in the association's name; the Director signs sponsorship contracts, the lead may negotiate within the national sponsor packages and price list. Every in-kind gift is logged with an estimated value and the giver's name; deliverables owed to sponsors are recorded and honoured. Chapter officers accept no personal gifts, fees or favours from sponsors, suppliers or beneficiaries.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16 — Raspodjela sredstava prikupljenih na području ogranka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16. Split of money raised in the area.</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Sredstva prikupljena na području ogranka raspoređuju se po objavljenoj formuli koju udruženje vodi za svaki ogranak na platformi: [[PLACEHOLDER: procenat, vodič tima predviđa 70]] procenata korisnicima sa područja ogranka, [[PLACEHOLDER: procenat, 20]] procenata nacionalnim operacijama i [[PLACEHOLDER: procenat, 10]] procenata Fondu solidarnosti za područja sa najvećom potrebom i najmanjim mogućnostima prikupljanja.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Dobrovoljni prilozi i donacije prikupljeni za korisnike ne umanjuju se za troškove rada udruženja (Statut, član 34 stav 2). </w:t>
            </w:r>
            <w:r>
              <w:rPr>
                <w:rFonts w:ascii="Arial" w:cs="Arial" w:eastAsia="Arial" w:hAnsi="Arial"/>
                <w:b/>
                <w:bCs/>
                <w:sz w:val="18"/>
                <w:szCs w:val="18"/>
              </w:rPr>
              <w:t xml:space="preserve">CHECK:</w:t>
            </w:r>
            <w:r>
              <w:rPr>
                <w:rFonts w:ascii="Arial" w:cs="Arial" w:eastAsia="Arial" w:hAnsi="Arial"/>
                <w:sz w:val="18"/>
                <w:szCs w:val="18"/>
              </w:rPr>
              <w:t xml:space="preserve"> the lawyer and the Board must state how the operations share in the published split relates to that promise; the team guide applies the split to every euro raised in a town, while the two-fund rule sends donations to beneficiaries in full. The platform stores the split per chapter in basis points, so it can be applied to sponsorship and entry fees only, or to everything; the Board decides and the formula is published in whichever form is adopted.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 dodjeli dijela namijenjenog korisnicima sa područja ogranka odlučuje Komisija za dodjelu sredstava po kriterijumima za dodjelu sredstava.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16. Split of money raised in the area.</w:t>
            </w:r>
            <w:r>
              <w:rPr>
                <w:rFonts w:ascii="Arial" w:cs="Arial" w:eastAsia="Arial" w:hAnsi="Arial"/>
                <w:sz w:val="18"/>
                <w:szCs w:val="18"/>
              </w:rPr>
              <w:t xml:space="preserve"> Distributed by the published formula the platform keeps per chapter: [70] percent to beneficiaries in the area, [20] percent to national operations, [10] percent to the Solidarity Fund for areas with the greatest need and the smallest start lines. Donations collected for beneficiaries are not reduced by operating costs (Statute Art. 34 para. 2); see the CHECK above on reconciling the two. The Grants Committee allocates the local beneficiaries' share under the grant criteria.*</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 — Evidencija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 Records.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Ogranak vodi na platformi udruženja: evidenciju prihoda po događaju i izvoru; evidenciju rashoda sa dokumentima; evidenciju gotovine; registar volontera sa evidencijom obuke; zapisnike sastanaka; izvještaje o događajima; evidenciju dozvola, osiguranja i incidenata.</w:t>
            </w:r>
          </w:p>
          <w:p>
            <w:pPr>
              <w:spacing w:after="100"/>
            </w:pPr>
            <w:r>
              <w:rPr>
                <w:rFonts w:ascii="Arial" w:cs="Arial" w:eastAsia="Arial" w:hAnsi="Arial"/>
                <w:sz w:val="18"/>
                <w:szCs w:val="18"/>
              </w:rPr>
              <w:t xml:space="preserve">Dokumentacija u papirnom obliku (potvrde o gotovini, potpisani obračuni, dozvole) predaje se udruženju u roku od 30 dana od događaja. Ogranak ne vodi paralelne evidencije van platforme.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 Records.</w:t>
            </w:r>
            <w:r>
              <w:rPr>
                <w:rFonts w:ascii="Arial" w:cs="Arial" w:eastAsia="Arial" w:hAnsi="Arial"/>
                <w:sz w:val="18"/>
                <w:szCs w:val="18"/>
              </w:rPr>
              <w:t xml:space="preserve"> Kept on the platform: income by event and source; expenses with documents; the cash log; the volunteer register with briefing records; meeting minutes; event reports; permits, insurance and incidents. Paper originals (cash receipts, signed counts, permits) go to the association within 30 days of the event. No parallel records outside the platform.</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 NAZIV, ZNAK I JAVNI NASTUP</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NAME, MARK AND PUBLIC VOICE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18 — Upotreba naziva i znaka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18. Name, mark and public voice.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Ogranak koristi naziv isključivo u obliku iz odluke o osnivanju („Santamore“ i naziv opštine) i logotip, boje i šablone iz Paketa za ogranak, bez izmjena. Naziv i znak koriste se samo za aktivnosti odobrene po ovim pravilima.</w:t>
            </w:r>
          </w:p>
          <w:p>
            <w:pPr>
              <w:spacing w:after="100"/>
            </w:pPr>
            <w:r>
              <w:rPr>
                <w:rFonts w:ascii="Arial" w:cs="Arial" w:eastAsia="Arial" w:hAnsi="Arial"/>
                <w:sz w:val="18"/>
                <w:szCs w:val="18"/>
              </w:rPr>
              <w:t xml:space="preserve">Nalozi na društvenim mrežama, adrese e-pošte i internet stranice koje nose naziv ogranka pripadaju udruženju. Otvara ih udruženje, pristupne podatke čuva Izvršni direktor, a ogranku se dodjeljuje pristup za objavljivanje. Lice kome prestane funkcija gubi pristup istog dana.</w:t>
            </w:r>
          </w:p>
          <w:p>
            <w:pPr>
              <w:spacing w:after="100"/>
            </w:pPr>
            <w:r>
              <w:rPr>
                <w:rFonts w:ascii="Arial" w:cs="Arial" w:eastAsia="Arial" w:hAnsi="Arial"/>
                <w:sz w:val="18"/>
                <w:szCs w:val="18"/>
              </w:rPr>
              <w:t xml:space="preserve">Rukovodilac ogranka može davati izjave za medije o događajima i radu ogranka. Izjave o politici udruženja, finansijama, korisnicima ili incidentima daje samo Izvršni direktor ili lice koje on ovlasti. Svaki medijski upit o tim temama prosljeđuje se Izvršnom direktoru istog dana.</w:t>
            </w:r>
          </w:p>
          <w:p>
            <w:pPr>
              <w:spacing w:after="100"/>
            </w:pPr>
            <w:r>
              <w:rPr>
                <w:rFonts w:ascii="Arial" w:cs="Arial" w:eastAsia="Arial" w:hAnsi="Arial"/>
                <w:sz w:val="18"/>
                <w:szCs w:val="18"/>
              </w:rPr>
              <w:t xml:space="preserve">Logotipi sponzora prikazuju se u skladu sa nacionalnim paketima za sponzore. Ogranak ne može objaviti materijal koji sadrži političku poruku, vjersku poruku ili sadržaj suprotan ciljevima udruženja.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18. Name, mark and public voice.</w:t>
            </w:r>
            <w:r>
              <w:rPr>
                <w:rFonts w:ascii="Arial" w:cs="Arial" w:eastAsia="Arial" w:hAnsi="Arial"/>
                <w:sz w:val="18"/>
                <w:szCs w:val="18"/>
              </w:rPr>
              <w:t xml:space="preserve"> Only the founding-decision form of the name and the unmodified brand kit, only for approved activity. Social accounts, email addresses and web pages carrying the chapter name belong to the association, which opens them and holds the credentials; the chapter gets posting access, revoked the day an officer's function ends. The lead may speak to media about chapter events and work; the Director or a delegate speaks on policy, finances, beneficiaries and incidents, and such enquiries are forwarded the same day. Sponsor logos follow the national packages. No political or religious messaging, nothing contrary to the association's goals.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VII. IZVJEŠTAVANJE I SARADNJA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REPORTING AND COOPERATION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19 — Izvještaji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19. Reports.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Rukovodilac ogranka podnosi Izvršnom direktoru, preko platforme:</w:t>
            </w:r>
          </w:p>
          <w:p>
            <w:pPr>
              <w:pStyle w:val="ListParagraph"/>
              <w:numPr>
                <w:ilvl w:val="0"/>
                <w:numId w:val="7"/>
              </w:numPr>
              <w:spacing w:after="40"/>
            </w:pPr>
            <w:r>
              <w:rPr>
                <w:rFonts w:ascii="Arial" w:cs="Arial" w:eastAsia="Arial" w:hAnsi="Arial"/>
                <w:b/>
                <w:bCs/>
                <w:sz w:val="18"/>
                <w:szCs w:val="18"/>
              </w:rPr>
              <w:t xml:space="preserve">izvještaj o događaju</w:t>
            </w:r>
            <w:r>
              <w:rPr>
                <w:rFonts w:ascii="Arial" w:cs="Arial" w:eastAsia="Arial" w:hAnsi="Arial"/>
                <w:sz w:val="18"/>
                <w:szCs w:val="18"/>
              </w:rPr>
              <w:t xml:space="preserve"> u roku od 14 dana od održavanja: broj učesnika i volontera, prikupljena sredstva po izvoru, troškovi, sponzori i pokloni u naturi, incidenti i prigovori, fotografije sa evidencijom saglasnosti, naučene lekcije;</w:t>
            </w:r>
          </w:p>
          <w:p>
            <w:pPr>
              <w:pStyle w:val="ListParagraph"/>
              <w:numPr>
                <w:ilvl w:val="0"/>
                <w:numId w:val="7"/>
              </w:numPr>
              <w:spacing w:after="40"/>
            </w:pPr>
            <w:r>
              <w:rPr>
                <w:rFonts w:ascii="Arial" w:cs="Arial" w:eastAsia="Arial" w:hAnsi="Arial"/>
                <w:b/>
                <w:bCs/>
                <w:sz w:val="18"/>
                <w:szCs w:val="18"/>
              </w:rPr>
              <w:t xml:space="preserve">tromjesečni izvještaj</w:t>
            </w:r>
            <w:r>
              <w:rPr>
                <w:rFonts w:ascii="Arial" w:cs="Arial" w:eastAsia="Arial" w:hAnsi="Arial"/>
                <w:sz w:val="18"/>
                <w:szCs w:val="18"/>
              </w:rPr>
              <w:t xml:space="preserve"> do 15. u mjesecu nakon tromjesečja: aktivnosti, prihodi i rashodi u odnosu na budžet, stanje gotovine i predaja, volonteri, partneri, planovi za naredno tromjesečje;</w:t>
            </w:r>
          </w:p>
          <w:p>
            <w:pPr>
              <w:pStyle w:val="ListParagraph"/>
              <w:numPr>
                <w:ilvl w:val="0"/>
                <w:numId w:val="7"/>
              </w:numPr>
              <w:spacing w:after="40"/>
            </w:pPr>
            <w:r>
              <w:rPr>
                <w:rFonts w:ascii="Arial" w:cs="Arial" w:eastAsia="Arial" w:hAnsi="Arial"/>
                <w:b/>
                <w:bCs/>
                <w:sz w:val="18"/>
                <w:szCs w:val="18"/>
              </w:rPr>
              <w:t xml:space="preserve">godišnji izvještaj</w:t>
            </w:r>
            <w:r>
              <w:rPr>
                <w:rFonts w:ascii="Arial" w:cs="Arial" w:eastAsia="Arial" w:hAnsi="Arial"/>
                <w:sz w:val="18"/>
                <w:szCs w:val="18"/>
              </w:rPr>
              <w:t xml:space="preserve"> do [[PLACEHOLDER: datum, npr. 31. januara]]: sve iz tromjesečnih izvještaja za godinu, ocjena ispunjenja plana i predlozi za naredni plan.</w:t>
            </w:r>
          </w:p>
          <w:p>
            <w:pPr>
              <w:spacing w:after="100"/>
            </w:pPr>
            <w:r>
              <w:rPr>
                <w:rFonts w:ascii="Arial" w:cs="Arial" w:eastAsia="Arial" w:hAnsi="Arial"/>
                <w:sz w:val="18"/>
                <w:szCs w:val="18"/>
              </w:rPr>
              <w:t xml:space="preserve">Ogranak ispunjava svoju obavezu iz Statuta (član 41) ako je u godini održao najmanje jedan odobreni javni događaj i podnio sve izvještaje iz ovog člana. Izvršni direktor to konstatuje u izvještaju Upravnom odboru za svaki ogranak posebno.</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19. Reports.</w:t>
            </w:r>
            <w:r>
              <w:rPr>
                <w:rFonts w:ascii="Arial" w:cs="Arial" w:eastAsia="Arial" w:hAnsi="Arial"/>
                <w:sz w:val="18"/>
                <w:szCs w:val="18"/>
              </w:rPr>
              <w:t xml:space="preserve"> Through the platform: an event report within 14 days (participants and volunteers, funds by source, costs, sponsors and in-kind gifts, incidents and complaints, photos with consent records, lessons); a quarterly report by the 15th of the following month (activity, income and expenditure against budget, cash position and hand-ins, volunteers, partners, next quarter); an annual report by [date]. A chapter meets its charter for the year if it held at least one approved public event and filed every report; the Director records this per chapter in the report to the Board.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20 — Saradnja sa Izvršnim direktorom</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20. Working with the Director.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Nacionalni kontakt iz člana 4 održava redovan mjesečni razgovor sa rukovodiocem ogranka i prvi je kome se ogranak obraća za pitanja, materijale i odobrenja.</w:t>
            </w:r>
          </w:p>
          <w:p>
            <w:pPr>
              <w:spacing w:after="100"/>
            </w:pPr>
            <w:r>
              <w:rPr>
                <w:rFonts w:ascii="Arial" w:cs="Arial" w:eastAsia="Arial" w:hAnsi="Arial"/>
                <w:sz w:val="18"/>
                <w:szCs w:val="18"/>
              </w:rPr>
              <w:t xml:space="preserve">Izvršni direktor rukovodi radom ogranaka (Statut, član 28): daje uputstva, usaglašava kalendare, odobrava događaje i troškove, i može ogranku naložiti da obustavi aktivnost koja nije u skladu sa Statutom, ovim pravilima, zakonom ili odobrenjem. Nalog o obustavi je obavezujući odmah, a ogranak može zatražiti da ga Upravni odbor preispita na prvoj narednoj sjednici.</w:t>
            </w:r>
          </w:p>
          <w:p>
            <w:pPr>
              <w:spacing w:after="100"/>
            </w:pPr>
            <w:r>
              <w:rPr>
                <w:rFonts w:ascii="Arial" w:cs="Arial" w:eastAsia="Arial" w:hAnsi="Arial"/>
                <w:sz w:val="18"/>
                <w:szCs w:val="18"/>
              </w:rPr>
              <w:t xml:space="preserve">Ogranci međusobno sarađuju i razmjenjuju iskustva; Izvršni direktor najmanje jednom godišnje okuplja rukovodioce svih ogranaka.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20. Working with the Director.</w:t>
            </w:r>
            <w:r>
              <w:rPr>
                <w:rFonts w:ascii="Arial" w:cs="Arial" w:eastAsia="Arial" w:hAnsi="Arial"/>
                <w:sz w:val="18"/>
                <w:szCs w:val="18"/>
              </w:rPr>
              <w:t xml:space="preserve"> The named national contact holds a monthly call with the lead and is the first port of call. The Director directs the chapters (Statute Art. 28): instructions, calendars, event and expense approvals, and may order a chapter to stop any activity that breaches the Statute, these rules, the law or an approval; the order is binding at once and the chapter may ask the Board to review it at its next meeting. Chapters cooperate; the Director gathers all chapter leads at least once a year.</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21 — Zaštita djece i incidenti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21. Safeguarding and incidents.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sve aktivnosti ogranka primjenjuje se politika zaštite djece udruženja: nema kontakta odrasle osobe sa djetetom bez prisustva drugih, svi volonteri prolaze brifing, djeca se fotografišu samo uz saglasnost roditelja, a na svakom događaju je imenovano lice za zaštitu djece.</w:t>
            </w:r>
          </w:p>
          <w:p>
            <w:pPr>
              <w:spacing w:after="100"/>
            </w:pPr>
            <w:r>
              <w:rPr>
                <w:rFonts w:ascii="Arial" w:cs="Arial" w:eastAsia="Arial" w:hAnsi="Arial"/>
                <w:sz w:val="18"/>
                <w:szCs w:val="18"/>
              </w:rPr>
              <w:t xml:space="preserve">Svaki incident (povreda, nesreća u vodi, prigovor u vezi sa djetetom, gubitak novca, sukob sa učesnikom ili partnerom, medijski događaj) prijavljuje se Izvršnom direktoru i, kada se tiče djeteta, nacionalnom licu za zaštitu djece odmah, a najkasnije u roku od 24 sata, na obrascu iz Paketa za ogranak. Nadležnim organima prijavljuje udruženje.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21. Safeguarding and incidents.</w:t>
            </w:r>
            <w:r>
              <w:rPr>
                <w:rFonts w:ascii="Arial" w:cs="Arial" w:eastAsia="Arial" w:hAnsi="Arial"/>
                <w:sz w:val="18"/>
                <w:szCs w:val="18"/>
              </w:rPr>
              <w:t xml:space="preserve"> The association's safeguarding policy applies to all chapter activity: no one-to-one adult contact with a child, briefed volunteers, children photographed only with parental consent, a named safeguarding lead at every event. Every incident (injury, water accident, a concern about a child, missing money, a dispute with a participant or partner, a media event) is reported to the Director, and for a child to the national safeguarding lead, at once and within 24 hours on the pack's form. The association makes any report to the authorities.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VIII. MJERE I PRESTANAK</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MEASURES AND DISSOLUTION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22 — Mjere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22. Measures.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Ako ogranak ili neko od njegovih lica postupa suprotno Statutu, ovim pravilima ili odobrenju, Izvršni direktor može: izreći pisanu opomenu; obustaviti događaj ili aktivnost; privremeno, do 60 dana, oduzeti ovlašćenja licu ogranka i odrediti zamjenu. O privremenom oduzimanju ovlašćenja obavještava Upravni odbor, koji na prvoj narednoj sjednici odlučuje o razrješenju lica ili o vraćanju ovlašćenja.</w:t>
            </w:r>
          </w:p>
          <w:p>
            <w:pPr>
              <w:spacing w:after="100"/>
            </w:pPr>
            <w:r>
              <w:rPr>
                <w:rFonts w:ascii="Arial" w:cs="Arial" w:eastAsia="Arial" w:hAnsi="Arial"/>
                <w:sz w:val="18"/>
                <w:szCs w:val="18"/>
              </w:rPr>
              <w:t xml:space="preserve">Lice ogranka ima pravo da se izjasni prije odluke Upravnog odbora.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22. Measures.</w:t>
            </w:r>
            <w:r>
              <w:rPr>
                <w:rFonts w:ascii="Arial" w:cs="Arial" w:eastAsia="Arial" w:hAnsi="Arial"/>
                <w:sz w:val="18"/>
                <w:szCs w:val="18"/>
              </w:rPr>
              <w:t xml:space="preserve"> For breaches the Director may issue a written warning, stop an event or activity, or suspend an officer's authority for up to 60 days and designate a replacement, informing the Board, which at its next meeting dismisses the officer or restores their authority. The officer has the right to be heard first.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23 — Prestanak rada ogranka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23. Dissolution.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Upravni odbor ukida ogranak u slučajevima iz člana 44 Statuta. Prije odluke o ukidanju zbog neaktivnosti ili povrede pravila, Izvršni direktor pisano upozorava ogranak i ostavlja rok od najmanje 60 dana za otklanjanje razloga.</w:t>
            </w:r>
          </w:p>
          <w:p>
            <w:pPr>
              <w:spacing w:after="100"/>
            </w:pPr>
            <w:r>
              <w:rPr>
                <w:rFonts w:ascii="Arial" w:cs="Arial" w:eastAsia="Arial" w:hAnsi="Arial"/>
                <w:sz w:val="18"/>
                <w:szCs w:val="18"/>
              </w:rPr>
              <w:t xml:space="preserve">Po ukidanju, rukovodilac ogranka u roku od 15 dana predaje udruženju svu dokumentaciju, materijale, opremu i pristupne podatke. Sredstva evidentirana za ogranak ostaju namijenjena korisnicima sa njegovog područja, a o njima odlučuje Komisija za dodjelu sredstava.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23. Dissolution.</w:t>
            </w:r>
            <w:r>
              <w:rPr>
                <w:rFonts w:ascii="Arial" w:cs="Arial" w:eastAsia="Arial" w:hAnsi="Arial"/>
                <w:sz w:val="18"/>
                <w:szCs w:val="18"/>
              </w:rPr>
              <w:t xml:space="preserve"> The Board dissolves a chapter in the cases of Statute Art. 44; before dissolving for inactivity or breach, the Director warns in writing and allows at least 60 days to cure. On dissolution the lead hands over all records, materials, equipment and credentials within 15 days. Funds recorded for the chapter stay earmarked for its area's beneficiaries, allocated by the Grants Committee.</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IX. PRELAZNE I ZAVRŠNE ODREDBE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TRANSITIONAL AND FINAL PROVISIONS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24</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24.</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Ogranak za područje opštine Tivat, sa Bokom Kotorskom kao početnim područjem djelovanja, prvi je ogranak udruženja i osniva se odlukom Upravnog odbora na prvoj sjednici po registraciji udruženja, bez predloga iz člana 3.</w:t>
            </w:r>
          </w:p>
          <w:p>
            <w:pPr>
              <w:spacing w:after="100"/>
            </w:pPr>
            <w:r>
              <w:rPr>
                <w:rFonts w:ascii="Arial" w:cs="Arial" w:eastAsia="Arial" w:hAnsi="Arial"/>
                <w:sz w:val="18"/>
                <w:szCs w:val="18"/>
              </w:rPr>
              <w:t xml:space="preserve">Ova pravila stupaju na snagu danom usvajanja na Upravnom odboru i objavljuju se članovima na platformi udruženja. Upravni odbor ih preispituje najmanje jednom godišnje, po izvještaju Izvršnog direktora o radu ogranaka.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24.</w:t>
            </w:r>
            <w:r>
              <w:rPr>
                <w:rFonts w:ascii="Arial" w:cs="Arial" w:eastAsia="Arial" w:hAnsi="Arial"/>
                <w:sz w:val="18"/>
                <w:szCs w:val="18"/>
              </w:rPr>
              <w:t xml:space="preserve"> The Tivat chapter, with the Bay of Kotor as its initial area, is the first chapter, founded by the Board at its first meeting after registration without an Article 3 proposal. These rules take effect on adoption by the Board, are published to members on the platform, and are reviewed at least yearly on the Director's report on the chapters.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X. Parametri za Upravni odbor i provjere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Parameters for the Board and checks</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Suggested starting values, each a single line to change:</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Parameter</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Suggested</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Where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Annual plan deadline / Rok za godišnji plan</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31 October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10</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Event notice / Najava događaja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60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11</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Complete file / Kompletna dokumentacija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30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11</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Participant threshold for national sign-off / Prag za nacionalnu saglasnost</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200 participants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11</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Expense needing Director approval / Trošak uz odobrenje direktora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300 EUR per item</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14</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Petty cash / Sitni troškovi u gotovini</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200 EUR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14</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Split local / national / solidarity</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70 / 20 / 10 (team guide)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16</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Annual report deadline / Rok za godišnji izvještaj</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31 January</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19</w:t>
                  </w:r>
                </w:p>
              </w:tc>
            </w:tr>
          </w:tbl>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CHECK with the accountant:</w:t>
            </w:r>
            <w:r>
              <w:rPr>
                <w:rFonts w:ascii="Arial" w:cs="Arial" w:eastAsia="Arial" w:hAnsi="Arial"/>
                <w:sz w:val="18"/>
                <w:szCs w:val="18"/>
              </w:rPr>
              <w:t xml:space="preserve"> cash receipt books and deposit references against Montenegrin bookkeeping rules; whether in-kind gifts must be valued and booked; how the per-chapter split is recorded in the books. </w:t>
            </w:r>
            <w:r>
              <w:rPr>
                <w:rFonts w:ascii="Arial" w:cs="Arial" w:eastAsia="Arial" w:hAnsi="Arial"/>
                <w:b/>
                <w:bCs/>
                <w:sz w:val="18"/>
                <w:szCs w:val="18"/>
              </w:rPr>
              <w:t xml:space="preserve">CHECK with the lawyer:</w:t>
            </w:r>
            <w:r>
              <w:rPr>
                <w:rFonts w:ascii="Arial" w:cs="Arial" w:eastAsia="Arial" w:hAnsi="Arial"/>
                <w:sz w:val="18"/>
                <w:szCs w:val="18"/>
              </w:rPr>
              <w:t xml:space="preserve"> the Article 16 reconciliation between the published split and the 100 percent-of-donations rule; insurance wording so chapter events are covered; the Director's power to suspend an officer (Art. 22) against the Statute's dismissal rules. </w:t>
            </w:r>
            <w:r>
              <w:rPr>
                <w:rFonts w:ascii="Arial" w:cs="Arial" w:eastAsia="Arial" w:hAnsi="Arial"/>
                <w:b/>
                <w:bCs/>
                <w:sz w:val="18"/>
                <w:szCs w:val="18"/>
              </w:rPr>
              <w:t xml:space="preserve">CHECK with the insurer:</w:t>
            </w:r>
            <w:r>
              <w:rPr>
                <w:rFonts w:ascii="Arial" w:cs="Arial" w:eastAsia="Arial" w:hAnsi="Arial"/>
                <w:sz w:val="18"/>
                <w:szCs w:val="18"/>
              </w:rPr>
              <w:t xml:space="preserve"> conditions (lifeguards, medical cover, capacity) under which the policy covers water events.</w:t>
            </w:r>
          </w:p>
          <w:p>
            <w:pPr>
              <w:spacing w:after="100"/>
            </w:pPr>
            <w:r>
              <w:rPr>
                <w:rFonts w:ascii="Arial" w:cs="Arial" w:eastAsia="Arial" w:hAnsi="Arial"/>
                <w:b/>
                <w:bCs/>
                <w:sz w:val="18"/>
                <w:szCs w:val="18"/>
              </w:rPr>
              <w:t xml:space="preserve">Platform notes.</w:t>
            </w:r>
            <w:r>
              <w:rPr>
                <w:rFonts w:ascii="Arial" w:cs="Arial" w:eastAsia="Arial" w:hAnsi="Arial"/>
                <w:sz w:val="18"/>
                <w:szCs w:val="18"/>
              </w:rPr>
              <w:t xml:space="preserve"> The chapters table already stores the split in basis points per chapter (</w:t>
            </w:r>
            <w:r>
              <w:rPr>
                <w:rFonts w:ascii="Courier New" w:cs="Courier New" w:eastAsia="Courier New" w:hAnsi="Courier New"/>
                <w:sz w:val="18"/>
                <w:szCs w:val="18"/>
              </w:rPr>
              <w:t xml:space="preserve">split_local_bp</w:t>
            </w:r>
            <w:r>
              <w:rPr>
                <w:rFonts w:ascii="Arial" w:cs="Arial" w:eastAsia="Arial" w:hAnsi="Arial"/>
                <w:sz w:val="18"/>
                <w:szCs w:val="18"/>
              </w:rPr>
              <w:t xml:space="preserve">, </w:t>
            </w:r>
            <w:r>
              <w:rPr>
                <w:rFonts w:ascii="Courier New" w:cs="Courier New" w:eastAsia="Courier New" w:hAnsi="Courier New"/>
                <w:sz w:val="18"/>
                <w:szCs w:val="18"/>
              </w:rPr>
              <w:t xml:space="preserve">split_national_bp</w:t>
            </w:r>
            <w:r>
              <w:rPr>
                <w:rFonts w:ascii="Arial" w:cs="Arial" w:eastAsia="Arial" w:hAnsi="Arial"/>
                <w:sz w:val="18"/>
                <w:szCs w:val="18"/>
              </w:rPr>
              <w:t xml:space="preserve">, </w:t>
            </w:r>
            <w:r>
              <w:rPr>
                <w:rFonts w:ascii="Courier New" w:cs="Courier New" w:eastAsia="Courier New" w:hAnsi="Courier New"/>
                <w:sz w:val="18"/>
                <w:szCs w:val="18"/>
              </w:rPr>
              <w:t xml:space="preserve">split_solidarity_bp</w:t>
            </w:r>
            <w:r>
              <w:rPr>
                <w:rFonts w:ascii="Arial" w:cs="Arial" w:eastAsia="Arial" w:hAnsi="Arial"/>
                <w:sz w:val="18"/>
                <w:szCs w:val="18"/>
              </w:rPr>
              <w:t xml:space="preserve">); the cash log with hand-in status and the volunteer register exist in the brief. Missing for these rules: a per-chapter event approval record with the Article 11 checklist, and a place to file event and quarterly reports. Both are later code changes.</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2026-09-21T20:00:31.026Z</dcterms:created>
  <dcterms:modified xsi:type="dcterms:W3CDTF">2026-09-21T20:00:31.026Z</dcterms:modified>
</cp:coreProperties>
</file>

<file path=docProps/custom.xml><?xml version="1.0" encoding="utf-8"?>
<Properties xmlns="http://schemas.openxmlformats.org/officeDocument/2006/custom-properties" xmlns:vt="http://schemas.openxmlformats.org/officeDocument/2006/docPropsVTypes"/>
</file>