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5884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center"/>
        <w:rPr>
          <w:sz w:val="44"/>
          <w:szCs w:val="44"/>
          <w:lang w:val="de-DE"/>
        </w:rPr>
      </w:pPr>
      <w:r>
        <w:rPr>
          <w:sz w:val="44"/>
          <w:szCs w:val="44"/>
          <w:lang w:val="de-DE"/>
        </w:rPr>
        <w:t>Tatsuro Senga</w:t>
      </w:r>
    </w:p>
    <w:p w14:paraId="31EFBE0F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center"/>
        <w:rPr>
          <w:rStyle w:val="NoneA"/>
          <w:sz w:val="24"/>
          <w:szCs w:val="24"/>
        </w:rPr>
      </w:pPr>
    </w:p>
    <w:p w14:paraId="555B13E6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Contact Information</w:t>
      </w:r>
    </w:p>
    <w:p w14:paraId="22173F37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sz w:val="24"/>
          <w:szCs w:val="24"/>
        </w:rPr>
      </w:pPr>
      <w:r>
        <w:rPr>
          <w:sz w:val="24"/>
          <w:szCs w:val="24"/>
        </w:rPr>
        <w:t xml:space="preserve">Faculty of Economics </w:t>
      </w:r>
    </w:p>
    <w:p w14:paraId="70E0E098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Keio University</w:t>
      </w:r>
    </w:p>
    <w:p w14:paraId="7E150939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sz w:val="24"/>
          <w:szCs w:val="24"/>
          <w:lang w:val="de-DE"/>
        </w:rPr>
        <w:sectPr w:rsidR="003B68CF">
          <w:headerReference w:type="default" r:id="rId7"/>
          <w:footerReference w:type="default" r:id="rId8"/>
          <w:pgSz w:w="12240" w:h="15840"/>
          <w:pgMar w:top="1440" w:right="1080" w:bottom="1440" w:left="1080" w:header="567" w:footer="680" w:gutter="0"/>
          <w:cols w:space="720"/>
        </w:sectPr>
      </w:pPr>
      <w:r>
        <w:rPr>
          <w:sz w:val="24"/>
          <w:szCs w:val="24"/>
          <w:lang w:val="de-DE"/>
        </w:rPr>
        <w:t>2-15-45 Mita Minato-ku, Tokyo 108-8345</w:t>
      </w:r>
    </w:p>
    <w:p w14:paraId="080FC007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sz w:val="24"/>
          <w:szCs w:val="24"/>
        </w:rPr>
      </w:pPr>
      <w:r>
        <w:rPr>
          <w:sz w:val="24"/>
          <w:szCs w:val="24"/>
        </w:rPr>
        <w:t>Email: t.senga [at] keio.jp</w:t>
      </w:r>
    </w:p>
    <w:p w14:paraId="5F468ACF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</w:rPr>
      </w:pPr>
      <w:r>
        <w:rPr>
          <w:sz w:val="24"/>
          <w:szCs w:val="24"/>
        </w:rPr>
        <w:t>Website</w:t>
      </w:r>
      <w:r>
        <w:rPr>
          <w:rStyle w:val="NoneA"/>
        </w:rPr>
        <w:t xml:space="preserve">: </w:t>
      </w:r>
      <w:hyperlink r:id="rId9" w:history="1">
        <w:r>
          <w:rPr>
            <w:rStyle w:val="Hyperlink0"/>
          </w:rPr>
          <w:t>http://www.tatsuro-senga.net</w:t>
        </w:r>
      </w:hyperlink>
    </w:p>
    <w:p w14:paraId="3047FEDE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</w:rPr>
      </w:pPr>
    </w:p>
    <w:p w14:paraId="5509520E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</w:rPr>
      </w:pPr>
    </w:p>
    <w:p w14:paraId="619DC0E5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  <w:sz w:val="24"/>
          <w:szCs w:val="24"/>
        </w:rPr>
      </w:pPr>
    </w:p>
    <w:p w14:paraId="7BFDFAE9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LinkA"/>
          <w:sz w:val="24"/>
          <w:szCs w:val="24"/>
        </w:rPr>
      </w:pPr>
    </w:p>
    <w:p w14:paraId="598FC829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LinkA"/>
        </w:rPr>
        <w:sectPr w:rsidR="003B68CF">
          <w:type w:val="continuous"/>
          <w:pgSz w:w="12240" w:h="15840"/>
          <w:pgMar w:top="1440" w:right="1080" w:bottom="1440" w:left="1080" w:header="567" w:footer="680" w:gutter="0"/>
          <w:cols w:num="2" w:space="720"/>
        </w:sectPr>
      </w:pPr>
    </w:p>
    <w:p w14:paraId="7BFEAF1F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line="360" w:lineRule="auto"/>
        <w:rPr>
          <w:rStyle w:val="None"/>
          <w:b/>
          <w:bCs/>
          <w:sz w:val="24"/>
          <w:szCs w:val="24"/>
          <w:lang w:val="de-DE"/>
        </w:rPr>
      </w:pPr>
      <w:r>
        <w:rPr>
          <w:rStyle w:val="None"/>
          <w:b/>
          <w:bCs/>
          <w:sz w:val="24"/>
          <w:szCs w:val="24"/>
          <w:u w:val="single"/>
          <w:lang w:val="de-DE"/>
        </w:rPr>
        <w:t>Current Position</w:t>
      </w:r>
    </w:p>
    <w:p w14:paraId="74913D7B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60"/>
        <w:ind w:left="1418" w:hanging="1418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lang w:val="pt-PT"/>
        </w:rPr>
        <w:t xml:space="preserve">2020-present  Associate Professor, Keio University </w:t>
      </w:r>
    </w:p>
    <w:p w14:paraId="02F09664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60"/>
        <w:ind w:left="1418" w:hanging="1418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2023-2025  Senior Lecturer, Queen Mary University of London</w:t>
      </w:r>
    </w:p>
    <w:p w14:paraId="62C633CC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60"/>
        <w:ind w:left="1418" w:hanging="1418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2015-2023</w:t>
      </w:r>
      <w:r>
        <w:rPr>
          <w:rStyle w:val="None"/>
          <w:b/>
          <w:bCs/>
          <w:sz w:val="24"/>
          <w:szCs w:val="24"/>
        </w:rPr>
        <w:t xml:space="preserve">  </w:t>
      </w:r>
      <w:r>
        <w:rPr>
          <w:rStyle w:val="None"/>
          <w:sz w:val="24"/>
          <w:szCs w:val="24"/>
        </w:rPr>
        <w:t xml:space="preserve">Lecturer, Queen Mary University of London </w:t>
      </w:r>
    </w:p>
    <w:p w14:paraId="68BDFF29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60"/>
        <w:ind w:left="1418" w:hanging="1418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2016-present  Fellow, Research Institute of Economy, Trade and Industry (RIETI)</w:t>
      </w:r>
    </w:p>
    <w:p w14:paraId="5BF2C7DF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60"/>
        <w:ind w:left="1418" w:hanging="1418"/>
        <w:rPr>
          <w:rStyle w:val="NoneA"/>
        </w:rPr>
      </w:pPr>
      <w:r>
        <w:rPr>
          <w:rStyle w:val="None"/>
          <w:sz w:val="24"/>
          <w:szCs w:val="24"/>
        </w:rPr>
        <w:t>2017-present  Research Associates, Economic Statistics Centre of Excellence (ESCoE)</w:t>
      </w:r>
    </w:p>
    <w:p w14:paraId="0BEA9925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  <w:sz w:val="24"/>
          <w:szCs w:val="24"/>
        </w:rPr>
      </w:pPr>
    </w:p>
    <w:p w14:paraId="4201DFD5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line="360" w:lineRule="auto"/>
        <w:rPr>
          <w:rStyle w:val="None"/>
          <w:b/>
          <w:bCs/>
          <w:sz w:val="24"/>
          <w:szCs w:val="24"/>
          <w:u w:val="single"/>
          <w:lang w:val="de-DE"/>
        </w:rPr>
      </w:pPr>
      <w:r>
        <w:rPr>
          <w:rStyle w:val="None"/>
          <w:b/>
          <w:bCs/>
          <w:sz w:val="24"/>
          <w:szCs w:val="24"/>
          <w:u w:val="single"/>
          <w:lang w:val="de-DE"/>
        </w:rPr>
        <w:t>Past Position</w:t>
      </w:r>
    </w:p>
    <w:p w14:paraId="5CF4BB7B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line="276" w:lineRule="auto"/>
        <w:ind w:left="720" w:hanging="720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2013-2015</w:t>
      </w:r>
      <w:r>
        <w:rPr>
          <w:rStyle w:val="None"/>
          <w:sz w:val="24"/>
          <w:szCs w:val="24"/>
        </w:rPr>
        <w:tab/>
        <w:t>Graduate Research/Teaching Associate, the Ohio State University</w:t>
      </w:r>
    </w:p>
    <w:p w14:paraId="33C93401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line="276" w:lineRule="auto"/>
        <w:ind w:left="1440" w:hanging="1440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2006-2013</w:t>
      </w:r>
      <w:r>
        <w:rPr>
          <w:rStyle w:val="None"/>
          <w:sz w:val="24"/>
          <w:szCs w:val="24"/>
        </w:rPr>
        <w:tab/>
        <w:t>Analyst, Bank of Japan</w:t>
      </w:r>
    </w:p>
    <w:p w14:paraId="48DCC76E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b/>
          <w:bCs/>
          <w:sz w:val="24"/>
          <w:szCs w:val="24"/>
          <w:u w:val="single"/>
        </w:rPr>
      </w:pPr>
    </w:p>
    <w:p w14:paraId="58DBA239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b/>
          <w:bCs/>
          <w:sz w:val="24"/>
          <w:szCs w:val="24"/>
          <w:u w:val="single"/>
        </w:rPr>
      </w:pPr>
    </w:p>
    <w:p w14:paraId="7CEB47AF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1440" w:hanging="144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Grants, Fellowships, Awards, and Honors</w:t>
      </w:r>
    </w:p>
    <w:p w14:paraId="692A02C0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Keio Gijuku Fukuzawa Memorial Fund, 2025</w:t>
      </w:r>
    </w:p>
    <w:p w14:paraId="0BB87B76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Keio University Academic Development Funds, 2021/22, 2022/23, 2024/25, 2025/26</w:t>
      </w:r>
    </w:p>
    <w:p w14:paraId="3F650D13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Tokyo Marine Kagami Memorial Foundation, 2022-2023</w:t>
      </w:r>
    </w:p>
    <w:p w14:paraId="22B35604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ESRC (PI, ES/V012266/1), 2020-2023</w:t>
      </w:r>
    </w:p>
    <w:p w14:paraId="54F78F33" w14:textId="77777777" w:rsidR="003B68CF" w:rsidRDefault="00000000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>
        <w:rPr>
          <w:rStyle w:val="NoneA"/>
          <w:sz w:val="24"/>
          <w:szCs w:val="24"/>
        </w:rPr>
        <w:t>ESRC (Co-I, ES/</w:t>
      </w:r>
      <w:r>
        <w:rPr>
          <w:rStyle w:val="None"/>
        </w:rPr>
        <w:t xml:space="preserve"> </w:t>
      </w:r>
      <w:r>
        <w:rPr>
          <w:rStyle w:val="NoneA"/>
          <w:sz w:val="24"/>
          <w:szCs w:val="24"/>
        </w:rPr>
        <w:t>V004387/1), 2020-2022</w:t>
      </w:r>
    </w:p>
    <w:p w14:paraId="383D76C3" w14:textId="77777777" w:rsidR="003B68CF" w:rsidRDefault="00000000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>
        <w:rPr>
          <w:rStyle w:val="NoneA"/>
          <w:sz w:val="24"/>
          <w:szCs w:val="24"/>
        </w:rPr>
        <w:t>Banco de Portugal Grant of Visiting Researcher, 2019</w:t>
      </w:r>
    </w:p>
    <w:p w14:paraId="2901EB83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ESRC (Co-I, ES/S012729/1), 2019-2022</w:t>
      </w:r>
    </w:p>
    <w:p w14:paraId="49B4BDCE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Daiwa Anglo-Japanese Foundation</w:t>
      </w:r>
      <w:r>
        <w:rPr>
          <w:rStyle w:val="None"/>
        </w:rPr>
        <w:t xml:space="preserve"> </w:t>
      </w:r>
      <w:r>
        <w:rPr>
          <w:rStyle w:val="NoneA"/>
          <w:sz w:val="24"/>
          <w:szCs w:val="24"/>
        </w:rPr>
        <w:t>Small Grant, 2018-2019</w:t>
      </w:r>
    </w:p>
    <w:p w14:paraId="35E27109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Grant-in-Aid for Scientific Research B, JSPS (Co-I, 18H00859), 2018-2020</w:t>
      </w:r>
    </w:p>
    <w:p w14:paraId="4B174102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Co-lead, ESRI, Cabinet Office, Government of Japan, 2017-2019</w:t>
      </w:r>
    </w:p>
    <w:p w14:paraId="5625C24A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Grant-in-Aid for Scientific Research B, JSPS (Co-I, 17H02531), 2017-2020</w:t>
      </w:r>
    </w:p>
    <w:p w14:paraId="019B858D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General Research Fund,</w:t>
      </w:r>
      <w:r>
        <w:rPr>
          <w:rStyle w:val="None"/>
        </w:rPr>
        <w:t xml:space="preserve"> </w:t>
      </w:r>
      <w:r>
        <w:rPr>
          <w:rStyle w:val="NoneA"/>
          <w:sz w:val="24"/>
          <w:szCs w:val="24"/>
        </w:rPr>
        <w:t>RGC Hong Kong. (Co-I, 17507916), 2016-2018</w:t>
      </w:r>
    </w:p>
    <w:p w14:paraId="465F1E95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Bank of England RDC Grant (PI), 2016-2017</w:t>
      </w:r>
    </w:p>
    <w:p w14:paraId="4A2501FC" w14:textId="77777777" w:rsidR="003B68CF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Society for Computational Economics Student Prize, 2014</w:t>
      </w:r>
    </w:p>
    <w:p w14:paraId="08CA0D46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before="6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Education</w:t>
      </w:r>
    </w:p>
    <w:p w14:paraId="4A6BD90C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before="60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Ph.D. in Economics, The Ohio State University, 2015</w:t>
      </w:r>
    </w:p>
    <w:p w14:paraId="2672780E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before="60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lastRenderedPageBreak/>
        <w:t xml:space="preserve">Dissertation title: </w:t>
      </w:r>
      <w:r>
        <w:rPr>
          <w:rStyle w:val="None"/>
          <w:rFonts w:ascii="Arial Unicode MS" w:hAnsi="Arial Unicode MS"/>
          <w:sz w:val="24"/>
          <w:szCs w:val="24"/>
          <w:rtl/>
          <w:lang w:val="ar-SA"/>
        </w:rPr>
        <w:t>“</w:t>
      </w:r>
      <w:r>
        <w:rPr>
          <w:rStyle w:val="None"/>
          <w:sz w:val="24"/>
          <w:szCs w:val="24"/>
        </w:rPr>
        <w:t>Essays on Aggregate Fluctuations with Microeconomic Heterogeneity”</w:t>
      </w:r>
    </w:p>
    <w:p w14:paraId="10746AA2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before="60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(Committee: Aubhik Khan, Julia K. Thomas, Pok-Sang Lam)</w:t>
      </w:r>
    </w:p>
    <w:p w14:paraId="5D2B8F82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before="60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lang w:val="pt-PT"/>
        </w:rPr>
        <w:t>B.A. in Economics, Keio University, 2006</w:t>
      </w:r>
    </w:p>
    <w:p w14:paraId="6B2D5314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1440" w:hanging="1440"/>
        <w:rPr>
          <w:rStyle w:val="None"/>
          <w:b/>
          <w:bCs/>
          <w:sz w:val="24"/>
          <w:szCs w:val="24"/>
          <w:u w:val="single"/>
        </w:rPr>
      </w:pPr>
    </w:p>
    <w:p w14:paraId="44D912D6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1440" w:hanging="1440"/>
        <w:rPr>
          <w:rStyle w:val="None"/>
          <w:b/>
          <w:bCs/>
          <w:sz w:val="24"/>
          <w:szCs w:val="24"/>
          <w:u w:val="single"/>
        </w:rPr>
      </w:pPr>
    </w:p>
    <w:p w14:paraId="56B47D39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1440" w:hanging="144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Papers</w:t>
      </w:r>
    </w:p>
    <w:p w14:paraId="378D10B6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A New Look at Uncertainty Shocks: Imperfect Information and Misallocation, </w:t>
      </w:r>
      <w:r>
        <w:rPr>
          <w:rStyle w:val="None"/>
          <w:b/>
          <w:bCs/>
          <w:sz w:val="24"/>
          <w:szCs w:val="24"/>
        </w:rPr>
        <w:t>2</w:t>
      </w:r>
      <w:r>
        <w:rPr>
          <w:rStyle w:val="None"/>
          <w:b/>
          <w:bCs/>
          <w:sz w:val="24"/>
          <w:szCs w:val="24"/>
          <w:vertAlign w:val="superscript"/>
        </w:rPr>
        <w:t>nd</w:t>
      </w:r>
      <w:r>
        <w:rPr>
          <w:rStyle w:val="None"/>
          <w:b/>
          <w:bCs/>
          <w:sz w:val="24"/>
          <w:szCs w:val="24"/>
        </w:rPr>
        <w:t xml:space="preserve"> R&amp;R</w:t>
      </w:r>
      <w:r>
        <w:rPr>
          <w:rStyle w:val="NoneA"/>
          <w:sz w:val="24"/>
          <w:szCs w:val="24"/>
        </w:rPr>
        <w:t xml:space="preserve"> </w:t>
      </w:r>
      <w:r>
        <w:rPr>
          <w:rStyle w:val="None"/>
          <w:b/>
          <w:bCs/>
          <w:i/>
          <w:iCs/>
          <w:sz w:val="24"/>
          <w:szCs w:val="24"/>
        </w:rPr>
        <w:t>Econometrica</w:t>
      </w:r>
      <w:r>
        <w:rPr>
          <w:rStyle w:val="NoneA"/>
          <w:sz w:val="24"/>
          <w:szCs w:val="24"/>
        </w:rPr>
        <w:t>.</w:t>
      </w:r>
    </w:p>
    <w:p w14:paraId="6534D99C" w14:textId="5C51207A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Investment Irreversibility in a Granular World, with Iacopo Varotto, </w:t>
      </w:r>
      <w:r>
        <w:rPr>
          <w:rStyle w:val="None"/>
          <w:b/>
          <w:bCs/>
          <w:i/>
          <w:iCs/>
          <w:sz w:val="24"/>
          <w:szCs w:val="24"/>
        </w:rPr>
        <w:t>Journal of Monetary Economics</w:t>
      </w:r>
      <w:r>
        <w:rPr>
          <w:rStyle w:val="NoneA"/>
          <w:sz w:val="24"/>
          <w:szCs w:val="24"/>
        </w:rPr>
        <w:t>, forthcoming.</w:t>
      </w:r>
    </w:p>
    <w:p w14:paraId="39C6E431" w14:textId="7F29AB9A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Do Well Managed Firms Make Better Forecasts?, with Nicholas Bloom, Taka Kawakubo, Charlotte Meng, Paul Mizen, Rebecca Riley, John Van Reenen, </w:t>
      </w:r>
      <w:r>
        <w:rPr>
          <w:rStyle w:val="None"/>
          <w:b/>
          <w:bCs/>
          <w:i/>
          <w:iCs/>
          <w:sz w:val="24"/>
          <w:szCs w:val="24"/>
        </w:rPr>
        <w:t>Review of Economic</w:t>
      </w:r>
      <w:r w:rsidR="00694E87">
        <w:rPr>
          <w:rStyle w:val="None"/>
          <w:b/>
          <w:bCs/>
          <w:i/>
          <w:iCs/>
          <w:sz w:val="24"/>
          <w:szCs w:val="24"/>
        </w:rPr>
        <w:t>s and</w:t>
      </w:r>
      <w:r>
        <w:rPr>
          <w:rStyle w:val="None"/>
          <w:b/>
          <w:bCs/>
          <w:i/>
          <w:iCs/>
          <w:sz w:val="24"/>
          <w:szCs w:val="24"/>
        </w:rPr>
        <w:t xml:space="preserve"> Statistics</w:t>
      </w:r>
      <w:r w:rsidR="00694E87">
        <w:rPr>
          <w:rStyle w:val="None"/>
          <w:b/>
          <w:bCs/>
          <w:i/>
          <w:iCs/>
          <w:sz w:val="24"/>
          <w:szCs w:val="24"/>
        </w:rPr>
        <w:t xml:space="preserve">, </w:t>
      </w:r>
      <w:r w:rsidR="00694E87" w:rsidRPr="00694E87">
        <w:rPr>
          <w:rStyle w:val="None"/>
          <w:b/>
          <w:bCs/>
          <w:sz w:val="24"/>
          <w:szCs w:val="24"/>
        </w:rPr>
        <w:t>forthcoming</w:t>
      </w:r>
      <w:r>
        <w:rPr>
          <w:rStyle w:val="None"/>
          <w:i/>
          <w:iCs/>
          <w:sz w:val="24"/>
          <w:szCs w:val="24"/>
        </w:rPr>
        <w:t>.</w:t>
      </w:r>
    </w:p>
    <w:p w14:paraId="5A1C2D03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“Uncertainty and the Macroeconomy,” with Hatsu Kawabata, in Keigo Kameda and Yoko Ibuka (eds.), </w:t>
      </w:r>
      <w:r>
        <w:rPr>
          <w:rStyle w:val="None"/>
          <w:b/>
          <w:bCs/>
          <w:i/>
          <w:iCs/>
          <w:sz w:val="24"/>
          <w:szCs w:val="24"/>
        </w:rPr>
        <w:t xml:space="preserve">Analysis of “Anxiety”: Aspects of Contemporary Japan through Economics</w:t>
      </w:r>
      <w:r>
        <w:rPr>
          <w:rStyle w:val="NoneA"/>
          <w:sz w:val="24"/>
          <w:szCs w:val="24"/>
        </w:rPr>
        <w:t xml:space="preserve">, Keio University Press, 2025 (in Japanese).</w:t>
      </w:r>
    </w:p>
    <w:p w14:paraId="1E2D0FFB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The International Empirics of Management, with MOPS team members, </w:t>
      </w:r>
      <w:r>
        <w:rPr>
          <w:rStyle w:val="None"/>
          <w:b/>
          <w:bCs/>
          <w:i/>
          <w:iCs/>
          <w:sz w:val="24"/>
          <w:szCs w:val="24"/>
        </w:rPr>
        <w:t>Proceedings of the National Academy of Sciences,</w:t>
      </w:r>
      <w:r>
        <w:rPr>
          <w:rStyle w:val="NoneA"/>
          <w:sz w:val="24"/>
          <w:szCs w:val="24"/>
        </w:rPr>
        <w:t xml:space="preserve"> 2024</w:t>
      </w:r>
    </w:p>
    <w:p w14:paraId="41CAE467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Uncertainty, Imperfect Information, and Expectation Formation over the Firm's Life Cycle, with Cheng Chen, Chang Sun and Hongyong Zhang, </w:t>
      </w:r>
      <w:r>
        <w:rPr>
          <w:rStyle w:val="None"/>
          <w:b/>
          <w:bCs/>
          <w:i/>
          <w:iCs/>
          <w:sz w:val="24"/>
          <w:szCs w:val="24"/>
        </w:rPr>
        <w:t>Journal of Monetary Economics</w:t>
      </w:r>
      <w:r>
        <w:rPr>
          <w:rStyle w:val="NoneA"/>
          <w:sz w:val="24"/>
          <w:szCs w:val="24"/>
        </w:rPr>
        <w:t>, 2023.</w:t>
      </w:r>
    </w:p>
    <w:p w14:paraId="5A1C2D04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“Resource Allocation and Volatility in the Macroeconomy,” </w:t>
      </w:r>
      <w:r>
        <w:rPr>
          <w:rStyle w:val="None"/>
          <w:b/>
          <w:bCs/>
          <w:i/>
          <w:iCs/>
          <w:sz w:val="24"/>
          <w:szCs w:val="24"/>
        </w:rPr>
        <w:t xml:space="preserve">Mita Journal of Economics</w:t>
      </w:r>
      <w:r>
        <w:rPr>
          <w:rStyle w:val="NoneA"/>
          <w:sz w:val="24"/>
          <w:szCs w:val="24"/>
        </w:rPr>
        <w:t xml:space="preserve">, 2023 (in Japanese).</w:t>
      </w:r>
    </w:p>
    <w:p w14:paraId="1FA9238E" w14:textId="77777777" w:rsidR="003B68CF" w:rsidRDefault="00000000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Measuring business-level expectations and uncertainty: survey evidence and the COVID-19 pandemic, with Cheng Chen and Hongyong Zhang, </w:t>
      </w:r>
      <w:r>
        <w:rPr>
          <w:rStyle w:val="None"/>
          <w:b/>
          <w:bCs/>
          <w:i/>
          <w:iCs/>
          <w:sz w:val="24"/>
          <w:szCs w:val="24"/>
        </w:rPr>
        <w:t>Japanese Economic Review</w:t>
      </w:r>
      <w:r>
        <w:rPr>
          <w:rStyle w:val="NoneA"/>
          <w:sz w:val="24"/>
          <w:szCs w:val="24"/>
        </w:rPr>
        <w:t>, 2021.</w:t>
      </w:r>
    </w:p>
    <w:p w14:paraId="36C5B3C9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Aggregate Consequences of Credit Subsidy Policies: Firm Dynamics and Misallocation, with In Hwan Jo, </w:t>
      </w:r>
      <w:r>
        <w:rPr>
          <w:rStyle w:val="None"/>
          <w:b/>
          <w:bCs/>
          <w:i/>
          <w:iCs/>
          <w:sz w:val="24"/>
          <w:szCs w:val="24"/>
        </w:rPr>
        <w:t>Review of Economic Dynamics</w:t>
      </w:r>
      <w:r>
        <w:rPr>
          <w:rStyle w:val="None"/>
          <w:i/>
          <w:iCs/>
          <w:sz w:val="24"/>
          <w:szCs w:val="24"/>
        </w:rPr>
        <w:t>,</w:t>
      </w:r>
      <w:r>
        <w:rPr>
          <w:rStyle w:val="NoneA"/>
          <w:sz w:val="24"/>
          <w:szCs w:val="24"/>
        </w:rPr>
        <w:t xml:space="preserve"> 2019.</w:t>
      </w:r>
    </w:p>
    <w:p w14:paraId="598EFE82" w14:textId="77777777" w:rsidR="003B68CF" w:rsidRDefault="00000000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Firm-level Uncertainty and Cash Holding: Theory and Firm-level Empirical Evidence, with Aubhik Khan, </w:t>
      </w:r>
      <w:r>
        <w:rPr>
          <w:rStyle w:val="None"/>
          <w:b/>
          <w:bCs/>
          <w:i/>
          <w:iCs/>
          <w:sz w:val="24"/>
          <w:szCs w:val="24"/>
        </w:rPr>
        <w:t>Economic Analysis</w:t>
      </w:r>
      <w:r>
        <w:rPr>
          <w:rStyle w:val="NoneA"/>
          <w:sz w:val="24"/>
          <w:szCs w:val="24"/>
        </w:rPr>
        <w:t>, 2019.</w:t>
      </w:r>
    </w:p>
    <w:p w14:paraId="5DC6AEEC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Default Risk and Aggregate Fluctuations in an Economy with Production Heterogeneity, with Aubhik Khan and Julia K. Thomas.</w:t>
      </w:r>
    </w:p>
    <w:p w14:paraId="2A316A94" w14:textId="77777777" w:rsidR="003B68CF" w:rsidRDefault="00000000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rStyle w:val="NoneA"/>
          <w:sz w:val="24"/>
          <w:szCs w:val="24"/>
        </w:rPr>
        <w:t>Inter-Firm Network and Firm Growth, with Daisuke Fujii and Yukiko Saito.</w:t>
      </w:r>
    </w:p>
    <w:p w14:paraId="44D2773F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Firm Expectations and Investment: Evidence from the China-Japan Island Dispute, with Cheng Chen, Chang Sun and Hongyong Zhang.</w:t>
      </w:r>
    </w:p>
    <w:p w14:paraId="593590AA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33"/>
        <w:rPr>
          <w:rStyle w:val="NoneA"/>
          <w:sz w:val="24"/>
          <w:szCs w:val="24"/>
        </w:rPr>
      </w:pPr>
    </w:p>
    <w:p w14:paraId="76FBAF5C" w14:textId="77777777" w:rsidR="003B68CF" w:rsidRDefault="00000000">
      <w:pPr>
        <w:pStyle w:val="ListParagraph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ind w:left="33"/>
        <w:rPr>
          <w:rStyle w:val="NoneA"/>
        </w:rPr>
      </w:pPr>
      <w:r>
        <w:rPr>
          <w:rStyle w:val="None"/>
          <w:b/>
          <w:bCs/>
          <w:sz w:val="24"/>
          <w:szCs w:val="24"/>
          <w:u w:val="single"/>
        </w:rPr>
        <w:t>Work in progress</w:t>
      </w:r>
    </w:p>
    <w:p w14:paraId="5A1C2D02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“The New Empirics of Firm Organization: Evidence from Organization Charts,” with Satoshi Ichikawa.</w:t>
      </w:r>
    </w:p>
    <w:p w14:paraId="308341F3" w14:textId="77777777" w:rsidR="003B68CF" w:rsidRDefault="0000000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“Information Acquisition and Price Setting under Uncertainty: New Survey Evidence,” with Cheng Chen, Chang Sun and Hongyong Zhang.</w:t>
      </w:r>
    </w:p>
    <w:p w14:paraId="3685E5EA" w14:textId="77777777" w:rsidR="003B68CF" w:rsidRDefault="00000000">
      <w:pPr>
        <w:pStyle w:val="ListParagraph"/>
        <w:numPr>
          <w:ilvl w:val="0"/>
          <w:numId w:val="6"/>
        </w:numPr>
        <w:spacing w:after="60"/>
        <w:jc w:val="both"/>
        <w:rPr>
          <w:sz w:val="24"/>
          <w:szCs w:val="24"/>
        </w:rPr>
      </w:pPr>
      <w:r>
        <w:rPr>
          <w:rStyle w:val="NoneA"/>
          <w:sz w:val="24"/>
          <w:szCs w:val="24"/>
        </w:rPr>
        <w:t>“Non-linear Dynamics of Firm Productivity,” with Giulio Fella, Juan Carlos Garcia, Beatriz Gonzalez, Julio Galvez.</w:t>
      </w:r>
    </w:p>
    <w:p w14:paraId="49D2054B" w14:textId="77777777" w:rsidR="003B68CF" w:rsidRDefault="00000000">
      <w:pPr>
        <w:pStyle w:val="ListParagraph"/>
        <w:numPr>
          <w:ilvl w:val="0"/>
          <w:numId w:val="7"/>
        </w:numPr>
        <w:spacing w:after="60"/>
        <w:jc w:val="both"/>
        <w:rPr>
          <w:sz w:val="24"/>
          <w:szCs w:val="24"/>
        </w:rPr>
      </w:pPr>
      <w:r>
        <w:rPr>
          <w:rStyle w:val="NoneA"/>
          <w:sz w:val="24"/>
          <w:szCs w:val="24"/>
        </w:rPr>
        <w:t xml:space="preserve">“Firm Debt and Default over the Pandemic and Recovery,” with In Hwan Jo, Aubhik Khan, and Julia Thomas. </w:t>
      </w:r>
    </w:p>
    <w:p w14:paraId="1921EC6F" w14:textId="77777777" w:rsidR="003B68CF" w:rsidRDefault="00000000">
      <w:pPr>
        <w:pStyle w:val="ListParagraph"/>
        <w:numPr>
          <w:ilvl w:val="0"/>
          <w:numId w:val="7"/>
        </w:numPr>
        <w:spacing w:after="60"/>
        <w:jc w:val="both"/>
        <w:rPr>
          <w:sz w:val="24"/>
          <w:szCs w:val="24"/>
        </w:rPr>
      </w:pPr>
      <w:r>
        <w:rPr>
          <w:rStyle w:val="NoneA"/>
          <w:sz w:val="24"/>
          <w:szCs w:val="24"/>
        </w:rPr>
        <w:t>“The Persistent Effects of Entry and Exit,” with Aubhik Khan and Julia K. Thomas.</w:t>
      </w:r>
    </w:p>
    <w:p w14:paraId="45781E2A" w14:textId="77777777" w:rsidR="003B68CF" w:rsidRDefault="00000000">
      <w:pPr>
        <w:pStyle w:val="ListParagraph"/>
        <w:numPr>
          <w:ilvl w:val="0"/>
          <w:numId w:val="6"/>
        </w:numPr>
        <w:spacing w:after="60"/>
        <w:jc w:val="both"/>
        <w:rPr>
          <w:sz w:val="24"/>
          <w:szCs w:val="24"/>
        </w:rPr>
      </w:pPr>
      <w:r>
        <w:rPr>
          <w:rStyle w:val="NoneA"/>
          <w:sz w:val="24"/>
          <w:szCs w:val="24"/>
        </w:rPr>
        <w:t>“Heterogeneous Firms, Rational Inattention, and the Business Cycle,” with Iacopo Varotto.</w:t>
      </w:r>
    </w:p>
    <w:p w14:paraId="2C2A01CF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A"/>
          <w:sz w:val="24"/>
          <w:szCs w:val="24"/>
        </w:rPr>
      </w:pPr>
    </w:p>
    <w:p w14:paraId="62941FCA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"/>
          <w:sz w:val="24"/>
          <w:szCs w:val="24"/>
        </w:rPr>
      </w:pPr>
      <w:r>
        <w:rPr>
          <w:rStyle w:val="None"/>
          <w:b/>
          <w:bCs/>
          <w:sz w:val="24"/>
          <w:szCs w:val="24"/>
          <w:u w:val="single"/>
        </w:rPr>
        <w:t>Refereeing/reviewing activity</w:t>
      </w:r>
    </w:p>
    <w:p w14:paraId="67946E0F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both"/>
        <w:rPr>
          <w:rStyle w:val="None"/>
          <w:sz w:val="24"/>
          <w:szCs w:val="24"/>
        </w:rPr>
      </w:pPr>
      <w:r>
        <w:rPr>
          <w:rStyle w:val="None"/>
          <w:i/>
          <w:iCs/>
          <w:sz w:val="24"/>
          <w:szCs w:val="24"/>
        </w:rPr>
        <w:t>American Economic Review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American Economic Review: Insights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  <w:lang w:val="it-IT"/>
        </w:rPr>
        <w:t>American Economic Journal: Macroeconomics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The B.E. Journal of Macroeconomics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Economics Letters</w:t>
      </w:r>
      <w:r>
        <w:rPr>
          <w:rStyle w:val="None"/>
          <w:sz w:val="24"/>
          <w:szCs w:val="24"/>
        </w:rPr>
        <w:t xml:space="preserve">; Economic and Social Research Council; </w:t>
      </w:r>
      <w:r>
        <w:rPr>
          <w:rStyle w:val="None"/>
          <w:i/>
          <w:iCs/>
          <w:sz w:val="24"/>
          <w:szCs w:val="24"/>
          <w:lang w:val="it-IT"/>
        </w:rPr>
        <w:t>Econometrica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Economic Journal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European Economic Review; German Economic Review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International Journal of Central Banking;</w:t>
      </w:r>
      <w:r>
        <w:rPr>
          <w:rStyle w:val="None"/>
          <w:sz w:val="24"/>
          <w:szCs w:val="24"/>
        </w:rPr>
        <w:t xml:space="preserve"> </w:t>
      </w:r>
      <w:r>
        <w:rPr>
          <w:rStyle w:val="None"/>
          <w:i/>
          <w:iCs/>
          <w:sz w:val="24"/>
          <w:szCs w:val="24"/>
        </w:rPr>
        <w:t>Japanese Economic Review;</w:t>
      </w:r>
      <w:r>
        <w:rPr>
          <w:rStyle w:val="None"/>
          <w:sz w:val="24"/>
          <w:szCs w:val="24"/>
        </w:rPr>
        <w:t xml:space="preserve"> </w:t>
      </w:r>
      <w:r>
        <w:rPr>
          <w:rStyle w:val="None"/>
          <w:i/>
          <w:iCs/>
          <w:sz w:val="24"/>
          <w:szCs w:val="24"/>
        </w:rPr>
        <w:t>Journal of Economic Behavior and Organization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Journal of Economic Dynamics and Control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Journal of the European Economic Association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Journal of Economic Theory; Journal of Monetary Economics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Journal of Money, Credit and Banking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  <w:lang w:val="it-IT"/>
        </w:rPr>
        <w:t>Macroeconomic Dynamics</w:t>
      </w:r>
      <w:r>
        <w:rPr>
          <w:rStyle w:val="None"/>
          <w:sz w:val="24"/>
          <w:szCs w:val="24"/>
        </w:rPr>
        <w:t xml:space="preserve">, National Science Foundation; </w:t>
      </w:r>
      <w:r>
        <w:rPr>
          <w:rStyle w:val="None"/>
          <w:i/>
          <w:iCs/>
          <w:sz w:val="24"/>
          <w:szCs w:val="24"/>
        </w:rPr>
        <w:t>Oxford Bulletin of Economics and Statistics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Quarterly Journal of Economics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Review of Economic Studies</w:t>
      </w:r>
      <w:r>
        <w:rPr>
          <w:rStyle w:val="None"/>
          <w:sz w:val="24"/>
          <w:szCs w:val="24"/>
        </w:rPr>
        <w:t xml:space="preserve">, </w:t>
      </w:r>
      <w:r>
        <w:rPr>
          <w:rStyle w:val="None"/>
          <w:i/>
          <w:iCs/>
          <w:sz w:val="24"/>
          <w:szCs w:val="24"/>
        </w:rPr>
        <w:t>Review of Economic Dynamics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Scandinavian Journal of Economics</w:t>
      </w:r>
      <w:r>
        <w:rPr>
          <w:rStyle w:val="None"/>
          <w:sz w:val="24"/>
          <w:szCs w:val="24"/>
        </w:rPr>
        <w:t xml:space="preserve">; </w:t>
      </w:r>
      <w:r>
        <w:rPr>
          <w:rStyle w:val="None"/>
          <w:i/>
          <w:iCs/>
          <w:sz w:val="24"/>
          <w:szCs w:val="24"/>
        </w:rPr>
        <w:t>Scottish Journal of Political Economy</w:t>
      </w:r>
    </w:p>
    <w:p w14:paraId="444F21F2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"/>
          <w:b/>
          <w:bCs/>
          <w:sz w:val="24"/>
          <w:szCs w:val="24"/>
          <w:u w:val="single"/>
        </w:rPr>
      </w:pPr>
    </w:p>
    <w:p w14:paraId="2AD61B5B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Discussions</w:t>
      </w:r>
    </w:p>
    <w:p w14:paraId="5A1C2D01" w14:textId="77777777" w:rsidR="003B68CF" w:rsidRDefault="0000000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Gonzalo García-Trujillo, “Business Formation, Labor Market Frictions, and Business Cycles,” at Workshop on Frontiers of Macro-Labour Economics (Edinburgh).</w:t>
      </w:r>
    </w:p>
    <w:p w14:paraId="72E42EBF" w14:textId="77777777" w:rsidR="003B68CF" w:rsidRDefault="0000000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Yoshiki Ando, “Dynamics of High-Growth Young Firms and the Role of Venture Capitalists,” at Macro Conference (Osaka).</w:t>
      </w:r>
    </w:p>
    <w:p w14:paraId="36E25A89" w14:textId="77777777" w:rsidR="003B68CF" w:rsidRDefault="0000000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Benguria, Matsumoto, and Saffie, “Productivity and Trade Dynamics in Sudden Stops”</w:t>
      </w:r>
      <w:r>
        <w:rPr>
          <w:rStyle w:val="None"/>
        </w:rPr>
        <w:t xml:space="preserve"> </w:t>
      </w:r>
      <w:r>
        <w:rPr>
          <w:rStyle w:val="NoneA"/>
          <w:sz w:val="24"/>
          <w:szCs w:val="24"/>
        </w:rPr>
        <w:t>at 3rd TWID International Finance Conference: University of Tokyo, Tokyo.</w:t>
      </w:r>
    </w:p>
    <w:p w14:paraId="24B80B12" w14:textId="77777777" w:rsidR="003B68CF" w:rsidRDefault="00000000">
      <w:pPr>
        <w:pStyle w:val="ListParagraph"/>
        <w:numPr>
          <w:ilvl w:val="0"/>
          <w:numId w:val="9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Fons-Rosen, Scrutinio, Szemeredi, "Collocation and Knowledge Diffusion: Evidence from Million Dollar Plants" at Compnet-EBRD Workshop on Localisation and Productivity:  EBRD, London</w:t>
      </w:r>
    </w:p>
    <w:p w14:paraId="438D6816" w14:textId="77777777" w:rsidR="003B68CF" w:rsidRDefault="00000000">
      <w:pPr>
        <w:pStyle w:val="ListParagraph"/>
        <w:numPr>
          <w:ilvl w:val="0"/>
          <w:numId w:val="10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Christina Angelico, "Household Expectations and the Credit Cycle" at QMUL Economics and Finance Workshop for PhD and &amp; Post-doctoral students: QMUL, London</w:t>
      </w:r>
    </w:p>
    <w:p w14:paraId="22DEF6D3" w14:textId="77777777" w:rsidR="003B68CF" w:rsidRDefault="00000000">
      <w:pPr>
        <w:pStyle w:val="ListParagraph"/>
        <w:numPr>
          <w:ilvl w:val="0"/>
          <w:numId w:val="10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Acharya, Benhabib and Huo, "The Anatomy of Sentiment Driven Fluctuations" at the New Advances on Informational Frictions in Business Cycles:  Villars-sur-Ollon, Switzerland</w:t>
      </w:r>
    </w:p>
    <w:p w14:paraId="5EAFC688" w14:textId="77777777" w:rsidR="003B68CF" w:rsidRDefault="00000000">
      <w:pPr>
        <w:pStyle w:val="ListParagraph"/>
        <w:numPr>
          <w:ilvl w:val="0"/>
          <w:numId w:val="10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Petrosky-Nadeau, Tengelson and Wasmer, "Business Cycles in Credit and Labor Markets" at the 6th CAPR Workshop on Investment and Production Based Asset Pricing: BI Norwegian Business School</w:t>
      </w:r>
    </w:p>
    <w:p w14:paraId="18602CFF" w14:textId="77777777" w:rsidR="003B68CF" w:rsidRDefault="00000000">
      <w:pPr>
        <w:pStyle w:val="ListParagraph"/>
        <w:numPr>
          <w:ilvl w:val="0"/>
          <w:numId w:val="10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Catherine, Chaney, Huang, Sraer and Thesmar, "Aggregate Effects of Collateral Constraints" at the 3rd CCBS Macro-finance workshop: Bank of England</w:t>
      </w:r>
    </w:p>
    <w:p w14:paraId="3CAAE118" w14:textId="77777777" w:rsidR="003B68CF" w:rsidRDefault="00000000">
      <w:pPr>
        <w:pStyle w:val="ListParagraph"/>
        <w:numPr>
          <w:ilvl w:val="0"/>
          <w:numId w:val="10"/>
        </w:numPr>
        <w:spacing w:after="120"/>
        <w:rPr>
          <w:sz w:val="24"/>
          <w:szCs w:val="24"/>
        </w:rPr>
      </w:pPr>
      <w:r>
        <w:rPr>
          <w:rStyle w:val="NoneA"/>
          <w:sz w:val="24"/>
          <w:szCs w:val="24"/>
        </w:rPr>
        <w:t>Carlos Ramirez, "Inter-firm Relationships and Asset Prices" at the Frontiers of Finance 2017 Warwick Business School: The Shard, London</w:t>
      </w:r>
    </w:p>
    <w:p w14:paraId="028A20E0" w14:textId="77777777" w:rsidR="003B68CF" w:rsidRDefault="003B68CF">
      <w:pPr>
        <w:pStyle w:val="BodyA"/>
        <w:tabs>
          <w:tab w:val="clear" w:pos="720"/>
          <w:tab w:val="clear" w:pos="4320"/>
          <w:tab w:val="clear" w:pos="7920"/>
        </w:tabs>
        <w:rPr>
          <w:rStyle w:val="NoneA"/>
          <w:sz w:val="24"/>
          <w:szCs w:val="24"/>
        </w:rPr>
      </w:pPr>
    </w:p>
    <w:p w14:paraId="081BEBF9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Conferences and seminars</w:t>
      </w:r>
    </w:p>
    <w:p w14:paraId="32386496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both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lang w:val="fr-FR"/>
        </w:rPr>
        <w:t xml:space="preserve">Conferences: </w:t>
      </w:r>
      <w:r>
        <w:rPr>
          <w:rStyle w:val="None"/>
          <w:b/>
          <w:bCs/>
          <w:sz w:val="24"/>
          <w:szCs w:val="24"/>
          <w:u w:val="single"/>
          <w:lang w:val="fr-FR"/>
        </w:rPr>
        <w:t>2026-</w:t>
      </w:r>
      <w:r>
        <w:rPr>
          <w:rStyle w:val="None"/>
          <w:sz w:val="24"/>
          <w:szCs w:val="24"/>
          <w:lang w:val="fr-FR"/>
        </w:rPr>
        <w:t xml:space="preserve"> Empirical Management Conference (Stanford), </w:t>
      </w:r>
      <w:r>
        <w:rPr>
          <w:rStyle w:val="None"/>
          <w:b/>
          <w:bCs/>
          <w:sz w:val="24"/>
          <w:szCs w:val="24"/>
          <w:u w:val="single"/>
          <w:lang w:val="fr-FR"/>
        </w:rPr>
        <w:t>2025-</w:t>
      </w:r>
      <w:r>
        <w:rPr>
          <w:rStyle w:val="None"/>
          <w:sz w:val="24"/>
          <w:szCs w:val="24"/>
          <w:lang w:val="fr-FR"/>
        </w:rPr>
        <w:t xml:space="preserve"> Japanese Economic Association Autumn Meeting, </w:t>
      </w:r>
      <w:r>
        <w:rPr>
          <w:rStyle w:val="None"/>
          <w:b/>
          <w:bCs/>
          <w:sz w:val="24"/>
          <w:szCs w:val="24"/>
          <w:u w:val="single"/>
          <w:lang w:val="fr-FR"/>
        </w:rPr>
        <w:t>2024-</w:t>
      </w:r>
      <w:r>
        <w:rPr>
          <w:rStyle w:val="None"/>
          <w:b/>
          <w:bCs/>
          <w:sz w:val="24"/>
          <w:szCs w:val="24"/>
          <w:lang w:val="fr-FR"/>
        </w:rPr>
        <w:t xml:space="preserve"> </w:t>
      </w:r>
      <w:r>
        <w:rPr>
          <w:rStyle w:val="None"/>
          <w:sz w:val="24"/>
          <w:szCs w:val="24"/>
        </w:rPr>
        <w:t>The 12th CAPR Investment and Production based Asset Pricing Workshop; China International Conference in Macroeconomics; ANU-AJRC, Hitotsubashi, Keio and University of Tokyo Conference on Frontiers in Macroeconomics,</w:t>
      </w:r>
      <w:r>
        <w:rPr>
          <w:rStyle w:val="None"/>
          <w:b/>
          <w:bCs/>
          <w:sz w:val="24"/>
          <w:szCs w:val="24"/>
          <w:lang w:val="fr-FR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2023-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Macro Conference; East Asia Macroeconomics Mini-Conference,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2022-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3rd TWID International Finance Conference;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2021-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Keio Economic Society symposium; The 3rd Keio-Waseda Macro Workshop; Royal Economic Society Conference;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2020-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12th World Congress of the Econometric society;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2019-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US Census Bureau MOPS Workshop,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  <w:lang w:val="es-ES_tradnl"/>
        </w:rPr>
        <w:t>MadMac Annual Conference Madrid;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The Inaugural QMUL-SUFE Workshop;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ASSA Atlanta;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2018-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ESRI International Conference; CompNet-EBRD Workshop London; The 50th Annual Conference of the Money, Macro &amp; Finance Research Group; Stanford Institute for Theoretical Economics; NBER SI; SED Mexico City; 24th CEF Milan; Manchester Economic Theory </w:t>
      </w:r>
      <w:r>
        <w:rPr>
          <w:rStyle w:val="None"/>
          <w:sz w:val="24"/>
          <w:szCs w:val="24"/>
        </w:rPr>
        <w:lastRenderedPageBreak/>
        <w:t>2018 workshop; Bristol Macro Workshop 2018; RIETI International Workshop: Uncertainty, Trade and Firms;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Royal Economic Society Conference; ESRI International Conference; 2nd Kyoto Workshop for Heterogeneous Macro Models; </w:t>
      </w:r>
      <w:r>
        <w:rPr>
          <w:rStyle w:val="None"/>
          <w:b/>
          <w:bCs/>
          <w:sz w:val="24"/>
          <w:szCs w:val="24"/>
          <w:u w:val="single"/>
        </w:rPr>
        <w:t>2017-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European Winter Meeting of the Econometric Society, Barcelona; 8th Ifo Conference on Macroeconomics and Survey Data; 49</w:t>
      </w:r>
      <w:r>
        <w:rPr>
          <w:rStyle w:val="None"/>
          <w:sz w:val="24"/>
          <w:szCs w:val="24"/>
          <w:vertAlign w:val="superscript"/>
        </w:rPr>
        <w:t>th</w:t>
      </w:r>
      <w:r>
        <w:rPr>
          <w:rStyle w:val="None"/>
          <w:sz w:val="24"/>
          <w:szCs w:val="24"/>
        </w:rPr>
        <w:t xml:space="preserve"> Annual Conference of the MMF Research Group; New Advances on Informational Frictions in Business Cycles; SED Edinburgh; The 6th CAPR Investment and Production based Asset Pricing Workshop; BoE-CCBS/MacCaLM 3rd Macro-Finance Workshop; FRRC/MMF/BoE Conference on Financial Services Indices, Liquidity and Economic Activity; Warwick Business School Frontiers of Finance 2017; </w:t>
      </w:r>
      <w:r>
        <w:rPr>
          <w:rStyle w:val="None"/>
          <w:b/>
          <w:bCs/>
          <w:sz w:val="24"/>
          <w:szCs w:val="24"/>
          <w:u w:val="single"/>
        </w:rPr>
        <w:t>2016-</w:t>
      </w:r>
      <w:r>
        <w:rPr>
          <w:rStyle w:val="None"/>
          <w:sz w:val="24"/>
          <w:szCs w:val="24"/>
        </w:rPr>
        <w:t xml:space="preserve"> Mid-year meeting of the NBER "Micro and Macro Perspectives of the Aggregate Labor Market" (EFMPLS); Wisconsin School of Business Money, Banking &amp; Asset Markets Conference; Stanford Institute for Theoretical Economics; European Meeting of the Econometric Society/European Economic Association Meeting; Barcelona GSE Summer Forum; Mannheim Macro Workshop; DSGE workshop in Senshu; Nottingham CFCM on Uncertainty, Volatility and Monetary Policy; ASSA San Francisco; </w:t>
      </w:r>
      <w:r>
        <w:rPr>
          <w:rStyle w:val="None"/>
          <w:b/>
          <w:bCs/>
          <w:sz w:val="24"/>
          <w:szCs w:val="24"/>
          <w:u w:val="single"/>
        </w:rPr>
        <w:t>2015-</w:t>
      </w:r>
      <w:r>
        <w:rPr>
          <w:rStyle w:val="None"/>
          <w:sz w:val="24"/>
          <w:szCs w:val="24"/>
          <w:lang w:val="it-IT"/>
        </w:rPr>
        <w:t xml:space="preserve"> Vienna Macroeconomics Workshop 2015; 47</w:t>
      </w:r>
      <w:r>
        <w:rPr>
          <w:rStyle w:val="None"/>
          <w:sz w:val="24"/>
          <w:szCs w:val="24"/>
          <w:vertAlign w:val="superscript"/>
        </w:rPr>
        <w:t>th</w:t>
      </w:r>
      <w:r>
        <w:rPr>
          <w:rStyle w:val="None"/>
          <w:sz w:val="24"/>
          <w:szCs w:val="24"/>
        </w:rPr>
        <w:t xml:space="preserve"> Annual Conference of the MMF Research Group; 11th World Congress of the Econometric society, Montreal; SED Warsaw; Stanford Institute for Theoretical Economics; </w:t>
      </w:r>
      <w:r>
        <w:rPr>
          <w:rStyle w:val="None"/>
          <w:b/>
          <w:bCs/>
          <w:sz w:val="24"/>
          <w:szCs w:val="24"/>
          <w:u w:val="single"/>
        </w:rPr>
        <w:t>2014-</w:t>
      </w:r>
      <w:r>
        <w:rPr>
          <w:rStyle w:val="None"/>
          <w:sz w:val="24"/>
          <w:szCs w:val="24"/>
        </w:rPr>
        <w:t xml:space="preserve"> European Winter Meeting of the Econometric Society, Madrid; Simposio de la Asociaci</w:t>
      </w:r>
      <w:r>
        <w:rPr>
          <w:rStyle w:val="None"/>
          <w:sz w:val="24"/>
          <w:szCs w:val="24"/>
          <w:lang w:val="es-ES_tradnl"/>
        </w:rPr>
        <w:t>ón Españ</w:t>
      </w:r>
      <w:r>
        <w:rPr>
          <w:rStyle w:val="None"/>
          <w:sz w:val="24"/>
          <w:szCs w:val="24"/>
          <w:lang w:val="pt-PT"/>
        </w:rPr>
        <w:t>ola de Econom</w:t>
      </w:r>
      <w:r>
        <w:rPr>
          <w:rStyle w:val="None"/>
          <w:sz w:val="24"/>
          <w:szCs w:val="24"/>
        </w:rPr>
        <w:t>ía, Palma de Mallorca; 5th Ifo Conference on Macroeconomics and Survey Data; 16th Annual Macro Conference; Midwest Macro Meeting, Miami; 9th Annual Washington University Graduate Student Conference; Wharton Conference on Liquidity and Financial Crises; 46</w:t>
      </w:r>
      <w:r>
        <w:rPr>
          <w:rStyle w:val="None"/>
          <w:sz w:val="24"/>
          <w:szCs w:val="24"/>
          <w:vertAlign w:val="superscript"/>
        </w:rPr>
        <w:t>th</w:t>
      </w:r>
      <w:r>
        <w:rPr>
          <w:rStyle w:val="None"/>
          <w:sz w:val="24"/>
          <w:szCs w:val="24"/>
        </w:rPr>
        <w:t xml:space="preserve"> Annual Conference of the MMF Research Group; 20th CEF Oslo; North American Productivity Workshop VIII; </w:t>
      </w:r>
      <w:r>
        <w:rPr>
          <w:rStyle w:val="None"/>
          <w:b/>
          <w:bCs/>
          <w:sz w:val="24"/>
          <w:szCs w:val="24"/>
          <w:u w:val="single"/>
        </w:rPr>
        <w:t>2013-</w:t>
      </w:r>
      <w:r>
        <w:rPr>
          <w:rStyle w:val="None"/>
          <w:sz w:val="24"/>
          <w:szCs w:val="24"/>
        </w:rPr>
        <w:t xml:space="preserve"> Wisconsin School of Business 5th Annual Conference on Money, Banking and Asset Markets; North American Summer Meeting of the Econometric Society, Los Angeles; Midwest Economic Association meetings, Columbus; ASSA San Diego; </w:t>
      </w:r>
      <w:r>
        <w:rPr>
          <w:rStyle w:val="None"/>
          <w:b/>
          <w:bCs/>
          <w:sz w:val="24"/>
          <w:szCs w:val="24"/>
          <w:u w:val="single"/>
        </w:rPr>
        <w:t>2012-</w:t>
      </w:r>
      <w:r>
        <w:rPr>
          <w:rStyle w:val="None"/>
          <w:sz w:val="24"/>
          <w:szCs w:val="24"/>
          <w:lang w:val="fr-FR"/>
        </w:rPr>
        <w:t xml:space="preserve"> Midwest Macro Meetings, Notre Dame; CIREQ Conference on Macroeconomics, Montreal</w:t>
      </w:r>
    </w:p>
    <w:p w14:paraId="387790A5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both"/>
        <w:rPr>
          <w:rStyle w:val="None"/>
          <w:b/>
          <w:bCs/>
          <w:sz w:val="24"/>
          <w:szCs w:val="24"/>
        </w:rPr>
      </w:pPr>
    </w:p>
    <w:p w14:paraId="5DF4E371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jc w:val="both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 xml:space="preserve">Seminars: </w:t>
      </w:r>
      <w:r>
        <w:rPr>
          <w:rStyle w:val="None"/>
          <w:b/>
          <w:bCs/>
          <w:sz w:val="24"/>
          <w:szCs w:val="24"/>
          <w:u w:val="single"/>
        </w:rPr>
        <w:t>2024-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Tohoku, </w:t>
      </w:r>
      <w:r>
        <w:rPr>
          <w:rStyle w:val="None"/>
          <w:b/>
          <w:bCs/>
          <w:sz w:val="24"/>
          <w:szCs w:val="24"/>
          <w:u w:val="single"/>
        </w:rPr>
        <w:t>2023-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ESRI;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Waseda;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2022-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Canon Institute for Global Studies (virtual)</w:t>
      </w:r>
      <w:r>
        <w:rPr>
          <w:rStyle w:val="None"/>
          <w:b/>
          <w:bCs/>
          <w:sz w:val="24"/>
          <w:szCs w:val="24"/>
        </w:rPr>
        <w:t xml:space="preserve">; </w:t>
      </w:r>
      <w:r>
        <w:rPr>
          <w:rStyle w:val="None"/>
          <w:sz w:val="24"/>
          <w:szCs w:val="24"/>
        </w:rPr>
        <w:t>Tokyo (virtual); National Graduate Institute for Policy Studies;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2021-</w:t>
      </w:r>
      <w:r>
        <w:rPr>
          <w:rStyle w:val="None"/>
          <w:sz w:val="24"/>
          <w:szCs w:val="24"/>
        </w:rPr>
        <w:t xml:space="preserve"> Virtual East Asia Macroeconomics Seminar (VEAMS); Temple (virtual); Hitotsubashi (virtual); Montreal (virtual); McMaster (virtual); Bank of Japan (virtual); </w:t>
      </w:r>
      <w:r>
        <w:rPr>
          <w:rStyle w:val="None"/>
          <w:b/>
          <w:bCs/>
          <w:sz w:val="24"/>
          <w:szCs w:val="24"/>
          <w:u w:val="single"/>
        </w:rPr>
        <w:t>2020-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  <w:lang w:val="de-DE"/>
        </w:rPr>
        <w:t xml:space="preserve">RIETI (virtual); Mannheim (virtual); </w:t>
      </w:r>
      <w:r>
        <w:rPr>
          <w:rStyle w:val="None"/>
          <w:b/>
          <w:bCs/>
          <w:sz w:val="24"/>
          <w:szCs w:val="24"/>
          <w:u w:val="single"/>
        </w:rPr>
        <w:t>2019-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  <w:lang w:val="nl-NL"/>
        </w:rPr>
        <w:t>Edinburgh;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  <w:lang w:val="pt-PT"/>
        </w:rPr>
        <w:t xml:space="preserve">Bonn; Keio; UCL; Tsinghua; Bank of Portugal; </w:t>
      </w:r>
      <w:r>
        <w:rPr>
          <w:rStyle w:val="None"/>
          <w:b/>
          <w:bCs/>
          <w:sz w:val="24"/>
          <w:szCs w:val="24"/>
          <w:u w:val="single"/>
        </w:rPr>
        <w:t>2018-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Nottingham; Royal Holloway; Cambridge; Toulouse; Keio; Hitotsubashi;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b/>
          <w:bCs/>
          <w:sz w:val="24"/>
          <w:szCs w:val="24"/>
          <w:u w:val="single"/>
        </w:rPr>
        <w:t>2017-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Queensland; National University of Singapore;</w:t>
      </w:r>
      <w:r>
        <w:rPr>
          <w:rStyle w:val="None"/>
          <w:b/>
          <w:bCs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Exeter; Southampton; RIETI; </w:t>
      </w:r>
      <w:r>
        <w:rPr>
          <w:rStyle w:val="None"/>
          <w:b/>
          <w:bCs/>
          <w:sz w:val="24"/>
          <w:szCs w:val="24"/>
          <w:u w:val="single"/>
        </w:rPr>
        <w:t>2016-</w:t>
      </w:r>
      <w:r>
        <w:rPr>
          <w:rStyle w:val="None"/>
          <w:sz w:val="24"/>
          <w:szCs w:val="24"/>
        </w:rPr>
        <w:t xml:space="preserve"> Manchester; Hong Kong; Kent; </w:t>
      </w:r>
      <w:r>
        <w:rPr>
          <w:rStyle w:val="None"/>
          <w:b/>
          <w:bCs/>
          <w:sz w:val="24"/>
          <w:szCs w:val="24"/>
          <w:u w:val="single"/>
        </w:rPr>
        <w:t>2015-</w:t>
      </w:r>
      <w:r>
        <w:rPr>
          <w:rStyle w:val="None"/>
          <w:sz w:val="24"/>
          <w:szCs w:val="24"/>
        </w:rPr>
        <w:t xml:space="preserve"> Ohio State; Amsterdam (VU/UVA); Einaudi Institute for Economics and Finance; USC Marshall School of Business; USC Dornsife; Hong Kong; Philadelphia Fed; Virginia; Florida State; Board of Governor; Queen Mary; Bonn; CEMFI; Hitotsubashi; </w:t>
      </w:r>
      <w:r>
        <w:rPr>
          <w:rStyle w:val="None"/>
          <w:b/>
          <w:bCs/>
          <w:sz w:val="24"/>
          <w:szCs w:val="24"/>
          <w:u w:val="single"/>
        </w:rPr>
        <w:t>2014-</w:t>
      </w:r>
      <w:r>
        <w:rPr>
          <w:rStyle w:val="None"/>
          <w:sz w:val="24"/>
          <w:szCs w:val="24"/>
        </w:rPr>
        <w:t xml:space="preserve"> Stanford; Bank of Canada; Kyoto</w:t>
      </w:r>
    </w:p>
    <w:p w14:paraId="16C651F3" w14:textId="77777777" w:rsidR="003B68CF" w:rsidRDefault="003B68CF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A"/>
          <w:sz w:val="24"/>
          <w:szCs w:val="24"/>
        </w:rPr>
      </w:pPr>
    </w:p>
    <w:p w14:paraId="5142A055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spacing w:after="120"/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b/>
          <w:bCs/>
          <w:sz w:val="24"/>
          <w:szCs w:val="24"/>
          <w:u w:val="single"/>
        </w:rPr>
        <w:t>Teaching</w:t>
      </w:r>
    </w:p>
    <w:p w14:paraId="040DBA8B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Macroeconomics for Policy (Winter-Spring 2021; 2022; 2023; 2024, Queen Mary)</w:t>
      </w:r>
    </w:p>
    <w:p w14:paraId="1DBA1BEC" w14:textId="7B840661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Principles of Macroeconomics (Autumn 2020; 2021; 2022; 2023; 2024, </w:t>
      </w:r>
      <w:r w:rsidR="00694E87">
        <w:rPr>
          <w:rStyle w:val="None"/>
          <w:sz w:val="24"/>
          <w:szCs w:val="24"/>
        </w:rPr>
        <w:t xml:space="preserve">2025, </w:t>
      </w:r>
      <w:r>
        <w:rPr>
          <w:rStyle w:val="None"/>
          <w:sz w:val="24"/>
          <w:szCs w:val="24"/>
        </w:rPr>
        <w:t>Keio)</w:t>
      </w:r>
    </w:p>
    <w:p w14:paraId="07CDF3C5" w14:textId="0659E592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Intermediate Macroeconomics (Autumn 2020; 2021; 2022; 2023; 2024, </w:t>
      </w:r>
      <w:r w:rsidR="00694E87">
        <w:rPr>
          <w:rStyle w:val="None"/>
          <w:sz w:val="24"/>
          <w:szCs w:val="24"/>
        </w:rPr>
        <w:t xml:space="preserve">2025, </w:t>
      </w:r>
      <w:r>
        <w:rPr>
          <w:rStyle w:val="None"/>
          <w:sz w:val="24"/>
          <w:szCs w:val="24"/>
        </w:rPr>
        <w:t>Keio)</w:t>
      </w:r>
    </w:p>
    <w:p w14:paraId="030D878A" w14:textId="5197FCAE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Advanced Macroeconomics (Autumn 2020; 2021; 2022; 2023; 2024, </w:t>
      </w:r>
      <w:r w:rsidR="00694E87">
        <w:rPr>
          <w:rStyle w:val="None"/>
          <w:sz w:val="24"/>
          <w:szCs w:val="24"/>
        </w:rPr>
        <w:t xml:space="preserve">2025, </w:t>
      </w:r>
      <w:r>
        <w:rPr>
          <w:rStyle w:val="None"/>
          <w:sz w:val="24"/>
          <w:szCs w:val="24"/>
        </w:rPr>
        <w:t>Keio)</w:t>
      </w:r>
    </w:p>
    <w:p w14:paraId="39156ABC" w14:textId="554E7135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  <w:lang w:val="it-IT"/>
        </w:rPr>
      </w:pPr>
      <w:r>
        <w:rPr>
          <w:rStyle w:val="None"/>
          <w:sz w:val="24"/>
          <w:szCs w:val="24"/>
          <w:lang w:val="it-IT"/>
        </w:rPr>
        <w:t xml:space="preserve">Quantitative Macroeconomics (Spring 2021; 2022; 2023; 2024, </w:t>
      </w:r>
      <w:r w:rsidR="00694E87">
        <w:rPr>
          <w:rStyle w:val="None"/>
          <w:sz w:val="24"/>
          <w:szCs w:val="24"/>
          <w:lang w:val="it-IT"/>
        </w:rPr>
        <w:t xml:space="preserve">2025, </w:t>
      </w:r>
      <w:r>
        <w:rPr>
          <w:rStyle w:val="None"/>
          <w:sz w:val="24"/>
          <w:szCs w:val="24"/>
          <w:lang w:val="it-IT"/>
        </w:rPr>
        <w:t>Keio)</w:t>
      </w:r>
    </w:p>
    <w:p w14:paraId="05AC9195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Macroeconomics 2 (Autumn 2017; 2018, Queen Mary)</w:t>
      </w:r>
    </w:p>
    <w:p w14:paraId="4859BF18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Macroeconomic Policy (Autumn 2015; 2016; 2017; 2018; 2019, Queen Mary)</w:t>
      </w:r>
    </w:p>
    <w:p w14:paraId="3604DDE0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  <w:rPr>
          <w:rStyle w:val="None"/>
          <w:b/>
          <w:bCs/>
          <w:sz w:val="24"/>
          <w:szCs w:val="24"/>
          <w:u w:val="single"/>
        </w:rPr>
      </w:pPr>
      <w:r>
        <w:rPr>
          <w:rStyle w:val="None"/>
          <w:sz w:val="24"/>
          <w:szCs w:val="24"/>
        </w:rPr>
        <w:t>Principles of Macroeconomics (Winter 2014, TA, Ohio State)</w:t>
      </w:r>
    </w:p>
    <w:p w14:paraId="73C0B243" w14:textId="77777777" w:rsidR="003B68CF" w:rsidRDefault="00000000">
      <w:pPr>
        <w:pStyle w:val="BodyA"/>
        <w:tabs>
          <w:tab w:val="clear" w:pos="7920"/>
          <w:tab w:val="left" w:pos="1440"/>
          <w:tab w:val="left" w:pos="2160"/>
          <w:tab w:val="left" w:pos="2880"/>
          <w:tab w:val="left" w:pos="3600"/>
          <w:tab w:val="left" w:pos="5040"/>
        </w:tabs>
      </w:pPr>
      <w:r>
        <w:rPr>
          <w:rStyle w:val="None"/>
          <w:sz w:val="24"/>
          <w:szCs w:val="24"/>
        </w:rPr>
        <w:t>Intermediate of Microeconomics (Autumn 2013, TA, Ohio State)</w:t>
      </w:r>
    </w:p>
    <w:sectPr w:rsidR="003B68CF">
      <w:type w:val="continuous"/>
      <w:pgSz w:w="12240" w:h="15840"/>
      <w:pgMar w:top="1440" w:right="1080" w:bottom="1440" w:left="1080" w:header="567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9BC77" w14:textId="77777777" w:rsidR="005077F0" w:rsidRDefault="005077F0">
      <w:r>
        <w:separator/>
      </w:r>
    </w:p>
  </w:endnote>
  <w:endnote w:type="continuationSeparator" w:id="0">
    <w:p w14:paraId="636E7850" w14:textId="77777777" w:rsidR="005077F0" w:rsidRDefault="0050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0A89" w14:textId="77777777" w:rsidR="003B68CF" w:rsidRDefault="00000000">
    <w:pPr>
      <w:pStyle w:val="Footer"/>
    </w:pPr>
    <w:r>
      <w:rPr>
        <w:rStyle w:val="NoneA"/>
      </w:rPr>
      <w:t>Tatsuro Senga</w:t>
    </w:r>
    <w:r>
      <w:rPr>
        <w:rStyle w:val="NoneA"/>
      </w:rPr>
      <w:tab/>
    </w:r>
    <w:r>
      <w:rPr>
        <w:rStyle w:val="NoneA"/>
      </w:rPr>
      <w:tab/>
    </w:r>
    <w:r>
      <w:rPr>
        <w:rStyle w:val="NoneA"/>
      </w:rPr>
      <w:tab/>
      <w:t xml:space="preserve">Page </w:t>
    </w:r>
    <w:r>
      <w:rPr>
        <w:rStyle w:val="NoneA"/>
      </w:rPr>
      <w:fldChar w:fldCharType="begin"/>
    </w:r>
    <w:r>
      <w:rPr>
        <w:rStyle w:val="NoneA"/>
      </w:rPr>
      <w:instrText xml:space="preserve"> PAGE </w:instrText>
    </w:r>
    <w:r>
      <w:rPr>
        <w:rStyle w:val="NoneA"/>
      </w:rPr>
      <w:fldChar w:fldCharType="separate"/>
    </w:r>
    <w:r w:rsidR="00694E87">
      <w:rPr>
        <w:rStyle w:val="NoneA"/>
        <w:noProof/>
      </w:rPr>
      <w:t>1</w:t>
    </w:r>
    <w:r>
      <w:rPr>
        <w:rStyle w:val="NoneA"/>
      </w:rPr>
      <w:fldChar w:fldCharType="end"/>
    </w:r>
    <w:r>
      <w:rPr>
        <w:rStyle w:val="NoneA"/>
      </w:rPr>
      <w:t>/</w:t>
    </w:r>
    <w:r>
      <w:rPr>
        <w:rStyle w:val="NoneA"/>
      </w:rPr>
      <w:fldChar w:fldCharType="begin"/>
    </w:r>
    <w:r>
      <w:rPr>
        <w:rStyle w:val="NoneA"/>
      </w:rPr>
      <w:instrText xml:space="preserve"> NUMPAGES </w:instrText>
    </w:r>
    <w:r>
      <w:rPr>
        <w:rStyle w:val="NoneA"/>
      </w:rPr>
      <w:fldChar w:fldCharType="separate"/>
    </w:r>
    <w:r w:rsidR="00694E87">
      <w:rPr>
        <w:rStyle w:val="NoneA"/>
        <w:noProof/>
      </w:rPr>
      <w:t>2</w:t>
    </w:r>
    <w:r>
      <w:rPr>
        <w:rStyle w:val="None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ADAB" w14:textId="77777777" w:rsidR="005077F0" w:rsidRDefault="005077F0">
      <w:r>
        <w:separator/>
      </w:r>
    </w:p>
  </w:footnote>
  <w:footnote w:type="continuationSeparator" w:id="0">
    <w:p w14:paraId="67A35391" w14:textId="77777777" w:rsidR="005077F0" w:rsidRDefault="0050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DF4A" w14:textId="77777777" w:rsidR="003B68CF" w:rsidRDefault="00000000">
    <w:pPr>
      <w:pStyle w:val="Header"/>
      <w:tabs>
        <w:tab w:val="clear" w:pos="4320"/>
        <w:tab w:val="clear" w:pos="8640"/>
        <w:tab w:val="right" w:pos="9360"/>
      </w:tabs>
      <w:jc w:val="right"/>
      <w:rPr>
        <w:sz w:val="21"/>
        <w:szCs w:val="21"/>
      </w:rPr>
    </w:pPr>
    <w:r>
      <w:rPr>
        <w:sz w:val="21"/>
        <w:szCs w:val="21"/>
      </w:rPr>
      <w:t>Curriculum Vita</w:t>
    </w:r>
  </w:p>
  <w:p w14:paraId="607C006C" w14:textId="7367FFF6" w:rsidR="003B68CF" w:rsidRDefault="00000000">
    <w:pPr>
      <w:pStyle w:val="Header"/>
      <w:tabs>
        <w:tab w:val="clear" w:pos="4320"/>
        <w:tab w:val="clear" w:pos="8640"/>
        <w:tab w:val="right" w:pos="9360"/>
      </w:tabs>
      <w:jc w:val="right"/>
    </w:pPr>
    <w:r>
      <w:rPr>
        <w:sz w:val="21"/>
        <w:szCs w:val="21"/>
      </w:rPr>
      <w:t xml:space="preserve"> </w:t>
    </w:r>
    <w:r w:rsidR="00694E87">
      <w:rPr>
        <w:sz w:val="21"/>
        <w:szCs w:val="21"/>
      </w:rPr>
      <w:t>October</w:t>
    </w:r>
    <w:r>
      <w:rPr>
        <w:sz w:val="21"/>
        <w:szCs w:val="21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451"/>
    <w:multiLevelType w:val="hybridMultilevel"/>
    <w:tmpl w:val="8AAA0F0C"/>
    <w:styleLink w:val="ImportedStyle4"/>
    <w:lvl w:ilvl="0" w:tplc="8CDEBD9E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5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40A424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07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E6C5DA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79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EE570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251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56AB44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23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68D74A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95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3279B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467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98A564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539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2C3DCC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6117" w:hanging="35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9EF651D"/>
    <w:multiLevelType w:val="hybridMultilevel"/>
    <w:tmpl w:val="43E63AC8"/>
    <w:numStyleLink w:val="ImportedStyle3"/>
  </w:abstractNum>
  <w:abstractNum w:abstractNumId="2" w15:restartNumberingAfterBreak="0">
    <w:nsid w:val="2CC835FF"/>
    <w:multiLevelType w:val="hybridMultilevel"/>
    <w:tmpl w:val="8AAA0F0C"/>
    <w:numStyleLink w:val="ImportedStyle4"/>
  </w:abstractNum>
  <w:abstractNum w:abstractNumId="3" w15:restartNumberingAfterBreak="0">
    <w:nsid w:val="3DC55CCD"/>
    <w:multiLevelType w:val="hybridMultilevel"/>
    <w:tmpl w:val="F65CB8E0"/>
    <w:styleLink w:val="ImportedStyle1"/>
    <w:lvl w:ilvl="0" w:tplc="E514CE9C">
      <w:start w:val="1"/>
      <w:numFmt w:val="bullet"/>
      <w:lvlText w:val="·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F021DE">
      <w:start w:val="1"/>
      <w:numFmt w:val="bullet"/>
      <w:lvlText w:val="o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386D20">
      <w:start w:val="1"/>
      <w:numFmt w:val="bullet"/>
      <w:lvlText w:val="▪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right" w:pos="79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086574">
      <w:start w:val="1"/>
      <w:numFmt w:val="bullet"/>
      <w:lvlText w:val="·"/>
      <w:lvlJc w:val="left"/>
      <w:pPr>
        <w:tabs>
          <w:tab w:val="left" w:pos="1440"/>
          <w:tab w:val="left" w:pos="2160"/>
          <w:tab w:val="left" w:pos="3600"/>
          <w:tab w:val="left" w:pos="4320"/>
          <w:tab w:val="left" w:pos="5040"/>
          <w:tab w:val="right" w:pos="79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9461EE">
      <w:start w:val="1"/>
      <w:numFmt w:val="bullet"/>
      <w:lvlText w:val="o"/>
      <w:lvlJc w:val="left"/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right" w:pos="79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847288">
      <w:start w:val="1"/>
      <w:numFmt w:val="bullet"/>
      <w:lvlText w:val="▪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5040"/>
          <w:tab w:val="right" w:pos="79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9EBA48">
      <w:start w:val="1"/>
      <w:numFmt w:val="bullet"/>
      <w:lvlText w:val="·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right" w:pos="79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6C2304">
      <w:start w:val="1"/>
      <w:numFmt w:val="bullet"/>
      <w:lvlText w:val="o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3D0DFDA">
      <w:start w:val="1"/>
      <w:numFmt w:val="bullet"/>
      <w:lvlText w:val="▪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2F02D15"/>
    <w:multiLevelType w:val="hybridMultilevel"/>
    <w:tmpl w:val="F65CB8E0"/>
    <w:numStyleLink w:val="ImportedStyle1"/>
  </w:abstractNum>
  <w:abstractNum w:abstractNumId="5" w15:restartNumberingAfterBreak="0">
    <w:nsid w:val="59AC62D2"/>
    <w:multiLevelType w:val="hybridMultilevel"/>
    <w:tmpl w:val="60681096"/>
    <w:numStyleLink w:val="ImportedStyle2"/>
  </w:abstractNum>
  <w:abstractNum w:abstractNumId="6" w15:restartNumberingAfterBreak="0">
    <w:nsid w:val="5DA723A2"/>
    <w:multiLevelType w:val="hybridMultilevel"/>
    <w:tmpl w:val="60681096"/>
    <w:styleLink w:val="ImportedStyle2"/>
    <w:lvl w:ilvl="0" w:tplc="C66EFD0C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9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B60FC8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11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4A28EC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83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CAC0DC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255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5AD69E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27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162C6A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99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64A2AC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471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F25D4C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543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3EC772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615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0280822"/>
    <w:multiLevelType w:val="hybridMultilevel"/>
    <w:tmpl w:val="43E63AC8"/>
    <w:styleLink w:val="ImportedStyle3"/>
    <w:lvl w:ilvl="0" w:tplc="840A0BD6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91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126894A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11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C037D2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183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18409C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2551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522FB6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27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EEC164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399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7689D0">
      <w:start w:val="1"/>
      <w:numFmt w:val="bullet"/>
      <w:lvlText w:val="·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4711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A2BE96">
      <w:start w:val="1"/>
      <w:numFmt w:val="bullet"/>
      <w:lvlText w:val="o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543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B48CD8">
      <w:start w:val="1"/>
      <w:numFmt w:val="bullet"/>
      <w:lvlText w:val="▪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7920"/>
        </w:tabs>
        <w:ind w:left="6151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4641771">
    <w:abstractNumId w:val="3"/>
  </w:num>
  <w:num w:numId="2" w16cid:durableId="787354676">
    <w:abstractNumId w:val="4"/>
  </w:num>
  <w:num w:numId="3" w16cid:durableId="133185425">
    <w:abstractNumId w:val="6"/>
  </w:num>
  <w:num w:numId="4" w16cid:durableId="1039666280">
    <w:abstractNumId w:val="5"/>
  </w:num>
  <w:num w:numId="5" w16cid:durableId="1969432492">
    <w:abstractNumId w:val="7"/>
  </w:num>
  <w:num w:numId="6" w16cid:durableId="1556694690">
    <w:abstractNumId w:val="1"/>
  </w:num>
  <w:num w:numId="7" w16cid:durableId="1003047387">
    <w:abstractNumId w:val="1"/>
    <w:lvlOverride w:ilvl="0">
      <w:lvl w:ilvl="0" w:tplc="5C6AC5BC">
        <w:start w:val="1"/>
        <w:numFmt w:val="bullet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9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0F405A4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111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882FF9C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183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B125ADE">
        <w:start w:val="1"/>
        <w:numFmt w:val="bullet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255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1A88712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27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F18F412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99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26F1A">
        <w:start w:val="1"/>
        <w:numFmt w:val="bullet"/>
        <w:lvlText w:val="·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471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FCA3E6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543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686EE94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6153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263811112">
    <w:abstractNumId w:val="0"/>
  </w:num>
  <w:num w:numId="9" w16cid:durableId="1794205070">
    <w:abstractNumId w:val="2"/>
  </w:num>
  <w:num w:numId="10" w16cid:durableId="381441129">
    <w:abstractNumId w:val="2"/>
    <w:lvlOverride w:ilvl="0">
      <w:lvl w:ilvl="0" w:tplc="102E00E2">
        <w:start w:val="1"/>
        <w:numFmt w:val="bullet"/>
        <w:lvlText w:val="-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E2AD83E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9B4E7EE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60E978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5688544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792A6C2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77C7D4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1B81C94">
        <w:start w:val="1"/>
        <w:numFmt w:val="bullet"/>
        <w:lvlText w:val="o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138A8B0">
        <w:start w:val="1"/>
        <w:numFmt w:val="bullet"/>
        <w:lvlText w:val="▪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right" w:pos="7920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8CF"/>
    <w:rsid w:val="003B68CF"/>
    <w:rsid w:val="00400803"/>
    <w:rsid w:val="005077F0"/>
    <w:rsid w:val="00694E87"/>
    <w:rsid w:val="00ED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80F1"/>
  <w15:docId w15:val="{51BFF517-D77D-4092-A65D-08C9391F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cs="Arial Unicode MS"/>
      <w:color w:val="000000"/>
      <w:u w:color="000000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u w:color="000000"/>
    </w:rPr>
  </w:style>
  <w:style w:type="character" w:customStyle="1" w:styleId="NoneA">
    <w:name w:val="None A"/>
    <w:rPr>
      <w:lang w:val="en-US"/>
    </w:rPr>
  </w:style>
  <w:style w:type="paragraph" w:customStyle="1" w:styleId="BodyA">
    <w:name w:val="Body A"/>
    <w:pPr>
      <w:tabs>
        <w:tab w:val="left" w:pos="720"/>
        <w:tab w:val="center" w:pos="4320"/>
        <w:tab w:val="right" w:pos="7920"/>
      </w:tabs>
    </w:pPr>
    <w:rPr>
      <w:rFonts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sz w:val="24"/>
      <w:szCs w:val="24"/>
      <w:u w:val="single" w:color="0000FF"/>
    </w:rPr>
  </w:style>
  <w:style w:type="character" w:customStyle="1" w:styleId="LinkA">
    <w:name w:val="Link A"/>
    <w:rPr>
      <w:outline w:val="0"/>
      <w:color w:val="0000FF"/>
      <w:u w:val="single" w:color="0000FF"/>
    </w:rPr>
  </w:style>
  <w:style w:type="paragraph" w:styleId="ListParagraph">
    <w:name w:val="List Paragraph"/>
    <w:pPr>
      <w:tabs>
        <w:tab w:val="left" w:pos="720"/>
        <w:tab w:val="center" w:pos="4320"/>
        <w:tab w:val="right" w:pos="7920"/>
      </w:tabs>
      <w:ind w:left="720"/>
    </w:pPr>
    <w:rPr>
      <w:rFonts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atsuro-senga.net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Tatsuro Senga</cp:lastModifiedBy>
  <cp:revision>3</cp:revision>
  <dcterms:created xsi:type="dcterms:W3CDTF">2025-11-21T10:49:00Z</dcterms:created>
  <dcterms:modified xsi:type="dcterms:W3CDTF">2025-11-21T10:52:00Z</dcterms:modified>
</cp:coreProperties>
</file>