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7030A0"/>
          <w:sz w:val="34"/>
          <w:szCs w:val="34"/>
        </w:rPr>
        <w:t xml:space="preserve">MARKETING FUNNEL &amp; SALES CONVERSION ANALYSIS</w:t>
      </w:r>
    </w:p>
    <w:p>
      <w:pPr>
        <w:spacing w:after="100"/>
      </w:pPr>
      <w:r>
        <w:rPr>
          <w:rFonts w:ascii="Calibri" w:cs="Calibri" w:eastAsia="Calibri" w:hAnsi="Calibri"/>
          <w:i/>
          <w:iCs/>
          <w:color w:val="555555"/>
          <w:sz w:val="22"/>
          <w:szCs w:val="22"/>
        </w:rPr>
        <w:t xml:space="preserve">A B2B Seller Acquisition Funnel &amp; Sales Efficiency Study</w:t>
      </w:r>
    </w:p>
    <w:p>
      <w:pPr>
        <w:spacing w:after="40"/>
      </w:pPr>
      <w:r>
        <w:rPr>
          <w:rFonts w:ascii="Calibri" w:cs="Calibri" w:eastAsia="Calibri" w:hAnsi="Calibri"/>
          <w:b/>
          <w:bCs/>
          <w:color w:val="222222"/>
          <w:sz w:val="19"/>
          <w:szCs w:val="19"/>
        </w:rPr>
        <w:t xml:space="preserve">Tools used: </w:t>
      </w:r>
      <w:r>
        <w:rPr>
          <w:rFonts w:ascii="Calibri" w:cs="Calibri" w:eastAsia="Calibri" w:hAnsi="Calibri"/>
          <w:color w:val="222222"/>
          <w:sz w:val="19"/>
          <w:szCs w:val="19"/>
        </w:rPr>
        <w:t xml:space="preserve">Python (Pandas) · SQL (BigQuery) · Power BI</w:t>
      </w:r>
    </w:p>
    <w:p>
      <w:pPr>
        <w:spacing w:after="220"/>
      </w:pPr>
      <w:r>
        <w:rPr>
          <w:rFonts w:ascii="Calibri" w:cs="Calibri" w:eastAsia="Calibri" w:hAnsi="Calibri"/>
          <w:b/>
          <w:bCs/>
          <w:color w:val="222222"/>
          <w:sz w:val="19"/>
          <w:szCs w:val="19"/>
        </w:rPr>
        <w:t xml:space="preserve">Dataset source: </w:t>
      </w:r>
      <w:r>
        <w:rPr>
          <w:rFonts w:ascii="Calibri" w:cs="Calibri" w:eastAsia="Calibri" w:hAnsi="Calibri"/>
          <w:color w:val="222222"/>
          <w:sz w:val="19"/>
          <w:szCs w:val="19"/>
        </w:rPr>
        <w:t xml:space="preserve">Kaggle — Marketing Funnel by Olist</w:t>
      </w:r>
    </w:p>
    <w:p>
      <w:pPr>
        <w:pBdr>
          <w:bottom w:val="single" w:color="7030A0" w:sz="8" w:space="4"/>
        </w:pBdr>
        <w:spacing w:after="120" w:before="320"/>
      </w:pPr>
      <w:r>
        <w:rPr>
          <w:rFonts w:ascii="Calibri" w:cs="Calibri" w:eastAsia="Calibri" w:hAnsi="Calibri"/>
          <w:b/>
          <w:bCs/>
          <w:color w:val="7030A0"/>
          <w:sz w:val="26"/>
          <w:szCs w:val="26"/>
        </w:rPr>
        <w:t xml:space="preserve">1. Project Overview</w:t>
      </w:r>
    </w:p>
    <w:p>
      <w:pPr>
        <w:spacing w:after="140"/>
      </w:pPr>
      <w:r>
        <w:rPr>
          <w:rFonts w:ascii="Calibri" w:cs="Calibri" w:eastAsia="Calibri" w:hAnsi="Calibri"/>
          <w:color w:val="222222"/>
          <w:sz w:val="20"/>
          <w:szCs w:val="20"/>
        </w:rPr>
        <w:t xml:space="preserve">Marketing Funnel by Olist is a real B2B seller-acquisition dataset: 8,000 sellers who filled out a "sell on Olist" landing page form (Marketing Qualified Leads, or MQLs) between June 2017 and June 2018, and the subset who were successfully converted into active sellers by Olist's sales team. This project analyzes that funnel to answer two linked business questions a CEO would actually ask: which acquisition channels and landing pages are worth the marketing spend, and how much of the conversion story is explained by lead quality versus sales team execution.</w:t>
      </w:r>
    </w:p>
    <w:p>
      <w:pPr>
        <w:spacing w:after="140"/>
      </w:pPr>
      <w:r>
        <w:rPr>
          <w:rFonts w:ascii="Calibri" w:cs="Calibri" w:eastAsia="Calibri" w:hAnsi="Calibri"/>
          <w:color w:val="222222"/>
          <w:sz w:val="20"/>
          <w:szCs w:val="20"/>
        </w:rPr>
        <w:t xml:space="preserve">The workflow follows the same three-stage pipeline used throughout this portfolio: data cleaning and integrity checks in Python, business-question analysis in SQL (BigQuery), and an interactive Power BI dashboard for stakeholder-facing exploration. Two tables anchor the analysis: a leads table (every MQL, whether or not they converted) and a closed-deals table (only the leads that were won), joined on a shared lead ID.</w:t>
      </w:r>
    </w:p>
    <w:p>
      <w:pPr>
        <w:pBdr>
          <w:bottom w:val="single" w:color="7030A0" w:sz="8" w:space="4"/>
        </w:pBdr>
        <w:spacing w:after="120" w:before="320"/>
      </w:pPr>
      <w:r>
        <w:rPr>
          <w:rFonts w:ascii="Calibri" w:cs="Calibri" w:eastAsia="Calibri" w:hAnsi="Calibri"/>
          <w:b/>
          <w:bCs/>
          <w:color w:val="7030A0"/>
          <w:sz w:val="26"/>
          <w:szCs w:val="26"/>
        </w:rPr>
        <w:t xml:space="preserve">2. Dataset Summary</w:t>
      </w:r>
    </w:p>
    <w:p>
      <w:pPr>
        <w:spacing w:after="160"/>
      </w:pPr>
      <w:r>
        <w:rPr>
          <w:rFonts w:ascii="Calibri" w:cs="Calibri" w:eastAsia="Calibri" w:hAnsi="Calibri"/>
          <w:b/>
          <w:bCs/>
          <w:color w:val="222222"/>
          <w:sz w:val="20"/>
          <w:szCs w:val="20"/>
        </w:rPr>
        <w:t xml:space="preserve">Leads table: </w:t>
      </w:r>
      <w:r>
        <w:rPr>
          <w:rFonts w:ascii="Calibri" w:cs="Calibri" w:eastAsia="Calibri" w:hAnsi="Calibri"/>
          <w:color w:val="222222"/>
          <w:sz w:val="20"/>
          <w:szCs w:val="20"/>
        </w:rPr>
        <w:t xml:space="preserve">8,000 rows · 4 columns    </w:t>
      </w:r>
      <w:r>
        <w:rPr>
          <w:rFonts w:ascii="Calibri" w:cs="Calibri" w:eastAsia="Calibri" w:hAnsi="Calibri"/>
          <w:b/>
          <w:bCs/>
          <w:color w:val="222222"/>
          <w:sz w:val="20"/>
          <w:szCs w:val="20"/>
        </w:rPr>
        <w:t xml:space="preserve">Closed deals table: </w:t>
      </w:r>
      <w:r>
        <w:rPr>
          <w:rFonts w:ascii="Calibri" w:cs="Calibri" w:eastAsia="Calibri" w:hAnsi="Calibri"/>
          <w:color w:val="222222"/>
          <w:sz w:val="20"/>
          <w:szCs w:val="20"/>
        </w:rPr>
        <w:t xml:space="preserve">842 rows (841 after data-integrity exclusion) · 14 columns</w:t>
      </w:r>
    </w:p>
    <w:p>
      <w:pPr>
        <w:spacing w:after="80" w:before="160"/>
      </w:pPr>
      <w:r>
        <w:rPr>
          <w:rFonts w:ascii="Calibri" w:cs="Calibri" w:eastAsia="Calibri" w:hAnsi="Calibri"/>
          <w:b/>
          <w:bCs/>
          <w:color w:val="222222"/>
          <w:sz w:val="20"/>
          <w:szCs w:val="20"/>
        </w:rPr>
        <w:t xml:space="preserve">Key Feature Groups</w:t>
      </w:r>
    </w:p>
    <w:p>
      <w:pPr>
        <w:pStyle w:val="ListParagraph"/>
        <w:numPr>
          <w:ilvl w:val="0"/>
          <w:numId w:val="1"/>
        </w:numPr>
        <w:spacing w:after="70"/>
      </w:pPr>
      <w:r>
        <w:rPr>
          <w:rFonts w:ascii="Calibri" w:cs="Calibri" w:eastAsia="Calibri" w:hAnsi="Calibri"/>
          <w:color w:val="222222"/>
          <w:sz w:val="20"/>
          <w:szCs w:val="20"/>
        </w:rPr>
        <w:t xml:space="preserve">Lead acquisition: unique lead ID, first contact date, landing page ID, origin (traffic channel)</w:t>
      </w:r>
    </w:p>
    <w:p>
      <w:pPr>
        <w:pStyle w:val="ListParagraph"/>
        <w:numPr>
          <w:ilvl w:val="0"/>
          <w:numId w:val="1"/>
        </w:numPr>
        <w:spacing w:after="70"/>
      </w:pPr>
      <w:r>
        <w:rPr>
          <w:rFonts w:ascii="Calibri" w:cs="Calibri" w:eastAsia="Calibri" w:hAnsi="Calibri"/>
          <w:color w:val="222222"/>
          <w:sz w:val="20"/>
          <w:szCs w:val="20"/>
        </w:rPr>
        <w:t xml:space="preserve">Deal outcome: seller ID, SDR ID, SR ID, date won</w:t>
      </w:r>
    </w:p>
    <w:p>
      <w:pPr>
        <w:pStyle w:val="ListParagraph"/>
        <w:numPr>
          <w:ilvl w:val="0"/>
          <w:numId w:val="1"/>
        </w:numPr>
        <w:spacing w:after="70"/>
      </w:pPr>
      <w:r>
        <w:rPr>
          <w:rFonts w:ascii="Calibri" w:cs="Calibri" w:eastAsia="Calibri" w:hAnsi="Calibri"/>
          <w:color w:val="222222"/>
          <w:sz w:val="20"/>
          <w:szCs w:val="20"/>
        </w:rPr>
        <w:t xml:space="preserve">Lead qualification profile: business segment, business type, lead type, lead behaviour profile (Eagle / Cat / Wolf / Shark)</w:t>
      </w:r>
    </w:p>
    <w:p>
      <w:pPr>
        <w:pStyle w:val="ListParagraph"/>
        <w:numPr>
          <w:ilvl w:val="0"/>
          <w:numId w:val="1"/>
        </w:numPr>
        <w:spacing w:after="70"/>
      </w:pPr>
      <w:r>
        <w:rPr>
          <w:rFonts w:ascii="Calibri" w:cs="Calibri" w:eastAsia="Calibri" w:hAnsi="Calibri"/>
          <w:color w:val="222222"/>
          <w:sz w:val="20"/>
          <w:szCs w:val="20"/>
        </w:rPr>
        <w:t xml:space="preserve">Declared business info: company registration, product barcodes, average stock, catalog size, declared monthly revenue</w:t>
      </w:r>
    </w:p>
    <w:p>
      <w:pPr>
        <w:spacing w:after="80" w:before="160"/>
      </w:pPr>
      <w:r>
        <w:rPr>
          <w:rFonts w:ascii="Calibri" w:cs="Calibri" w:eastAsia="Calibri" w:hAnsi="Calibri"/>
          <w:b/>
          <w:bCs/>
          <w:color w:val="222222"/>
          <w:sz w:val="20"/>
          <w:szCs w:val="20"/>
        </w:rPr>
        <w:t xml:space="preserve">Data Quality Notes</w:t>
      </w:r>
    </w:p>
    <w:p>
      <w:pPr>
        <w:pStyle w:val="ListParagraph"/>
        <w:numPr>
          <w:ilvl w:val="0"/>
          <w:numId w:val="1"/>
        </w:numPr>
        <w:spacing w:after="70"/>
      </w:pPr>
      <w:r>
        <w:rPr>
          <w:rFonts w:ascii="Calibri" w:cs="Calibri" w:eastAsia="Calibri" w:hAnsi="Calibri"/>
          <w:color w:val="222222"/>
          <w:sz w:val="20"/>
          <w:szCs w:val="20"/>
        </w:rPr>
        <w:t xml:space="preserve">Lead ID confirmed unique in both tables (0 duplicates) — safe as a join key.</w:t>
      </w:r>
    </w:p>
    <w:p>
      <w:pPr>
        <w:pStyle w:val="ListParagraph"/>
        <w:numPr>
          <w:ilvl w:val="0"/>
          <w:numId w:val="1"/>
        </w:numPr>
        <w:spacing w:after="70"/>
      </w:pPr>
      <w:r>
        <w:rPr>
          <w:rFonts w:ascii="Calibri" w:cs="Calibri" w:eastAsia="Calibri" w:hAnsi="Calibri"/>
          <w:color w:val="222222"/>
          <w:sz w:val="20"/>
          <w:szCs w:val="20"/>
        </w:rPr>
        <w:t xml:space="preserve">Seller ID confirmed unique in the closed-deals table — every closed deal represents a distinct seller.</w:t>
      </w:r>
    </w:p>
    <w:p>
      <w:pPr>
        <w:pStyle w:val="ListParagraph"/>
        <w:numPr>
          <w:ilvl w:val="0"/>
          <w:numId w:val="1"/>
        </w:numPr>
        <w:spacing w:after="70"/>
      </w:pPr>
      <w:r>
        <w:rPr>
          <w:rFonts w:ascii="Calibri" w:cs="Calibri" w:eastAsia="Calibri" w:hAnsi="Calibri"/>
          <w:color w:val="222222"/>
          <w:sz w:val="20"/>
          <w:szCs w:val="20"/>
        </w:rPr>
        <w:t xml:space="preserve">Origin had 60 blank values, merged with 1,099 pre-existing "unknown" entries (1,159 total) — both represent the same underlying meaning: no tracked channel.</w:t>
      </w:r>
    </w:p>
    <w:p>
      <w:pPr>
        <w:pStyle w:val="ListParagraph"/>
        <w:numPr>
          <w:ilvl w:val="0"/>
          <w:numId w:val="1"/>
        </w:numPr>
        <w:spacing w:after="70"/>
      </w:pPr>
      <w:r>
        <w:rPr>
          <w:rFonts w:ascii="Calibri" w:cs="Calibri" w:eastAsia="Calibri" w:hAnsi="Calibri"/>
          <w:color w:val="222222"/>
          <w:sz w:val="20"/>
          <w:szCs w:val="20"/>
        </w:rPr>
        <w:t xml:space="preserve">Landing page ID showed an extreme long-tail distribution: 495 unique pages, median of 2 leads per page, one single page driving 912 leads (~11% of the entire dataset).</w:t>
      </w:r>
    </w:p>
    <w:p>
      <w:pPr>
        <w:pStyle w:val="ListParagraph"/>
        <w:numPr>
          <w:ilvl w:val="0"/>
          <w:numId w:val="1"/>
        </w:numPr>
        <w:spacing w:after="70"/>
      </w:pPr>
      <w:r>
        <w:rPr>
          <w:rFonts w:ascii="Calibri" w:cs="Calibri" w:eastAsia="Calibri" w:hAnsi="Calibri"/>
          <w:color w:val="222222"/>
          <w:sz w:val="20"/>
          <w:szCs w:val="20"/>
        </w:rPr>
        <w:t xml:space="preserve">Four low-null categorical columns (business segment, lead type, business type, behaviour profile) filled as "not_specified" rather than imputed with mode, to avoid fabricating a specific category with no supporting evidence.</w:t>
      </w:r>
    </w:p>
    <w:p>
      <w:pPr>
        <w:pStyle w:val="ListParagraph"/>
        <w:numPr>
          <w:ilvl w:val="0"/>
          <w:numId w:val="1"/>
        </w:numPr>
        <w:spacing w:after="70"/>
      </w:pPr>
      <w:r>
        <w:rPr>
          <w:rFonts w:ascii="Calibri" w:cs="Calibri" w:eastAsia="Calibri" w:hAnsi="Calibri"/>
          <w:color w:val="222222"/>
          <w:sz w:val="20"/>
          <w:szCs w:val="20"/>
        </w:rPr>
        <w:t xml:space="preserve">Four columns — company registration, product barcodes, average stock, catalog size — were missing in over 90% of rows and excluded from all analysis; imputing them would mean fabricating the majority of the column.</w:t>
      </w:r>
    </w:p>
    <w:p>
      <w:pPr>
        <w:pStyle w:val="ListParagraph"/>
        <w:numPr>
          <w:ilvl w:val="0"/>
          <w:numId w:val="1"/>
        </w:numPr>
        <w:spacing w:after="70"/>
      </w:pPr>
      <w:r>
        <w:rPr>
          <w:rFonts w:ascii="Calibri" w:cs="Calibri" w:eastAsia="Calibri" w:hAnsi="Calibri"/>
          <w:color w:val="222222"/>
          <w:sz w:val="20"/>
          <w:szCs w:val="20"/>
        </w:rPr>
        <w:t xml:space="preserve">Declared monthly revenue: 797 of 842 rows (94.7%) showed an exact value of 0, spread across 235 different business-segment combinations with no real clustering pattern — diagnosed as disguised missing data (a system default, not a genuine self-report), converted to null, and excluded from analysis.</w:t>
      </w:r>
    </w:p>
    <w:p>
      <w:pPr>
        <w:pStyle w:val="ListParagraph"/>
        <w:numPr>
          <w:ilvl w:val="0"/>
          <w:numId w:val="1"/>
        </w:numPr>
        <w:spacing w:after="70"/>
      </w:pPr>
      <w:r>
        <w:rPr>
          <w:rFonts w:ascii="Calibri" w:cs="Calibri" w:eastAsia="Calibri" w:hAnsi="Calibri"/>
          <w:color w:val="222222"/>
          <w:sz w:val="20"/>
          <w:szCs w:val="20"/>
        </w:rPr>
        <w:t xml:space="preserve">16 leads were tagged with more than one behaviour profile (e.g. "cat, wolf") — bucketed as a distinct "mixed" category rather than merged into "not_specified," since the two mean different things: no data vs. conflicting data.</w:t>
      </w:r>
    </w:p>
    <w:p>
      <w:pPr>
        <w:pStyle w:val="ListParagraph"/>
        <w:numPr>
          <w:ilvl w:val="0"/>
          <w:numId w:val="1"/>
        </w:numPr>
        <w:spacing w:after="70"/>
      </w:pPr>
      <w:r>
        <w:rPr>
          <w:rFonts w:ascii="Calibri" w:cs="Calibri" w:eastAsia="Calibri" w:hAnsi="Calibri"/>
          <w:color w:val="222222"/>
          <w:sz w:val="20"/>
          <w:szCs w:val="20"/>
        </w:rPr>
        <w:t xml:space="preserve">One closed deal showed a won date earlier than its own first-contact date — a logical impossibility. Excluded from the dataset (final closed-deal count: 841).</w:t>
      </w:r>
    </w:p>
    <w:p>
      <w:pPr>
        <w:pBdr>
          <w:bottom w:val="single" w:color="7030A0" w:sz="8" w:space="4"/>
        </w:pBdr>
        <w:spacing w:after="120" w:before="320"/>
      </w:pPr>
      <w:r>
        <w:rPr>
          <w:rFonts w:ascii="Calibri" w:cs="Calibri" w:eastAsia="Calibri" w:hAnsi="Calibri"/>
          <w:b/>
          <w:bCs/>
          <w:color w:val="7030A0"/>
          <w:sz w:val="26"/>
          <w:szCs w:val="26"/>
        </w:rPr>
        <w:t xml:space="preserve">3. Exploratory Data Analysis &amp; Cleaning (Python)</w:t>
      </w:r>
    </w:p>
    <w:p>
      <w:pPr>
        <w:spacing w:after="140"/>
      </w:pPr>
      <w:r>
        <w:rPr>
          <w:rFonts w:ascii="Calibri" w:cs="Calibri" w:eastAsia="Calibri" w:hAnsi="Calibri"/>
          <w:color w:val="222222"/>
          <w:sz w:val="20"/>
          <w:szCs w:val="20"/>
        </w:rPr>
        <w:t xml:space="preserve">Both tables were loaded and inspected in Pandas to confirm structure, verify key integrity, and identify data quality issues before any analysis began.</w:t>
      </w:r>
    </w:p>
    <w:p>
      <w:pPr>
        <w:spacing w:after="80" w:before="160"/>
      </w:pPr>
      <w:r>
        <w:rPr>
          <w:rFonts w:ascii="Calibri" w:cs="Calibri" w:eastAsia="Calibri" w:hAnsi="Calibri"/>
          <w:b/>
          <w:bCs/>
          <w:color w:val="222222"/>
          <w:sz w:val="20"/>
          <w:szCs w:val="20"/>
        </w:rPr>
        <w:t xml:space="preserve">3.1 Key integrity and structure check</w:t>
      </w:r>
    </w:p>
    <w:p>
      <w:pPr>
        <w:pBdr>
          <w:top w:val="single" w:color="DDDDDD" w:sz="2"/>
          <w:bottom w:val="single" w:color="DDDDDD" w:sz="2"/>
          <w:left w:val="single" w:color="DDDDDD" w:sz="2"/>
          <w:right w:val="single" w:color="DDDDDD" w:sz="2"/>
        </w:pBdr>
        <w:shd w:fill="F2F2F2" w:color="auto" w:val="clear"/>
        <w:spacing w:after="160" w:before="100"/>
      </w:pPr>
      <w:r>
        <w:rPr>
          <w:rFonts w:ascii="Consolas" w:cs="Consolas" w:eastAsia="Consolas" w:hAnsi="Consolas"/>
          <w:color w:val="333333"/>
          <w:sz w:val="18"/>
          <w:szCs w:val="18"/>
        </w:rPr>
        <w:t xml:space="preserve">leads['mql_id'].duplicated().sum()        # 0 — confirmed unique join key</w:t>
      </w:r>
      <w:r>
        <w:rPr>
          <w:rFonts w:ascii="Consolas" w:cs="Consolas" w:eastAsia="Consolas" w:hAnsi="Consolas"/>
          <w:color w:val="333333"/>
          <w:sz w:val="18"/>
          <w:szCs w:val="18"/>
        </w:rPr>
        <w:br/>
        <w:t xml:space="preserve">deals['mql_id'].duplicated().sum()        # 0</w:t>
      </w:r>
      <w:r>
        <w:rPr>
          <w:rFonts w:ascii="Consolas" w:cs="Consolas" w:eastAsia="Consolas" w:hAnsi="Consolas"/>
          <w:color w:val="333333"/>
          <w:sz w:val="18"/>
          <w:szCs w:val="18"/>
        </w:rPr>
        <w:br/>
        <w:t xml:space="preserve">deals['seller_id'].duplicated().sum()     # 0 — every deal = a distinct seller</w:t>
      </w:r>
    </w:p>
    <w:p>
      <w:pPr>
        <w:spacing w:after="80" w:before="160"/>
      </w:pPr>
      <w:r>
        <w:rPr>
          <w:rFonts w:ascii="Calibri" w:cs="Calibri" w:eastAsia="Calibri" w:hAnsi="Calibri"/>
          <w:b/>
          <w:bCs/>
          <w:color w:val="222222"/>
          <w:sz w:val="20"/>
          <w:szCs w:val="20"/>
        </w:rPr>
        <w:t xml:space="preserve">3.2 Missing value handling</w:t>
      </w:r>
    </w:p>
    <w:p>
      <w:pPr>
        <w:pBdr>
          <w:top w:val="single" w:color="DDDDDD" w:sz="2"/>
          <w:bottom w:val="single" w:color="DDDDDD" w:sz="2"/>
          <w:left w:val="single" w:color="DDDDDD" w:sz="2"/>
          <w:right w:val="single" w:color="DDDDDD" w:sz="2"/>
        </w:pBdr>
        <w:shd w:fill="F2F2F2" w:color="auto" w:val="clear"/>
        <w:spacing w:after="160" w:before="100"/>
      </w:pPr>
      <w:r>
        <w:rPr>
          <w:rFonts w:ascii="Consolas" w:cs="Consolas" w:eastAsia="Consolas" w:hAnsi="Consolas"/>
          <w:color w:val="333333"/>
          <w:sz w:val="18"/>
          <w:szCs w:val="18"/>
        </w:rPr>
        <w:t xml:space="preserve">leads['origin'] = leads['origin'].fillna('unknown')</w:t>
      </w:r>
      <w:r>
        <w:rPr>
          <w:rFonts w:ascii="Consolas" w:cs="Consolas" w:eastAsia="Consolas" w:hAnsi="Consolas"/>
          <w:color w:val="333333"/>
          <w:sz w:val="18"/>
          <w:szCs w:val="18"/>
        </w:rPr>
        <w:br/>
        <w:t xml:space="preserve"/>
      </w:r>
      <w:r>
        <w:rPr>
          <w:rFonts w:ascii="Consolas" w:cs="Consolas" w:eastAsia="Consolas" w:hAnsi="Consolas"/>
          <w:color w:val="333333"/>
          <w:sz w:val="18"/>
          <w:szCs w:val="18"/>
        </w:rPr>
        <w:br/>
        <w:t xml:space="preserve"># Low-null categorical columns: fill with explicit placeholder,</w:t>
      </w:r>
      <w:r>
        <w:rPr>
          <w:rFonts w:ascii="Consolas" w:cs="Consolas" w:eastAsia="Consolas" w:hAnsi="Consolas"/>
          <w:color w:val="333333"/>
          <w:sz w:val="18"/>
          <w:szCs w:val="18"/>
        </w:rPr>
        <w:br/>
        <w:t xml:space="preserve"># not mode — avoids fabricating a specific category</w:t>
      </w:r>
      <w:r>
        <w:rPr>
          <w:rFonts w:ascii="Consolas" w:cs="Consolas" w:eastAsia="Consolas" w:hAnsi="Consolas"/>
          <w:color w:val="333333"/>
          <w:sz w:val="18"/>
          <w:szCs w:val="18"/>
        </w:rPr>
        <w:br/>
        <w:t xml:space="preserve">for col in ['business_segment','lead_type','business_type','lead_behaviour_profile']:</w:t>
      </w:r>
      <w:r>
        <w:rPr>
          <w:rFonts w:ascii="Consolas" w:cs="Consolas" w:eastAsia="Consolas" w:hAnsi="Consolas"/>
          <w:color w:val="333333"/>
          <w:sz w:val="18"/>
          <w:szCs w:val="18"/>
        </w:rPr>
        <w:br/>
        <w:t xml:space="preserve">    deals[col] = deals[col].fillna('not_specified')</w:t>
      </w:r>
      <w:r>
        <w:rPr>
          <w:rFonts w:ascii="Consolas" w:cs="Consolas" w:eastAsia="Consolas" w:hAnsi="Consolas"/>
          <w:color w:val="333333"/>
          <w:sz w:val="18"/>
          <w:szCs w:val="18"/>
        </w:rPr>
        <w:br/>
        <w:t xml:space="preserve"/>
      </w:r>
      <w:r>
        <w:rPr>
          <w:rFonts w:ascii="Consolas" w:cs="Consolas" w:eastAsia="Consolas" w:hAnsi="Consolas"/>
          <w:color w:val="333333"/>
          <w:sz w:val="18"/>
          <w:szCs w:val="18"/>
        </w:rPr>
        <w:br/>
        <w:t xml:space="preserve"># High-null columns (&gt;90% missing): left as null, excluded from analysis</w:t>
      </w:r>
    </w:p>
    <w:p>
      <w:pPr>
        <w:spacing w:after="160"/>
      </w:pPr>
      <w:r>
        <w:rPr>
          <w:rFonts w:ascii="Calibri" w:cs="Calibri" w:eastAsia="Calibri" w:hAnsi="Calibri"/>
          <w:b/>
          <w:bCs/>
          <w:color w:val="222222"/>
          <w:sz w:val="19"/>
          <w:szCs w:val="19"/>
        </w:rPr>
        <w:t xml:space="preserve">Note: </w:t>
      </w:r>
      <w:r>
        <w:rPr>
          <w:rFonts w:ascii="Calibri" w:cs="Calibri" w:eastAsia="Calibri" w:hAnsi="Calibri"/>
          <w:i/>
          <w:iCs/>
          <w:color w:val="555555"/>
          <w:sz w:val="19"/>
          <w:szCs w:val="19"/>
        </w:rPr>
        <w:t xml:space="preserve">Missingness above roughly 90% was treated as insufficient coverage to support a reliable business conclusion, not as a gap to fill — filling it would mean the resulting statistic was mostly invented rather than observed.</w:t>
      </w:r>
    </w:p>
    <w:p>
      <w:pPr>
        <w:spacing w:after="80" w:before="160"/>
      </w:pPr>
      <w:r>
        <w:rPr>
          <w:rFonts w:ascii="Calibri" w:cs="Calibri" w:eastAsia="Calibri" w:hAnsi="Calibri"/>
          <w:b/>
          <w:bCs/>
          <w:color w:val="222222"/>
          <w:sz w:val="20"/>
          <w:szCs w:val="20"/>
        </w:rPr>
        <w:t xml:space="preserve">3.3 Disguised missing data check (declared_monthly_revenue)</w:t>
      </w:r>
    </w:p>
    <w:p>
      <w:pPr>
        <w:pBdr>
          <w:top w:val="single" w:color="DDDDDD" w:sz="2"/>
          <w:bottom w:val="single" w:color="DDDDDD" w:sz="2"/>
          <w:left w:val="single" w:color="DDDDDD" w:sz="2"/>
          <w:right w:val="single" w:color="DDDDDD" w:sz="2"/>
        </w:pBdr>
        <w:shd w:fill="F2F2F2" w:color="auto" w:val="clear"/>
        <w:spacing w:after="160" w:before="100"/>
      </w:pPr>
      <w:r>
        <w:rPr>
          <w:rFonts w:ascii="Consolas" w:cs="Consolas" w:eastAsia="Consolas" w:hAnsi="Consolas"/>
          <w:color w:val="333333"/>
          <w:sz w:val="18"/>
          <w:szCs w:val="18"/>
        </w:rPr>
        <w:t xml:space="preserve">(deals['declared_monthly_revenue'] == 0).sum()   # 797 of 842 rows</w:t>
      </w:r>
      <w:r>
        <w:rPr>
          <w:rFonts w:ascii="Consolas" w:cs="Consolas" w:eastAsia="Consolas" w:hAnsi="Consolas"/>
          <w:color w:val="333333"/>
          <w:sz w:val="18"/>
          <w:szCs w:val="18"/>
        </w:rPr>
        <w:br/>
        <w:t xml:space="preserve">deals['declared_monthly_revenue'] = deals['declared_monthly_revenue'].replace(0, np.nan)</w:t>
      </w:r>
    </w:p>
    <w:p>
      <w:pPr>
        <w:spacing w:after="60" w:before="100"/>
      </w:pPr>
      <w:r>
        <w:rPr>
          <w:rFonts w:ascii="Calibri" w:cs="Calibri" w:eastAsia="Calibri" w:hAnsi="Calibri"/>
          <w:b/>
          <w:bCs/>
          <w:i/>
          <w:iCs/>
          <w:color w:val="7030A0"/>
          <w:sz w:val="20"/>
          <w:szCs w:val="20"/>
        </w:rPr>
        <w:t xml:space="preserve">Insight: </w:t>
      </w:r>
      <w:r>
        <w:rPr>
          <w:rFonts w:ascii="Calibri" w:cs="Calibri" w:eastAsia="Calibri" w:hAnsi="Calibri"/>
          <w:i/>
          <w:iCs/>
          <w:color w:val="222222"/>
          <w:sz w:val="20"/>
          <w:szCs w:val="20"/>
        </w:rPr>
        <w:t xml:space="preserve">94.7% of closed deals showed an exact self-reported revenue of 0, spread evenly across 235 different segment/business-type combinations with no realistic clustering pattern (e.g. only brand-new sellers). A real business metric would not show a 94.7% "we earn $0/month" rate among sellers who actively completed a sales process.</w:t>
      </w:r>
    </w:p>
    <w:p>
      <w:pPr>
        <w:spacing w:after="160"/>
      </w:pPr>
      <w:r>
        <w:rPr>
          <w:rFonts w:ascii="Calibri" w:cs="Calibri" w:eastAsia="Calibri" w:hAnsi="Calibri"/>
          <w:b/>
          <w:bCs/>
          <w:color w:val="222222"/>
          <w:sz w:val="20"/>
          <w:szCs w:val="20"/>
        </w:rPr>
        <w:t xml:space="preserve">Recommendation: </w:t>
      </w:r>
      <w:r>
        <w:rPr>
          <w:rFonts w:ascii="Calibri" w:cs="Calibri" w:eastAsia="Calibri" w:hAnsi="Calibri"/>
          <w:i/>
          <w:iCs/>
          <w:color w:val="555555"/>
          <w:sz w:val="20"/>
          <w:szCs w:val="20"/>
        </w:rPr>
        <w:t xml:space="preserve">Treat the zeros as a system default for a skipped optional field, not a genuine value — convert to null and exclude from any revenue-based analysis or dashboard metric.</w:t>
      </w:r>
    </w:p>
    <w:p>
      <w:pPr>
        <w:spacing w:after="80" w:before="160"/>
      </w:pPr>
      <w:r>
        <w:rPr>
          <w:rFonts w:ascii="Calibri" w:cs="Calibri" w:eastAsia="Calibri" w:hAnsi="Calibri"/>
          <w:b/>
          <w:bCs/>
          <w:color w:val="222222"/>
          <w:sz w:val="20"/>
          <w:szCs w:val="20"/>
        </w:rPr>
        <w:t xml:space="preserve">3.4 Category consistency and multi-label handling</w:t>
      </w:r>
    </w:p>
    <w:p>
      <w:pPr>
        <w:pBdr>
          <w:top w:val="single" w:color="DDDDDD" w:sz="2"/>
          <w:bottom w:val="single" w:color="DDDDDD" w:sz="2"/>
          <w:left w:val="single" w:color="DDDDDD" w:sz="2"/>
          <w:right w:val="single" w:color="DDDDDD" w:sz="2"/>
        </w:pBdr>
        <w:shd w:fill="F2F2F2" w:color="auto" w:val="clear"/>
        <w:spacing w:after="160" w:before="100"/>
      </w:pPr>
      <w:r>
        <w:rPr>
          <w:rFonts w:ascii="Consolas" w:cs="Consolas" w:eastAsia="Consolas" w:hAnsi="Consolas"/>
          <w:color w:val="333333"/>
          <w:sz w:val="18"/>
          <w:szCs w:val="18"/>
        </w:rPr>
        <w:t xml:space="preserve">multi_label = deals['lead_behaviour_profile'].str.contains(',', na=False)</w:t>
      </w:r>
      <w:r>
        <w:rPr>
          <w:rFonts w:ascii="Consolas" w:cs="Consolas" w:eastAsia="Consolas" w:hAnsi="Consolas"/>
          <w:color w:val="333333"/>
          <w:sz w:val="18"/>
          <w:szCs w:val="18"/>
        </w:rPr>
        <w:br/>
        <w:t xml:space="preserve">deals.loc[multi_label, 'lead_behaviour_profile'] = 'mixed'   # 16 rows affected</w:t>
      </w:r>
    </w:p>
    <w:p>
      <w:pPr>
        <w:spacing w:after="140"/>
      </w:pPr>
      <w:r>
        <w:rPr>
          <w:rFonts w:ascii="Calibri" w:cs="Calibri" w:eastAsia="Calibri" w:hAnsi="Calibri"/>
          <w:color w:val="222222"/>
          <w:sz w:val="20"/>
          <w:szCs w:val="20"/>
        </w:rPr>
        <w:t xml:space="preserve">Landing page cardinality was also profiled at this stage: 495 unique pages across 8,000 leads, with a median of only 2 leads per page and a maximum of 912 — confirming that per-page analysis would need a minimum-volume threshold to avoid small-sample noise (applied later in SQL and Power BI).</w:t>
      </w:r>
    </w:p>
    <w:p>
      <w:pPr>
        <w:spacing w:after="80" w:before="160"/>
      </w:pPr>
      <w:r>
        <w:rPr>
          <w:rFonts w:ascii="Calibri" w:cs="Calibri" w:eastAsia="Calibri" w:hAnsi="Calibri"/>
          <w:b/>
          <w:bCs/>
          <w:color w:val="222222"/>
          <w:sz w:val="20"/>
          <w:szCs w:val="20"/>
        </w:rPr>
        <w:t xml:space="preserve">3.5 Date validation</w:t>
      </w:r>
    </w:p>
    <w:p>
      <w:pPr>
        <w:pBdr>
          <w:top w:val="single" w:color="DDDDDD" w:sz="2"/>
          <w:bottom w:val="single" w:color="DDDDDD" w:sz="2"/>
          <w:left w:val="single" w:color="DDDDDD" w:sz="2"/>
          <w:right w:val="single" w:color="DDDDDD" w:sz="2"/>
        </w:pBdr>
        <w:shd w:fill="F2F2F2" w:color="auto" w:val="clear"/>
        <w:spacing w:after="160" w:before="100"/>
      </w:pPr>
      <w:r>
        <w:rPr>
          <w:rFonts w:ascii="Consolas" w:cs="Consolas" w:eastAsia="Consolas" w:hAnsi="Consolas"/>
          <w:color w:val="333333"/>
          <w:sz w:val="18"/>
          <w:szCs w:val="18"/>
        </w:rPr>
        <w:t xml:space="preserve">leads['first_contact_date'] = pd.to_datetime(leads['first_contact_date'])</w:t>
      </w:r>
      <w:r>
        <w:rPr>
          <w:rFonts w:ascii="Consolas" w:cs="Consolas" w:eastAsia="Consolas" w:hAnsi="Consolas"/>
          <w:color w:val="333333"/>
          <w:sz w:val="18"/>
          <w:szCs w:val="18"/>
        </w:rPr>
        <w:br/>
        <w:t xml:space="preserve">deals['won_date'] = pd.to_datetime(deals['won_date'])</w:t>
      </w:r>
      <w:r>
        <w:rPr>
          <w:rFonts w:ascii="Consolas" w:cs="Consolas" w:eastAsia="Consolas" w:hAnsi="Consolas"/>
          <w:color w:val="333333"/>
          <w:sz w:val="18"/>
          <w:szCs w:val="18"/>
        </w:rPr>
        <w:br/>
        <w:t xml:space="preserve"># Range validated: 2017-06-14 to 2018-05-31 (leads), 2017-12-05 to 2018-11-14 (deals)</w:t>
      </w:r>
    </w:p>
    <w:p>
      <w:pPr>
        <w:spacing w:after="140"/>
      </w:pPr>
      <w:r>
        <w:rPr>
          <w:rFonts w:ascii="Calibri" w:cs="Calibri" w:eastAsia="Calibri" w:hAnsi="Calibri"/>
          <w:color w:val="222222"/>
          <w:sz w:val="20"/>
          <w:szCs w:val="20"/>
        </w:rPr>
        <w:t xml:space="preserve">Cleaned tables were exported and loaded into BigQuery for SQL-based analysis.</w:t>
      </w:r>
    </w:p>
    <w:p>
      <w:pPr>
        <w:pBdr>
          <w:bottom w:val="single" w:color="7030A0" w:sz="8" w:space="4"/>
        </w:pBdr>
        <w:spacing w:after="120" w:before="320"/>
      </w:pPr>
      <w:r>
        <w:rPr>
          <w:rFonts w:ascii="Calibri" w:cs="Calibri" w:eastAsia="Calibri" w:hAnsi="Calibri"/>
          <w:b/>
          <w:bCs/>
          <w:color w:val="7030A0"/>
          <w:sz w:val="26"/>
          <w:szCs w:val="26"/>
        </w:rPr>
        <w:t xml:space="preserve">4. Data Analysis Using SQL (BigQuery)</w:t>
      </w:r>
    </w:p>
    <w:p>
      <w:pPr>
        <w:spacing w:after="140"/>
      </w:pPr>
      <w:r>
        <w:rPr>
          <w:rFonts w:ascii="Calibri" w:cs="Calibri" w:eastAsia="Calibri" w:hAnsi="Calibri"/>
          <w:color w:val="222222"/>
          <w:sz w:val="20"/>
          <w:szCs w:val="20"/>
        </w:rPr>
        <w:t xml:space="preserve">SQL was used against the cleaned BigQuery tables to answer questions across two linked lenses: marketing ROI (which channels and landing pages are worth the spend) and sales efficiency (how the sales team's handling affects the outcome). A final pair of questions tests whether the two lenses explain each other — whether a weak channel is actually a lead-quality problem or a sales-handling problem.</w:t>
      </w:r>
    </w:p>
    <w:p>
      <w:pPr>
        <w:spacing w:after="80" w:before="160"/>
      </w:pPr>
      <w:r>
        <w:rPr>
          <w:rFonts w:ascii="Calibri" w:cs="Calibri" w:eastAsia="Calibri" w:hAnsi="Calibri"/>
          <w:b/>
          <w:bCs/>
          <w:color w:val="222222"/>
          <w:sz w:val="20"/>
          <w:szCs w:val="20"/>
        </w:rPr>
        <w:t xml:space="preserve">4.1 Which channel brings in the most leads, and which one actually converts?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tcBorders>
              <w:top w:val="single" w:color="CCCCCC" w:sz="4"/>
              <w:left w:val="single" w:color="CCCCCC" w:sz="4"/>
              <w:bottom w:val="single" w:color="CCCCCC" w:sz="4"/>
              <w:right w:val="single" w:color="CCCCCC" w:sz="4"/>
            </w:tcBorders>
            <w:shd w:fill="7030A0" w:color="auto" w:val="clear"/>
            <w:tcMar>
              <w:top w:type="dxa" w:w="60"/>
              <w:left w:type="dxa" w:w="100"/>
              <w:bottom w:type="dxa" w:w="60"/>
              <w:right w:type="dxa" w:w="100"/>
            </w:tcMar>
          </w:tcPr>
          <w:p>
            <w:r>
              <w:rPr>
                <w:rFonts w:ascii="Calibri" w:cs="Calibri" w:eastAsia="Calibri" w:hAnsi="Calibri"/>
                <w:b/>
                <w:bCs/>
                <w:color w:val="FFFFFF"/>
                <w:sz w:val="18"/>
                <w:szCs w:val="18"/>
              </w:rPr>
              <w:t xml:space="preserve">Origin</w:t>
            </w:r>
          </w:p>
        </w:tc>
        <w:tc>
          <w:tcPr>
            <w:tcW w:type="dxa" w:w="2250"/>
            <w:tcBorders>
              <w:top w:val="single" w:color="CCCCCC" w:sz="4"/>
              <w:left w:val="single" w:color="CCCCCC" w:sz="4"/>
              <w:bottom w:val="single" w:color="CCCCCC" w:sz="4"/>
              <w:right w:val="single" w:color="CCCCCC" w:sz="4"/>
            </w:tcBorders>
            <w:shd w:fill="7030A0" w:color="auto" w:val="clear"/>
            <w:tcMar>
              <w:top w:type="dxa" w:w="60"/>
              <w:left w:type="dxa" w:w="100"/>
              <w:bottom w:type="dxa" w:w="60"/>
              <w:right w:type="dxa" w:w="100"/>
            </w:tcMar>
          </w:tcPr>
          <w:p>
            <w:r>
              <w:rPr>
                <w:rFonts w:ascii="Calibri" w:cs="Calibri" w:eastAsia="Calibri" w:hAnsi="Calibri"/>
                <w:b/>
                <w:bCs/>
                <w:color w:val="FFFFFF"/>
                <w:sz w:val="18"/>
                <w:szCs w:val="18"/>
              </w:rPr>
              <w:t xml:space="preserve">Total Leads</w:t>
            </w:r>
          </w:p>
        </w:tc>
        <w:tc>
          <w:tcPr>
            <w:tcW w:type="dxa" w:w="2250"/>
            <w:tcBorders>
              <w:top w:val="single" w:color="CCCCCC" w:sz="4"/>
              <w:left w:val="single" w:color="CCCCCC" w:sz="4"/>
              <w:bottom w:val="single" w:color="CCCCCC" w:sz="4"/>
              <w:right w:val="single" w:color="CCCCCC" w:sz="4"/>
            </w:tcBorders>
            <w:shd w:fill="7030A0" w:color="auto" w:val="clear"/>
            <w:tcMar>
              <w:top w:type="dxa" w:w="60"/>
              <w:left w:type="dxa" w:w="100"/>
              <w:bottom w:type="dxa" w:w="60"/>
              <w:right w:type="dxa" w:w="100"/>
            </w:tcMar>
          </w:tcPr>
          <w:p>
            <w:r>
              <w:rPr>
                <w:rFonts w:ascii="Calibri" w:cs="Calibri" w:eastAsia="Calibri" w:hAnsi="Calibri"/>
                <w:b/>
                <w:bCs/>
                <w:color w:val="FFFFFF"/>
                <w:sz w:val="18"/>
                <w:szCs w:val="18"/>
              </w:rPr>
              <w:t xml:space="preserve">Closed Deals</w:t>
            </w:r>
          </w:p>
        </w:tc>
        <w:tc>
          <w:tcPr>
            <w:tcW w:type="dxa" w:w="2250"/>
            <w:tcBorders>
              <w:top w:val="single" w:color="CCCCCC" w:sz="4"/>
              <w:left w:val="single" w:color="CCCCCC" w:sz="4"/>
              <w:bottom w:val="single" w:color="CCCCCC" w:sz="4"/>
              <w:right w:val="single" w:color="CCCCCC" w:sz="4"/>
            </w:tcBorders>
            <w:shd w:fill="7030A0" w:color="auto" w:val="clear"/>
            <w:tcMar>
              <w:top w:type="dxa" w:w="60"/>
              <w:left w:type="dxa" w:w="100"/>
              <w:bottom w:type="dxa" w:w="60"/>
              <w:right w:type="dxa" w:w="100"/>
            </w:tcMar>
          </w:tcPr>
          <w:p>
            <w:r>
              <w:rPr>
                <w:rFonts w:ascii="Calibri" w:cs="Calibri" w:eastAsia="Calibri" w:hAnsi="Calibri"/>
                <w:b/>
                <w:bCs/>
                <w:color w:val="FFFFFF"/>
                <w:sz w:val="18"/>
                <w:szCs w:val="18"/>
              </w:rPr>
              <w:t xml:space="preserve">Conversion Rate</w:t>
            </w:r>
          </w:p>
        </w:tc>
      </w:tr>
      <w:tr>
        <w:tc>
          <w:tcPr>
            <w:tcW w:type="dxa" w:w="2250"/>
            <w:tcBorders>
              <w:top w:val="single" w:color="CCCCCC" w:sz="4"/>
              <w:left w:val="single" w:color="CCCCCC" w:sz="4"/>
              <w:bottom w:val="single" w:color="CCCCCC" w:sz="4"/>
              <w:right w:val="single" w:color="CCCCCC" w:sz="4"/>
            </w:tcBorders>
            <w:shd w:fill="FFFFFF" w:color="auto" w:val="clear"/>
            <w:tcMar>
              <w:top w:type="dxa" w:w="50"/>
              <w:left w:type="dxa" w:w="100"/>
              <w:bottom w:type="dxa" w:w="50"/>
              <w:right w:type="dxa" w:w="100"/>
            </w:tcMar>
          </w:tcPr>
          <w:p>
            <w:r>
              <w:rPr>
                <w:rFonts w:ascii="Calibri" w:cs="Calibri" w:eastAsia="Calibri" w:hAnsi="Calibri"/>
                <w:color w:val="222222"/>
                <w:sz w:val="18"/>
                <w:szCs w:val="18"/>
              </w:rPr>
              <w:t xml:space="preserve">unknown</w:t>
            </w:r>
          </w:p>
        </w:tc>
        <w:tc>
          <w:tcPr>
            <w:tcW w:type="dxa" w:w="2250"/>
            <w:tcBorders>
              <w:top w:val="single" w:color="CCCCCC" w:sz="4"/>
              <w:left w:val="single" w:color="CCCCCC" w:sz="4"/>
              <w:bottom w:val="single" w:color="CCCCCC" w:sz="4"/>
              <w:right w:val="single" w:color="CCCCCC" w:sz="4"/>
            </w:tcBorders>
            <w:shd w:fill="FFFFFF" w:color="auto" w:val="clear"/>
            <w:tcMar>
              <w:top w:type="dxa" w:w="50"/>
              <w:left w:type="dxa" w:w="100"/>
              <w:bottom w:type="dxa" w:w="50"/>
              <w:right w:type="dxa" w:w="100"/>
            </w:tcMar>
          </w:tcPr>
          <w:p>
            <w:r>
              <w:rPr>
                <w:rFonts w:ascii="Calibri" w:cs="Calibri" w:eastAsia="Calibri" w:hAnsi="Calibri"/>
                <w:color w:val="222222"/>
                <w:sz w:val="18"/>
                <w:szCs w:val="18"/>
              </w:rPr>
              <w:t xml:space="preserve">1,159</w:t>
            </w:r>
          </w:p>
        </w:tc>
        <w:tc>
          <w:tcPr>
            <w:tcW w:type="dxa" w:w="2250"/>
            <w:tcBorders>
              <w:top w:val="single" w:color="CCCCCC" w:sz="4"/>
              <w:left w:val="single" w:color="CCCCCC" w:sz="4"/>
              <w:bottom w:val="single" w:color="CCCCCC" w:sz="4"/>
              <w:right w:val="single" w:color="CCCCCC" w:sz="4"/>
            </w:tcBorders>
            <w:shd w:fill="FFFFFF" w:color="auto" w:val="clear"/>
            <w:tcMar>
              <w:top w:type="dxa" w:w="50"/>
              <w:left w:type="dxa" w:w="100"/>
              <w:bottom w:type="dxa" w:w="50"/>
              <w:right w:type="dxa" w:w="100"/>
            </w:tcMar>
          </w:tcPr>
          <w:p>
            <w:r>
              <w:rPr>
                <w:rFonts w:ascii="Calibri" w:cs="Calibri" w:eastAsia="Calibri" w:hAnsi="Calibri"/>
                <w:color w:val="222222"/>
                <w:sz w:val="18"/>
                <w:szCs w:val="18"/>
              </w:rPr>
              <w:t xml:space="preserve">193</w:t>
            </w:r>
          </w:p>
        </w:tc>
        <w:tc>
          <w:tcPr>
            <w:tcW w:type="dxa" w:w="2250"/>
            <w:tcBorders>
              <w:top w:val="single" w:color="CCCCCC" w:sz="4"/>
              <w:left w:val="single" w:color="CCCCCC" w:sz="4"/>
              <w:bottom w:val="single" w:color="CCCCCC" w:sz="4"/>
              <w:right w:val="single" w:color="CCCCCC" w:sz="4"/>
            </w:tcBorders>
            <w:shd w:fill="FFFFFF" w:color="auto" w:val="clear"/>
            <w:tcMar>
              <w:top w:type="dxa" w:w="50"/>
              <w:left w:type="dxa" w:w="100"/>
              <w:bottom w:type="dxa" w:w="50"/>
              <w:right w:type="dxa" w:w="100"/>
            </w:tcMar>
          </w:tcPr>
          <w:p>
            <w:r>
              <w:rPr>
                <w:rFonts w:ascii="Calibri" w:cs="Calibri" w:eastAsia="Calibri" w:hAnsi="Calibri"/>
                <w:color w:val="222222"/>
                <w:sz w:val="18"/>
                <w:szCs w:val="18"/>
              </w:rPr>
              <w:t xml:space="preserve">16.65%</w:t>
            </w:r>
          </w:p>
        </w:tc>
      </w:tr>
      <w:tr>
        <w:tc>
          <w:tcPr>
            <w:tcW w:type="dxa" w:w="2250"/>
            <w:tcBorders>
              <w:top w:val="single" w:color="CCCCCC" w:sz="4"/>
              <w:left w:val="single" w:color="CCCCCC" w:sz="4"/>
              <w:bottom w:val="single" w:color="CCCCCC" w:sz="4"/>
              <w:right w:val="single" w:color="CCCCCC" w:sz="4"/>
            </w:tcBorders>
            <w:shd w:fill="F7F2FA" w:color="auto" w:val="clear"/>
            <w:tcMar>
              <w:top w:type="dxa" w:w="50"/>
              <w:left w:type="dxa" w:w="100"/>
              <w:bottom w:type="dxa" w:w="50"/>
              <w:right w:type="dxa" w:w="100"/>
            </w:tcMar>
          </w:tcPr>
          <w:p>
            <w:r>
              <w:rPr>
                <w:rFonts w:ascii="Calibri" w:cs="Calibri" w:eastAsia="Calibri" w:hAnsi="Calibri"/>
                <w:color w:val="222222"/>
                <w:sz w:val="18"/>
                <w:szCs w:val="18"/>
              </w:rPr>
              <w:t xml:space="preserve">paid_search</w:t>
            </w:r>
          </w:p>
        </w:tc>
        <w:tc>
          <w:tcPr>
            <w:tcW w:type="dxa" w:w="2250"/>
            <w:tcBorders>
              <w:top w:val="single" w:color="CCCCCC" w:sz="4"/>
              <w:left w:val="single" w:color="CCCCCC" w:sz="4"/>
              <w:bottom w:val="single" w:color="CCCCCC" w:sz="4"/>
              <w:right w:val="single" w:color="CCCCCC" w:sz="4"/>
            </w:tcBorders>
            <w:shd w:fill="F7F2FA" w:color="auto" w:val="clear"/>
            <w:tcMar>
              <w:top w:type="dxa" w:w="50"/>
              <w:left w:type="dxa" w:w="100"/>
              <w:bottom w:type="dxa" w:w="50"/>
              <w:right w:type="dxa" w:w="100"/>
            </w:tcMar>
          </w:tcPr>
          <w:p>
            <w:r>
              <w:rPr>
                <w:rFonts w:ascii="Calibri" w:cs="Calibri" w:eastAsia="Calibri" w:hAnsi="Calibri"/>
                <w:color w:val="222222"/>
                <w:sz w:val="18"/>
                <w:szCs w:val="18"/>
              </w:rPr>
              <w:t xml:space="preserve">1,586</w:t>
            </w:r>
          </w:p>
        </w:tc>
        <w:tc>
          <w:tcPr>
            <w:tcW w:type="dxa" w:w="2250"/>
            <w:tcBorders>
              <w:top w:val="single" w:color="CCCCCC" w:sz="4"/>
              <w:left w:val="single" w:color="CCCCCC" w:sz="4"/>
              <w:bottom w:val="single" w:color="CCCCCC" w:sz="4"/>
              <w:right w:val="single" w:color="CCCCCC" w:sz="4"/>
            </w:tcBorders>
            <w:shd w:fill="F7F2FA" w:color="auto" w:val="clear"/>
            <w:tcMar>
              <w:top w:type="dxa" w:w="50"/>
              <w:left w:type="dxa" w:w="100"/>
              <w:bottom w:type="dxa" w:w="50"/>
              <w:right w:type="dxa" w:w="100"/>
            </w:tcMar>
          </w:tcPr>
          <w:p>
            <w:r>
              <w:rPr>
                <w:rFonts w:ascii="Calibri" w:cs="Calibri" w:eastAsia="Calibri" w:hAnsi="Calibri"/>
                <w:color w:val="222222"/>
                <w:sz w:val="18"/>
                <w:szCs w:val="18"/>
              </w:rPr>
              <w:t xml:space="preserve">195</w:t>
            </w:r>
          </w:p>
        </w:tc>
        <w:tc>
          <w:tcPr>
            <w:tcW w:type="dxa" w:w="2250"/>
            <w:tcBorders>
              <w:top w:val="single" w:color="CCCCCC" w:sz="4"/>
              <w:left w:val="single" w:color="CCCCCC" w:sz="4"/>
              <w:bottom w:val="single" w:color="CCCCCC" w:sz="4"/>
              <w:right w:val="single" w:color="CCCCCC" w:sz="4"/>
            </w:tcBorders>
            <w:shd w:fill="F7F2FA" w:color="auto" w:val="clear"/>
            <w:tcMar>
              <w:top w:type="dxa" w:w="50"/>
              <w:left w:type="dxa" w:w="100"/>
              <w:bottom w:type="dxa" w:w="50"/>
              <w:right w:type="dxa" w:w="100"/>
            </w:tcMar>
          </w:tcPr>
          <w:p>
            <w:r>
              <w:rPr>
                <w:rFonts w:ascii="Calibri" w:cs="Calibri" w:eastAsia="Calibri" w:hAnsi="Calibri"/>
                <w:color w:val="222222"/>
                <w:sz w:val="18"/>
                <w:szCs w:val="18"/>
              </w:rPr>
              <w:t xml:space="preserve">12.30%</w:t>
            </w:r>
          </w:p>
        </w:tc>
      </w:tr>
      <w:tr>
        <w:tc>
          <w:tcPr>
            <w:tcW w:type="dxa" w:w="2250"/>
            <w:tcBorders>
              <w:top w:val="single" w:color="CCCCCC" w:sz="4"/>
              <w:left w:val="single" w:color="CCCCCC" w:sz="4"/>
              <w:bottom w:val="single" w:color="CCCCCC" w:sz="4"/>
              <w:right w:val="single" w:color="CCCCCC" w:sz="4"/>
            </w:tcBorders>
            <w:shd w:fill="FFFFFF" w:color="auto" w:val="clear"/>
            <w:tcMar>
              <w:top w:type="dxa" w:w="50"/>
              <w:left w:type="dxa" w:w="100"/>
              <w:bottom w:type="dxa" w:w="50"/>
              <w:right w:type="dxa" w:w="100"/>
            </w:tcMar>
          </w:tcPr>
          <w:p>
            <w:r>
              <w:rPr>
                <w:rFonts w:ascii="Calibri" w:cs="Calibri" w:eastAsia="Calibri" w:hAnsi="Calibri"/>
                <w:color w:val="222222"/>
                <w:sz w:val="18"/>
                <w:szCs w:val="18"/>
              </w:rPr>
              <w:t xml:space="preserve">organic_search</w:t>
            </w:r>
          </w:p>
        </w:tc>
        <w:tc>
          <w:tcPr>
            <w:tcW w:type="dxa" w:w="2250"/>
            <w:tcBorders>
              <w:top w:val="single" w:color="CCCCCC" w:sz="4"/>
              <w:left w:val="single" w:color="CCCCCC" w:sz="4"/>
              <w:bottom w:val="single" w:color="CCCCCC" w:sz="4"/>
              <w:right w:val="single" w:color="CCCCCC" w:sz="4"/>
            </w:tcBorders>
            <w:shd w:fill="FFFFFF" w:color="auto" w:val="clear"/>
            <w:tcMar>
              <w:top w:type="dxa" w:w="50"/>
              <w:left w:type="dxa" w:w="100"/>
              <w:bottom w:type="dxa" w:w="50"/>
              <w:right w:type="dxa" w:w="100"/>
            </w:tcMar>
          </w:tcPr>
          <w:p>
            <w:r>
              <w:rPr>
                <w:rFonts w:ascii="Calibri" w:cs="Calibri" w:eastAsia="Calibri" w:hAnsi="Calibri"/>
                <w:color w:val="222222"/>
                <w:sz w:val="18"/>
                <w:szCs w:val="18"/>
              </w:rPr>
              <w:t xml:space="preserve">2,296</w:t>
            </w:r>
          </w:p>
        </w:tc>
        <w:tc>
          <w:tcPr>
            <w:tcW w:type="dxa" w:w="2250"/>
            <w:tcBorders>
              <w:top w:val="single" w:color="CCCCCC" w:sz="4"/>
              <w:left w:val="single" w:color="CCCCCC" w:sz="4"/>
              <w:bottom w:val="single" w:color="CCCCCC" w:sz="4"/>
              <w:right w:val="single" w:color="CCCCCC" w:sz="4"/>
            </w:tcBorders>
            <w:shd w:fill="FFFFFF" w:color="auto" w:val="clear"/>
            <w:tcMar>
              <w:top w:type="dxa" w:w="50"/>
              <w:left w:type="dxa" w:w="100"/>
              <w:bottom w:type="dxa" w:w="50"/>
              <w:right w:type="dxa" w:w="100"/>
            </w:tcMar>
          </w:tcPr>
          <w:p>
            <w:r>
              <w:rPr>
                <w:rFonts w:ascii="Calibri" w:cs="Calibri" w:eastAsia="Calibri" w:hAnsi="Calibri"/>
                <w:color w:val="222222"/>
                <w:sz w:val="18"/>
                <w:szCs w:val="18"/>
              </w:rPr>
              <w:t xml:space="preserve">271</w:t>
            </w:r>
          </w:p>
        </w:tc>
        <w:tc>
          <w:tcPr>
            <w:tcW w:type="dxa" w:w="2250"/>
            <w:tcBorders>
              <w:top w:val="single" w:color="CCCCCC" w:sz="4"/>
              <w:left w:val="single" w:color="CCCCCC" w:sz="4"/>
              <w:bottom w:val="single" w:color="CCCCCC" w:sz="4"/>
              <w:right w:val="single" w:color="CCCCCC" w:sz="4"/>
            </w:tcBorders>
            <w:shd w:fill="FFFFFF" w:color="auto" w:val="clear"/>
            <w:tcMar>
              <w:top w:type="dxa" w:w="50"/>
              <w:left w:type="dxa" w:w="100"/>
              <w:bottom w:type="dxa" w:w="50"/>
              <w:right w:type="dxa" w:w="100"/>
            </w:tcMar>
          </w:tcPr>
          <w:p>
            <w:r>
              <w:rPr>
                <w:rFonts w:ascii="Calibri" w:cs="Calibri" w:eastAsia="Calibri" w:hAnsi="Calibri"/>
                <w:color w:val="222222"/>
                <w:sz w:val="18"/>
                <w:szCs w:val="18"/>
              </w:rPr>
              <w:t xml:space="preserve">11.80%</w:t>
            </w:r>
          </w:p>
        </w:tc>
      </w:tr>
      <w:tr>
        <w:tc>
          <w:tcPr>
            <w:tcW w:type="dxa" w:w="2250"/>
            <w:tcBorders>
              <w:top w:val="single" w:color="CCCCCC" w:sz="4"/>
              <w:left w:val="single" w:color="CCCCCC" w:sz="4"/>
              <w:bottom w:val="single" w:color="CCCCCC" w:sz="4"/>
              <w:right w:val="single" w:color="CCCCCC" w:sz="4"/>
            </w:tcBorders>
            <w:shd w:fill="F7F2FA" w:color="auto" w:val="clear"/>
            <w:tcMar>
              <w:top w:type="dxa" w:w="50"/>
              <w:left w:type="dxa" w:w="100"/>
              <w:bottom w:type="dxa" w:w="50"/>
              <w:right w:type="dxa" w:w="100"/>
            </w:tcMar>
          </w:tcPr>
          <w:p>
            <w:r>
              <w:rPr>
                <w:rFonts w:ascii="Calibri" w:cs="Calibri" w:eastAsia="Calibri" w:hAnsi="Calibri"/>
                <w:color w:val="222222"/>
                <w:sz w:val="18"/>
                <w:szCs w:val="18"/>
              </w:rPr>
              <w:t xml:space="preserve">direct_traffic</w:t>
            </w:r>
          </w:p>
        </w:tc>
        <w:tc>
          <w:tcPr>
            <w:tcW w:type="dxa" w:w="2250"/>
            <w:tcBorders>
              <w:top w:val="single" w:color="CCCCCC" w:sz="4"/>
              <w:left w:val="single" w:color="CCCCCC" w:sz="4"/>
              <w:bottom w:val="single" w:color="CCCCCC" w:sz="4"/>
              <w:right w:val="single" w:color="CCCCCC" w:sz="4"/>
            </w:tcBorders>
            <w:shd w:fill="F7F2FA" w:color="auto" w:val="clear"/>
            <w:tcMar>
              <w:top w:type="dxa" w:w="50"/>
              <w:left w:type="dxa" w:w="100"/>
              <w:bottom w:type="dxa" w:w="50"/>
              <w:right w:type="dxa" w:w="100"/>
            </w:tcMar>
          </w:tcPr>
          <w:p>
            <w:r>
              <w:rPr>
                <w:rFonts w:ascii="Calibri" w:cs="Calibri" w:eastAsia="Calibri" w:hAnsi="Calibri"/>
                <w:color w:val="222222"/>
                <w:sz w:val="18"/>
                <w:szCs w:val="18"/>
              </w:rPr>
              <w:t xml:space="preserve">499</w:t>
            </w:r>
          </w:p>
        </w:tc>
        <w:tc>
          <w:tcPr>
            <w:tcW w:type="dxa" w:w="2250"/>
            <w:tcBorders>
              <w:top w:val="single" w:color="CCCCCC" w:sz="4"/>
              <w:left w:val="single" w:color="CCCCCC" w:sz="4"/>
              <w:bottom w:val="single" w:color="CCCCCC" w:sz="4"/>
              <w:right w:val="single" w:color="CCCCCC" w:sz="4"/>
            </w:tcBorders>
            <w:shd w:fill="F7F2FA" w:color="auto" w:val="clear"/>
            <w:tcMar>
              <w:top w:type="dxa" w:w="50"/>
              <w:left w:type="dxa" w:w="100"/>
              <w:bottom w:type="dxa" w:w="50"/>
              <w:right w:type="dxa" w:w="100"/>
            </w:tcMar>
          </w:tcPr>
          <w:p>
            <w:r>
              <w:rPr>
                <w:rFonts w:ascii="Calibri" w:cs="Calibri" w:eastAsia="Calibri" w:hAnsi="Calibri"/>
                <w:color w:val="222222"/>
                <w:sz w:val="18"/>
                <w:szCs w:val="18"/>
              </w:rPr>
              <w:t xml:space="preserve">56</w:t>
            </w:r>
          </w:p>
        </w:tc>
        <w:tc>
          <w:tcPr>
            <w:tcW w:type="dxa" w:w="2250"/>
            <w:tcBorders>
              <w:top w:val="single" w:color="CCCCCC" w:sz="4"/>
              <w:left w:val="single" w:color="CCCCCC" w:sz="4"/>
              <w:bottom w:val="single" w:color="CCCCCC" w:sz="4"/>
              <w:right w:val="single" w:color="CCCCCC" w:sz="4"/>
            </w:tcBorders>
            <w:shd w:fill="F7F2FA" w:color="auto" w:val="clear"/>
            <w:tcMar>
              <w:top w:type="dxa" w:w="50"/>
              <w:left w:type="dxa" w:w="100"/>
              <w:bottom w:type="dxa" w:w="50"/>
              <w:right w:type="dxa" w:w="100"/>
            </w:tcMar>
          </w:tcPr>
          <w:p>
            <w:r>
              <w:rPr>
                <w:rFonts w:ascii="Calibri" w:cs="Calibri" w:eastAsia="Calibri" w:hAnsi="Calibri"/>
                <w:color w:val="222222"/>
                <w:sz w:val="18"/>
                <w:szCs w:val="18"/>
              </w:rPr>
              <w:t xml:space="preserve">11.22%</w:t>
            </w:r>
          </w:p>
        </w:tc>
      </w:tr>
      <w:tr>
        <w:tc>
          <w:tcPr>
            <w:tcW w:type="dxa" w:w="2250"/>
            <w:tcBorders>
              <w:top w:val="single" w:color="CCCCCC" w:sz="4"/>
              <w:left w:val="single" w:color="CCCCCC" w:sz="4"/>
              <w:bottom w:val="single" w:color="CCCCCC" w:sz="4"/>
              <w:right w:val="single" w:color="CCCCCC" w:sz="4"/>
            </w:tcBorders>
            <w:shd w:fill="FFFFFF" w:color="auto" w:val="clear"/>
            <w:tcMar>
              <w:top w:type="dxa" w:w="50"/>
              <w:left w:type="dxa" w:w="100"/>
              <w:bottom w:type="dxa" w:w="50"/>
              <w:right w:type="dxa" w:w="100"/>
            </w:tcMar>
          </w:tcPr>
          <w:p>
            <w:r>
              <w:rPr>
                <w:rFonts w:ascii="Calibri" w:cs="Calibri" w:eastAsia="Calibri" w:hAnsi="Calibri"/>
                <w:color w:val="222222"/>
                <w:sz w:val="18"/>
                <w:szCs w:val="18"/>
              </w:rPr>
              <w:t xml:space="preserve">referral</w:t>
            </w:r>
          </w:p>
        </w:tc>
        <w:tc>
          <w:tcPr>
            <w:tcW w:type="dxa" w:w="2250"/>
            <w:tcBorders>
              <w:top w:val="single" w:color="CCCCCC" w:sz="4"/>
              <w:left w:val="single" w:color="CCCCCC" w:sz="4"/>
              <w:bottom w:val="single" w:color="CCCCCC" w:sz="4"/>
              <w:right w:val="single" w:color="CCCCCC" w:sz="4"/>
            </w:tcBorders>
            <w:shd w:fill="FFFFFF" w:color="auto" w:val="clear"/>
            <w:tcMar>
              <w:top w:type="dxa" w:w="50"/>
              <w:left w:type="dxa" w:w="100"/>
              <w:bottom w:type="dxa" w:w="50"/>
              <w:right w:type="dxa" w:w="100"/>
            </w:tcMar>
          </w:tcPr>
          <w:p>
            <w:r>
              <w:rPr>
                <w:rFonts w:ascii="Calibri" w:cs="Calibri" w:eastAsia="Calibri" w:hAnsi="Calibri"/>
                <w:color w:val="222222"/>
                <w:sz w:val="18"/>
                <w:szCs w:val="18"/>
              </w:rPr>
              <w:t xml:space="preserve">284</w:t>
            </w:r>
          </w:p>
        </w:tc>
        <w:tc>
          <w:tcPr>
            <w:tcW w:type="dxa" w:w="2250"/>
            <w:tcBorders>
              <w:top w:val="single" w:color="CCCCCC" w:sz="4"/>
              <w:left w:val="single" w:color="CCCCCC" w:sz="4"/>
              <w:bottom w:val="single" w:color="CCCCCC" w:sz="4"/>
              <w:right w:val="single" w:color="CCCCCC" w:sz="4"/>
            </w:tcBorders>
            <w:shd w:fill="FFFFFF" w:color="auto" w:val="clear"/>
            <w:tcMar>
              <w:top w:type="dxa" w:w="50"/>
              <w:left w:type="dxa" w:w="100"/>
              <w:bottom w:type="dxa" w:w="50"/>
              <w:right w:type="dxa" w:w="100"/>
            </w:tcMar>
          </w:tcPr>
          <w:p>
            <w:r>
              <w:rPr>
                <w:rFonts w:ascii="Calibri" w:cs="Calibri" w:eastAsia="Calibri" w:hAnsi="Calibri"/>
                <w:color w:val="222222"/>
                <w:sz w:val="18"/>
                <w:szCs w:val="18"/>
              </w:rPr>
              <w:t xml:space="preserve">24</w:t>
            </w:r>
          </w:p>
        </w:tc>
        <w:tc>
          <w:tcPr>
            <w:tcW w:type="dxa" w:w="2250"/>
            <w:tcBorders>
              <w:top w:val="single" w:color="CCCCCC" w:sz="4"/>
              <w:left w:val="single" w:color="CCCCCC" w:sz="4"/>
              <w:bottom w:val="single" w:color="CCCCCC" w:sz="4"/>
              <w:right w:val="single" w:color="CCCCCC" w:sz="4"/>
            </w:tcBorders>
            <w:shd w:fill="FFFFFF" w:color="auto" w:val="clear"/>
            <w:tcMar>
              <w:top w:type="dxa" w:w="50"/>
              <w:left w:type="dxa" w:w="100"/>
              <w:bottom w:type="dxa" w:w="50"/>
              <w:right w:type="dxa" w:w="100"/>
            </w:tcMar>
          </w:tcPr>
          <w:p>
            <w:r>
              <w:rPr>
                <w:rFonts w:ascii="Calibri" w:cs="Calibri" w:eastAsia="Calibri" w:hAnsi="Calibri"/>
                <w:color w:val="222222"/>
                <w:sz w:val="18"/>
                <w:szCs w:val="18"/>
              </w:rPr>
              <w:t xml:space="preserve">8.45%</w:t>
            </w:r>
          </w:p>
        </w:tc>
      </w:tr>
      <w:tr>
        <w:tc>
          <w:tcPr>
            <w:tcW w:type="dxa" w:w="2250"/>
            <w:tcBorders>
              <w:top w:val="single" w:color="CCCCCC" w:sz="4"/>
              <w:left w:val="single" w:color="CCCCCC" w:sz="4"/>
              <w:bottom w:val="single" w:color="CCCCCC" w:sz="4"/>
              <w:right w:val="single" w:color="CCCCCC" w:sz="4"/>
            </w:tcBorders>
            <w:shd w:fill="F7F2FA" w:color="auto" w:val="clear"/>
            <w:tcMar>
              <w:top w:type="dxa" w:w="50"/>
              <w:left w:type="dxa" w:w="100"/>
              <w:bottom w:type="dxa" w:w="50"/>
              <w:right w:type="dxa" w:w="100"/>
            </w:tcMar>
          </w:tcPr>
          <w:p>
            <w:r>
              <w:rPr>
                <w:rFonts w:ascii="Calibri" w:cs="Calibri" w:eastAsia="Calibri" w:hAnsi="Calibri"/>
                <w:color w:val="222222"/>
                <w:sz w:val="18"/>
                <w:szCs w:val="18"/>
              </w:rPr>
              <w:t xml:space="preserve">social</w:t>
            </w:r>
          </w:p>
        </w:tc>
        <w:tc>
          <w:tcPr>
            <w:tcW w:type="dxa" w:w="2250"/>
            <w:tcBorders>
              <w:top w:val="single" w:color="CCCCCC" w:sz="4"/>
              <w:left w:val="single" w:color="CCCCCC" w:sz="4"/>
              <w:bottom w:val="single" w:color="CCCCCC" w:sz="4"/>
              <w:right w:val="single" w:color="CCCCCC" w:sz="4"/>
            </w:tcBorders>
            <w:shd w:fill="F7F2FA" w:color="auto" w:val="clear"/>
            <w:tcMar>
              <w:top w:type="dxa" w:w="50"/>
              <w:left w:type="dxa" w:w="100"/>
              <w:bottom w:type="dxa" w:w="50"/>
              <w:right w:type="dxa" w:w="100"/>
            </w:tcMar>
          </w:tcPr>
          <w:p>
            <w:r>
              <w:rPr>
                <w:rFonts w:ascii="Calibri" w:cs="Calibri" w:eastAsia="Calibri" w:hAnsi="Calibri"/>
                <w:color w:val="222222"/>
                <w:sz w:val="18"/>
                <w:szCs w:val="18"/>
              </w:rPr>
              <w:t xml:space="preserve">1,350</w:t>
            </w:r>
          </w:p>
        </w:tc>
        <w:tc>
          <w:tcPr>
            <w:tcW w:type="dxa" w:w="2250"/>
            <w:tcBorders>
              <w:top w:val="single" w:color="CCCCCC" w:sz="4"/>
              <w:left w:val="single" w:color="CCCCCC" w:sz="4"/>
              <w:bottom w:val="single" w:color="CCCCCC" w:sz="4"/>
              <w:right w:val="single" w:color="CCCCCC" w:sz="4"/>
            </w:tcBorders>
            <w:shd w:fill="F7F2FA" w:color="auto" w:val="clear"/>
            <w:tcMar>
              <w:top w:type="dxa" w:w="50"/>
              <w:left w:type="dxa" w:w="100"/>
              <w:bottom w:type="dxa" w:w="50"/>
              <w:right w:type="dxa" w:w="100"/>
            </w:tcMar>
          </w:tcPr>
          <w:p>
            <w:r>
              <w:rPr>
                <w:rFonts w:ascii="Calibri" w:cs="Calibri" w:eastAsia="Calibri" w:hAnsi="Calibri"/>
                <w:color w:val="222222"/>
                <w:sz w:val="18"/>
                <w:szCs w:val="18"/>
              </w:rPr>
              <w:t xml:space="preserve">75</w:t>
            </w:r>
          </w:p>
        </w:tc>
        <w:tc>
          <w:tcPr>
            <w:tcW w:type="dxa" w:w="2250"/>
            <w:tcBorders>
              <w:top w:val="single" w:color="CCCCCC" w:sz="4"/>
              <w:left w:val="single" w:color="CCCCCC" w:sz="4"/>
              <w:bottom w:val="single" w:color="CCCCCC" w:sz="4"/>
              <w:right w:val="single" w:color="CCCCCC" w:sz="4"/>
            </w:tcBorders>
            <w:shd w:fill="F7F2FA" w:color="auto" w:val="clear"/>
            <w:tcMar>
              <w:top w:type="dxa" w:w="50"/>
              <w:left w:type="dxa" w:w="100"/>
              <w:bottom w:type="dxa" w:w="50"/>
              <w:right w:type="dxa" w:w="100"/>
            </w:tcMar>
          </w:tcPr>
          <w:p>
            <w:r>
              <w:rPr>
                <w:rFonts w:ascii="Calibri" w:cs="Calibri" w:eastAsia="Calibri" w:hAnsi="Calibri"/>
                <w:color w:val="222222"/>
                <w:sz w:val="18"/>
                <w:szCs w:val="18"/>
              </w:rPr>
              <w:t xml:space="preserve">5.56%</w:t>
            </w:r>
          </w:p>
        </w:tc>
      </w:tr>
      <w:tr>
        <w:tc>
          <w:tcPr>
            <w:tcW w:type="dxa" w:w="2250"/>
            <w:tcBorders>
              <w:top w:val="single" w:color="CCCCCC" w:sz="4"/>
              <w:left w:val="single" w:color="CCCCCC" w:sz="4"/>
              <w:bottom w:val="single" w:color="CCCCCC" w:sz="4"/>
              <w:right w:val="single" w:color="CCCCCC" w:sz="4"/>
            </w:tcBorders>
            <w:shd w:fill="FFFFFF" w:color="auto" w:val="clear"/>
            <w:tcMar>
              <w:top w:type="dxa" w:w="50"/>
              <w:left w:type="dxa" w:w="100"/>
              <w:bottom w:type="dxa" w:w="50"/>
              <w:right w:type="dxa" w:w="100"/>
            </w:tcMar>
          </w:tcPr>
          <w:p>
            <w:r>
              <w:rPr>
                <w:rFonts w:ascii="Calibri" w:cs="Calibri" w:eastAsia="Calibri" w:hAnsi="Calibri"/>
                <w:color w:val="222222"/>
                <w:sz w:val="18"/>
                <w:szCs w:val="18"/>
              </w:rPr>
              <w:t xml:space="preserve">other_publicities</w:t>
            </w:r>
          </w:p>
        </w:tc>
        <w:tc>
          <w:tcPr>
            <w:tcW w:type="dxa" w:w="2250"/>
            <w:tcBorders>
              <w:top w:val="single" w:color="CCCCCC" w:sz="4"/>
              <w:left w:val="single" w:color="CCCCCC" w:sz="4"/>
              <w:bottom w:val="single" w:color="CCCCCC" w:sz="4"/>
              <w:right w:val="single" w:color="CCCCCC" w:sz="4"/>
            </w:tcBorders>
            <w:shd w:fill="FFFFFF" w:color="auto" w:val="clear"/>
            <w:tcMar>
              <w:top w:type="dxa" w:w="50"/>
              <w:left w:type="dxa" w:w="100"/>
              <w:bottom w:type="dxa" w:w="50"/>
              <w:right w:type="dxa" w:w="100"/>
            </w:tcMar>
          </w:tcPr>
          <w:p>
            <w:r>
              <w:rPr>
                <w:rFonts w:ascii="Calibri" w:cs="Calibri" w:eastAsia="Calibri" w:hAnsi="Calibri"/>
                <w:color w:val="222222"/>
                <w:sz w:val="18"/>
                <w:szCs w:val="18"/>
              </w:rPr>
              <w:t xml:space="preserve">65</w:t>
            </w:r>
          </w:p>
        </w:tc>
        <w:tc>
          <w:tcPr>
            <w:tcW w:type="dxa" w:w="2250"/>
            <w:tcBorders>
              <w:top w:val="single" w:color="CCCCCC" w:sz="4"/>
              <w:left w:val="single" w:color="CCCCCC" w:sz="4"/>
              <w:bottom w:val="single" w:color="CCCCCC" w:sz="4"/>
              <w:right w:val="single" w:color="CCCCCC" w:sz="4"/>
            </w:tcBorders>
            <w:shd w:fill="FFFFFF" w:color="auto" w:val="clear"/>
            <w:tcMar>
              <w:top w:type="dxa" w:w="50"/>
              <w:left w:type="dxa" w:w="100"/>
              <w:bottom w:type="dxa" w:w="50"/>
              <w:right w:type="dxa" w:w="100"/>
            </w:tcMar>
          </w:tcPr>
          <w:p>
            <w:r>
              <w:rPr>
                <w:rFonts w:ascii="Calibri" w:cs="Calibri" w:eastAsia="Calibri" w:hAnsi="Calibri"/>
                <w:color w:val="222222"/>
                <w:sz w:val="18"/>
                <w:szCs w:val="18"/>
              </w:rPr>
              <w:t xml:space="preserve">3</w:t>
            </w:r>
          </w:p>
        </w:tc>
        <w:tc>
          <w:tcPr>
            <w:tcW w:type="dxa" w:w="2250"/>
            <w:tcBorders>
              <w:top w:val="single" w:color="CCCCCC" w:sz="4"/>
              <w:left w:val="single" w:color="CCCCCC" w:sz="4"/>
              <w:bottom w:val="single" w:color="CCCCCC" w:sz="4"/>
              <w:right w:val="single" w:color="CCCCCC" w:sz="4"/>
            </w:tcBorders>
            <w:shd w:fill="FFFFFF" w:color="auto" w:val="clear"/>
            <w:tcMar>
              <w:top w:type="dxa" w:w="50"/>
              <w:left w:type="dxa" w:w="100"/>
              <w:bottom w:type="dxa" w:w="50"/>
              <w:right w:type="dxa" w:w="100"/>
            </w:tcMar>
          </w:tcPr>
          <w:p>
            <w:r>
              <w:rPr>
                <w:rFonts w:ascii="Calibri" w:cs="Calibri" w:eastAsia="Calibri" w:hAnsi="Calibri"/>
                <w:color w:val="222222"/>
                <w:sz w:val="18"/>
                <w:szCs w:val="18"/>
              </w:rPr>
              <w:t xml:space="preserve">4.62%</w:t>
            </w:r>
          </w:p>
        </w:tc>
      </w:tr>
      <w:tr>
        <w:tc>
          <w:tcPr>
            <w:tcW w:type="dxa" w:w="2250"/>
            <w:tcBorders>
              <w:top w:val="single" w:color="CCCCCC" w:sz="4"/>
              <w:left w:val="single" w:color="CCCCCC" w:sz="4"/>
              <w:bottom w:val="single" w:color="CCCCCC" w:sz="4"/>
              <w:right w:val="single" w:color="CCCCCC" w:sz="4"/>
            </w:tcBorders>
            <w:shd w:fill="F7F2FA" w:color="auto" w:val="clear"/>
            <w:tcMar>
              <w:top w:type="dxa" w:w="50"/>
              <w:left w:type="dxa" w:w="100"/>
              <w:bottom w:type="dxa" w:w="50"/>
              <w:right w:type="dxa" w:w="100"/>
            </w:tcMar>
          </w:tcPr>
          <w:p>
            <w:r>
              <w:rPr>
                <w:rFonts w:ascii="Calibri" w:cs="Calibri" w:eastAsia="Calibri" w:hAnsi="Calibri"/>
                <w:color w:val="222222"/>
                <w:sz w:val="18"/>
                <w:szCs w:val="18"/>
              </w:rPr>
              <w:t xml:space="preserve">email</w:t>
            </w:r>
          </w:p>
        </w:tc>
        <w:tc>
          <w:tcPr>
            <w:tcW w:type="dxa" w:w="2250"/>
            <w:tcBorders>
              <w:top w:val="single" w:color="CCCCCC" w:sz="4"/>
              <w:left w:val="single" w:color="CCCCCC" w:sz="4"/>
              <w:bottom w:val="single" w:color="CCCCCC" w:sz="4"/>
              <w:right w:val="single" w:color="CCCCCC" w:sz="4"/>
            </w:tcBorders>
            <w:shd w:fill="F7F2FA" w:color="auto" w:val="clear"/>
            <w:tcMar>
              <w:top w:type="dxa" w:w="50"/>
              <w:left w:type="dxa" w:w="100"/>
              <w:bottom w:type="dxa" w:w="50"/>
              <w:right w:type="dxa" w:w="100"/>
            </w:tcMar>
          </w:tcPr>
          <w:p>
            <w:r>
              <w:rPr>
                <w:rFonts w:ascii="Calibri" w:cs="Calibri" w:eastAsia="Calibri" w:hAnsi="Calibri"/>
                <w:color w:val="222222"/>
                <w:sz w:val="18"/>
                <w:szCs w:val="18"/>
              </w:rPr>
              <w:t xml:space="preserve">493</w:t>
            </w:r>
          </w:p>
        </w:tc>
        <w:tc>
          <w:tcPr>
            <w:tcW w:type="dxa" w:w="2250"/>
            <w:tcBorders>
              <w:top w:val="single" w:color="CCCCCC" w:sz="4"/>
              <w:left w:val="single" w:color="CCCCCC" w:sz="4"/>
              <w:bottom w:val="single" w:color="CCCCCC" w:sz="4"/>
              <w:right w:val="single" w:color="CCCCCC" w:sz="4"/>
            </w:tcBorders>
            <w:shd w:fill="F7F2FA" w:color="auto" w:val="clear"/>
            <w:tcMar>
              <w:top w:type="dxa" w:w="50"/>
              <w:left w:type="dxa" w:w="100"/>
              <w:bottom w:type="dxa" w:w="50"/>
              <w:right w:type="dxa" w:w="100"/>
            </w:tcMar>
          </w:tcPr>
          <w:p>
            <w:r>
              <w:rPr>
                <w:rFonts w:ascii="Calibri" w:cs="Calibri" w:eastAsia="Calibri" w:hAnsi="Calibri"/>
                <w:color w:val="222222"/>
                <w:sz w:val="18"/>
                <w:szCs w:val="18"/>
              </w:rPr>
              <w:t xml:space="preserve">15</w:t>
            </w:r>
          </w:p>
        </w:tc>
        <w:tc>
          <w:tcPr>
            <w:tcW w:type="dxa" w:w="2250"/>
            <w:tcBorders>
              <w:top w:val="single" w:color="CCCCCC" w:sz="4"/>
              <w:left w:val="single" w:color="CCCCCC" w:sz="4"/>
              <w:bottom w:val="single" w:color="CCCCCC" w:sz="4"/>
              <w:right w:val="single" w:color="CCCCCC" w:sz="4"/>
            </w:tcBorders>
            <w:shd w:fill="F7F2FA" w:color="auto" w:val="clear"/>
            <w:tcMar>
              <w:top w:type="dxa" w:w="50"/>
              <w:left w:type="dxa" w:w="100"/>
              <w:bottom w:type="dxa" w:w="50"/>
              <w:right w:type="dxa" w:w="100"/>
            </w:tcMar>
          </w:tcPr>
          <w:p>
            <w:r>
              <w:rPr>
                <w:rFonts w:ascii="Calibri" w:cs="Calibri" w:eastAsia="Calibri" w:hAnsi="Calibri"/>
                <w:color w:val="222222"/>
                <w:sz w:val="18"/>
                <w:szCs w:val="18"/>
              </w:rPr>
              <w:t xml:space="preserve">3.04%</w:t>
            </w:r>
          </w:p>
        </w:tc>
      </w:tr>
      <w:tr>
        <w:tc>
          <w:tcPr>
            <w:tcW w:type="dxa" w:w="2250"/>
            <w:tcBorders>
              <w:top w:val="single" w:color="CCCCCC" w:sz="4"/>
              <w:left w:val="single" w:color="CCCCCC" w:sz="4"/>
              <w:bottom w:val="single" w:color="CCCCCC" w:sz="4"/>
              <w:right w:val="single" w:color="CCCCCC" w:sz="4"/>
            </w:tcBorders>
            <w:shd w:fill="FFFFFF" w:color="auto" w:val="clear"/>
            <w:tcMar>
              <w:top w:type="dxa" w:w="50"/>
              <w:left w:type="dxa" w:w="100"/>
              <w:bottom w:type="dxa" w:w="50"/>
              <w:right w:type="dxa" w:w="100"/>
            </w:tcMar>
          </w:tcPr>
          <w:p>
            <w:r>
              <w:rPr>
                <w:rFonts w:ascii="Calibri" w:cs="Calibri" w:eastAsia="Calibri" w:hAnsi="Calibri"/>
                <w:color w:val="222222"/>
                <w:sz w:val="18"/>
                <w:szCs w:val="18"/>
              </w:rPr>
              <w:t xml:space="preserve">other</w:t>
            </w:r>
          </w:p>
        </w:tc>
        <w:tc>
          <w:tcPr>
            <w:tcW w:type="dxa" w:w="2250"/>
            <w:tcBorders>
              <w:top w:val="single" w:color="CCCCCC" w:sz="4"/>
              <w:left w:val="single" w:color="CCCCCC" w:sz="4"/>
              <w:bottom w:val="single" w:color="CCCCCC" w:sz="4"/>
              <w:right w:val="single" w:color="CCCCCC" w:sz="4"/>
            </w:tcBorders>
            <w:shd w:fill="FFFFFF" w:color="auto" w:val="clear"/>
            <w:tcMar>
              <w:top w:type="dxa" w:w="50"/>
              <w:left w:type="dxa" w:w="100"/>
              <w:bottom w:type="dxa" w:w="50"/>
              <w:right w:type="dxa" w:w="100"/>
            </w:tcMar>
          </w:tcPr>
          <w:p>
            <w:r>
              <w:rPr>
                <w:rFonts w:ascii="Calibri" w:cs="Calibri" w:eastAsia="Calibri" w:hAnsi="Calibri"/>
                <w:color w:val="222222"/>
                <w:sz w:val="18"/>
                <w:szCs w:val="18"/>
              </w:rPr>
              <w:t xml:space="preserve">150</w:t>
            </w:r>
          </w:p>
        </w:tc>
        <w:tc>
          <w:tcPr>
            <w:tcW w:type="dxa" w:w="2250"/>
            <w:tcBorders>
              <w:top w:val="single" w:color="CCCCCC" w:sz="4"/>
              <w:left w:val="single" w:color="CCCCCC" w:sz="4"/>
              <w:bottom w:val="single" w:color="CCCCCC" w:sz="4"/>
              <w:right w:val="single" w:color="CCCCCC" w:sz="4"/>
            </w:tcBorders>
            <w:shd w:fill="FFFFFF" w:color="auto" w:val="clear"/>
            <w:tcMar>
              <w:top w:type="dxa" w:w="50"/>
              <w:left w:type="dxa" w:w="100"/>
              <w:bottom w:type="dxa" w:w="50"/>
              <w:right w:type="dxa" w:w="100"/>
            </w:tcMar>
          </w:tcPr>
          <w:p>
            <w:r>
              <w:rPr>
                <w:rFonts w:ascii="Calibri" w:cs="Calibri" w:eastAsia="Calibri" w:hAnsi="Calibri"/>
                <w:color w:val="222222"/>
                <w:sz w:val="18"/>
                <w:szCs w:val="18"/>
              </w:rPr>
              <w:t xml:space="preserve">4</w:t>
            </w:r>
          </w:p>
        </w:tc>
        <w:tc>
          <w:tcPr>
            <w:tcW w:type="dxa" w:w="2250"/>
            <w:tcBorders>
              <w:top w:val="single" w:color="CCCCCC" w:sz="4"/>
              <w:left w:val="single" w:color="CCCCCC" w:sz="4"/>
              <w:bottom w:val="single" w:color="CCCCCC" w:sz="4"/>
              <w:right w:val="single" w:color="CCCCCC" w:sz="4"/>
            </w:tcBorders>
            <w:shd w:fill="FFFFFF" w:color="auto" w:val="clear"/>
            <w:tcMar>
              <w:top w:type="dxa" w:w="50"/>
              <w:left w:type="dxa" w:w="100"/>
              <w:bottom w:type="dxa" w:w="50"/>
              <w:right w:type="dxa" w:w="100"/>
            </w:tcMar>
          </w:tcPr>
          <w:p>
            <w:r>
              <w:rPr>
                <w:rFonts w:ascii="Calibri" w:cs="Calibri" w:eastAsia="Calibri" w:hAnsi="Calibri"/>
                <w:color w:val="222222"/>
                <w:sz w:val="18"/>
                <w:szCs w:val="18"/>
              </w:rPr>
              <w:t xml:space="preserve">2.67%</w:t>
            </w:r>
          </w:p>
        </w:tc>
      </w:tr>
    </w:tbl>
    <w:p>
      <w:pPr>
        <w:spacing w:after="60" w:before="100"/>
      </w:pPr>
      <w:r>
        <w:rPr>
          <w:rFonts w:ascii="Calibri" w:cs="Calibri" w:eastAsia="Calibri" w:hAnsi="Calibri"/>
          <w:b/>
          <w:bCs/>
          <w:i/>
          <w:iCs/>
          <w:color w:val="7030A0"/>
          <w:sz w:val="20"/>
          <w:szCs w:val="20"/>
        </w:rPr>
        <w:t xml:space="preserve">Insight: </w:t>
      </w:r>
      <w:r>
        <w:rPr>
          <w:rFonts w:ascii="Calibri" w:cs="Calibri" w:eastAsia="Calibri" w:hAnsi="Calibri"/>
          <w:i/>
          <w:iCs/>
          <w:color w:val="222222"/>
          <w:sz w:val="20"/>
          <w:szCs w:val="20"/>
        </w:rPr>
        <w:t xml:space="preserve">Conversion rate ranges from 2.67% to 16.65% across channels. Untracked ("unknown") leads convert best, ahead of paid_search and organic_search. Social carries the third-highest lead volume (1,350) but converts at just 5.56%; email and other are the weakest performers overall.</w:t>
      </w:r>
    </w:p>
    <w:p>
      <w:pPr>
        <w:spacing w:after="160"/>
      </w:pPr>
      <w:r>
        <w:rPr>
          <w:rFonts w:ascii="Calibri" w:cs="Calibri" w:eastAsia="Calibri" w:hAnsi="Calibri"/>
          <w:b/>
          <w:bCs/>
          <w:color w:val="222222"/>
          <w:sz w:val="20"/>
          <w:szCs w:val="20"/>
        </w:rPr>
        <w:t xml:space="preserve">Recommendation: </w:t>
      </w:r>
      <w:r>
        <w:rPr>
          <w:rFonts w:ascii="Calibri" w:cs="Calibri" w:eastAsia="Calibri" w:hAnsi="Calibri"/>
          <w:i/>
          <w:iCs/>
          <w:color w:val="555555"/>
          <w:sz w:val="20"/>
          <w:szCs w:val="20"/>
        </w:rPr>
        <w:t xml:space="preserve">Investigate the tracking gap behind the "unknown" channel before treating it as a distinct high-value source — it may be capturing untagged referral or word-of-mouth traffic that deserves its own attribution category. Flag social as a budget-review candidate, pending the root-cause test in Section 4.6.</w:t>
      </w:r>
    </w:p>
    <w:p>
      <w:pPr>
        <w:spacing w:after="80" w:before="160"/>
      </w:pPr>
      <w:r>
        <w:rPr>
          <w:rFonts w:ascii="Calibri" w:cs="Calibri" w:eastAsia="Calibri" w:hAnsi="Calibri"/>
          <w:b/>
          <w:bCs/>
          <w:color w:val="222222"/>
          <w:sz w:val="20"/>
          <w:szCs w:val="20"/>
        </w:rPr>
        <w:t xml:space="preserve">4.2 Which landing pages convert best — not just which have the most traffic?</w:t>
      </w:r>
    </w:p>
    <w:p>
      <w:pPr>
        <w:spacing w:after="140"/>
      </w:pPr>
      <w:r>
        <w:rPr>
          <w:rFonts w:ascii="Calibri" w:cs="Calibri" w:eastAsia="Calibri" w:hAnsi="Calibri"/>
          <w:color w:val="222222"/>
          <w:sz w:val="20"/>
          <w:szCs w:val="20"/>
        </w:rPr>
        <w:t xml:space="preserve">Filtered to pages with at least 20 leads, to avoid a 1-lead page with 1 close showing a misleading 100% rate.</w:t>
      </w:r>
    </w:p>
    <w:p>
      <w:pPr>
        <w:spacing w:after="60" w:before="100"/>
      </w:pPr>
      <w:r>
        <w:rPr>
          <w:rFonts w:ascii="Calibri" w:cs="Calibri" w:eastAsia="Calibri" w:hAnsi="Calibri"/>
          <w:b/>
          <w:bCs/>
          <w:i/>
          <w:iCs/>
          <w:color w:val="7030A0"/>
          <w:sz w:val="20"/>
          <w:szCs w:val="20"/>
        </w:rPr>
        <w:t xml:space="preserve">Insight: </w:t>
      </w:r>
      <w:r>
        <w:rPr>
          <w:rFonts w:ascii="Calibri" w:cs="Calibri" w:eastAsia="Calibri" w:hAnsi="Calibri"/>
          <w:i/>
          <w:iCs/>
          <w:color w:val="222222"/>
          <w:sz w:val="20"/>
          <w:szCs w:val="20"/>
        </w:rPr>
        <w:t xml:space="preserve">Conversion rate still ranges from 0% to 25% among pages with meaningful volume. The two highest-volume pages (912 and 883 leads) are also among the top converters (18.75% and 19.71%), disproving the assumption that high traffic dilutes lead quality. Pages with near-identical lead volume can differ in conversion rate by more than 2x — for example, two pages with exactly 20 leads each converted at 25.0% and 10.0% respectively — showing that landing page design itself, independent of traffic source, is a real performance lever.</w:t>
      </w:r>
    </w:p>
    <w:p>
      <w:pPr>
        <w:spacing w:after="160"/>
      </w:pPr>
      <w:r>
        <w:rPr>
          <w:rFonts w:ascii="Calibri" w:cs="Calibri" w:eastAsia="Calibri" w:hAnsi="Calibri"/>
          <w:b/>
          <w:bCs/>
          <w:color w:val="222222"/>
          <w:sz w:val="20"/>
          <w:szCs w:val="20"/>
        </w:rPr>
        <w:t xml:space="preserve">Recommendation: </w:t>
      </w:r>
      <w:r>
        <w:rPr>
          <w:rFonts w:ascii="Calibri" w:cs="Calibri" w:eastAsia="Calibri" w:hAnsi="Calibri"/>
          <w:i/>
          <w:iCs/>
          <w:color w:val="555555"/>
          <w:sz w:val="20"/>
          <w:szCs w:val="20"/>
        </w:rPr>
        <w:t xml:space="preserve">Study what the top-converting landing pages do differently (copy, offer, targeting) and use them as a template for pages with comparable traffic but weaker conversion.</w:t>
      </w:r>
    </w:p>
    <w:p>
      <w:pPr>
        <w:spacing w:after="80" w:before="160"/>
      </w:pPr>
      <w:r>
        <w:rPr>
          <w:rFonts w:ascii="Calibri" w:cs="Calibri" w:eastAsia="Calibri" w:hAnsi="Calibri"/>
          <w:b/>
          <w:bCs/>
          <w:color w:val="222222"/>
          <w:sz w:val="20"/>
          <w:szCs w:val="20"/>
        </w:rPr>
        <w:t xml:space="preserve">4.3 Which landing pages have real traffic but converted nobody?</w:t>
      </w:r>
    </w:p>
    <w:p>
      <w:pPr>
        <w:spacing w:after="60" w:before="100"/>
      </w:pPr>
      <w:r>
        <w:rPr>
          <w:rFonts w:ascii="Calibri" w:cs="Calibri" w:eastAsia="Calibri" w:hAnsi="Calibri"/>
          <w:b/>
          <w:bCs/>
          <w:i/>
          <w:iCs/>
          <w:color w:val="7030A0"/>
          <w:sz w:val="20"/>
          <w:szCs w:val="20"/>
        </w:rPr>
        <w:t xml:space="preserve">Insight: </w:t>
      </w:r>
      <w:r>
        <w:rPr>
          <w:rFonts w:ascii="Calibri" w:cs="Calibri" w:eastAsia="Calibri" w:hAnsi="Calibri"/>
          <w:i/>
          <w:iCs/>
          <w:color w:val="222222"/>
          <w:sz w:val="20"/>
          <w:szCs w:val="20"/>
        </w:rPr>
        <w:t xml:space="preserve">Fifteen landing pages have at least 20 leads but converted zero deals, collectively representing several hundred leads with no return.</w:t>
      </w:r>
    </w:p>
    <w:p>
      <w:pPr>
        <w:spacing w:after="160"/>
      </w:pPr>
      <w:r>
        <w:rPr>
          <w:rFonts w:ascii="Calibri" w:cs="Calibri" w:eastAsia="Calibri" w:hAnsi="Calibri"/>
          <w:b/>
          <w:bCs/>
          <w:color w:val="222222"/>
          <w:sz w:val="20"/>
          <w:szCs w:val="20"/>
        </w:rPr>
        <w:t xml:space="preserve">Recommendation: </w:t>
      </w:r>
      <w:r>
        <w:rPr>
          <w:rFonts w:ascii="Calibri" w:cs="Calibri" w:eastAsia="Calibri" w:hAnsi="Calibri"/>
          <w:i/>
          <w:iCs/>
          <w:color w:val="555555"/>
          <w:sz w:val="20"/>
          <w:szCs w:val="20"/>
        </w:rPr>
        <w:t xml:space="preserve">Audit or pause these specific pages, and cross-reference them against the channel data in Section 4.1 to determine whether the issue is the page itself or the channel feeding it traffic.</w:t>
      </w:r>
    </w:p>
    <w:p>
      <w:pPr>
        <w:spacing w:after="80" w:before="160"/>
      </w:pPr>
      <w:r>
        <w:rPr>
          <w:rFonts w:ascii="Calibri" w:cs="Calibri" w:eastAsia="Calibri" w:hAnsi="Calibri"/>
          <w:b/>
          <w:bCs/>
          <w:color w:val="222222"/>
          <w:sz w:val="20"/>
          <w:szCs w:val="20"/>
        </w:rPr>
        <w:t xml:space="preserve">4.4 Is deal volume concentrated among a small number of reps?</w:t>
      </w:r>
    </w:p>
    <w:p>
      <w:pPr>
        <w:spacing w:after="60" w:before="100"/>
      </w:pPr>
      <w:r>
        <w:rPr>
          <w:rFonts w:ascii="Calibri" w:cs="Calibri" w:eastAsia="Calibri" w:hAnsi="Calibri"/>
          <w:b/>
          <w:bCs/>
          <w:i/>
          <w:iCs/>
          <w:color w:val="7030A0"/>
          <w:sz w:val="20"/>
          <w:szCs w:val="20"/>
        </w:rPr>
        <w:t xml:space="preserve">Insight: </w:t>
      </w:r>
      <w:r>
        <w:rPr>
          <w:rFonts w:ascii="Calibri" w:cs="Calibri" w:eastAsia="Calibri" w:hAnsi="Calibri"/>
          <w:i/>
          <w:iCs/>
          <w:color w:val="222222"/>
          <w:sz w:val="20"/>
          <w:szCs w:val="20"/>
        </w:rPr>
        <w:t xml:space="preserve">Closed-deal volume is highly concentrated: the top SDR closed 140 of 841 deals (~16.6%) and the top SR closed 133 (~15.8%), with a sharp drop-off after the top five to six reps on each side.</w:t>
      </w:r>
    </w:p>
    <w:p>
      <w:pPr>
        <w:spacing w:after="160"/>
      </w:pPr>
      <w:r>
        <w:rPr>
          <w:rFonts w:ascii="Calibri" w:cs="Calibri" w:eastAsia="Calibri" w:hAnsi="Calibri"/>
          <w:b/>
          <w:bCs/>
          <w:color w:val="222222"/>
          <w:sz w:val="20"/>
          <w:szCs w:val="20"/>
        </w:rPr>
        <w:t xml:space="preserve">Recommendation: </w:t>
      </w:r>
      <w:r>
        <w:rPr>
          <w:rFonts w:ascii="Calibri" w:cs="Calibri" w:eastAsia="Calibri" w:hAnsi="Calibri"/>
          <w:i/>
          <w:iCs/>
          <w:color w:val="555555"/>
          <w:sz w:val="20"/>
          <w:szCs w:val="20"/>
        </w:rPr>
        <w:t xml:space="preserve">Flag this as a business-continuity risk — a large share of revenue-generating deals currently depends on a small number of individual reps.</w:t>
      </w:r>
    </w:p>
    <w:p>
      <w:pPr>
        <w:spacing w:after="80" w:before="160"/>
      </w:pPr>
      <w:r>
        <w:rPr>
          <w:rFonts w:ascii="Calibri" w:cs="Calibri" w:eastAsia="Calibri" w:hAnsi="Calibri"/>
          <w:b/>
          <w:bCs/>
          <w:color w:val="222222"/>
          <w:sz w:val="20"/>
          <w:szCs w:val="20"/>
        </w:rPr>
        <w:t xml:space="preserve">4.5 How does average time-to-close vary by rep?</w:t>
      </w:r>
    </w:p>
    <w:p>
      <w:pPr>
        <w:spacing w:after="140"/>
      </w:pPr>
      <w:r>
        <w:rPr>
          <w:rFonts w:ascii="Calibri" w:cs="Calibri" w:eastAsia="Calibri" w:hAnsi="Calibri"/>
          <w:color w:val="222222"/>
          <w:sz w:val="20"/>
          <w:szCs w:val="20"/>
        </w:rPr>
        <w:t xml:space="preserve">Filtered to reps with at least 20 closed deals, since unfiltered data showed outliers from 4 to 340 days driven entirely by single-deal sample noise.</w:t>
      </w:r>
    </w:p>
    <w:p>
      <w:pPr>
        <w:spacing w:after="60" w:before="100"/>
      </w:pPr>
      <w:r>
        <w:rPr>
          <w:rFonts w:ascii="Calibri" w:cs="Calibri" w:eastAsia="Calibri" w:hAnsi="Calibri"/>
          <w:b/>
          <w:bCs/>
          <w:i/>
          <w:iCs/>
          <w:color w:val="7030A0"/>
          <w:sz w:val="20"/>
          <w:szCs w:val="20"/>
        </w:rPr>
        <w:t xml:space="preserve">Insight: </w:t>
      </w:r>
      <w:r>
        <w:rPr>
          <w:rFonts w:ascii="Calibri" w:cs="Calibri" w:eastAsia="Calibri" w:hAnsi="Calibri"/>
          <w:i/>
          <w:iCs/>
          <w:color w:val="222222"/>
          <w:sz w:val="20"/>
          <w:szCs w:val="20"/>
        </w:rPr>
        <w:t xml:space="preserve">Among reliably-sized samples, average time-to-close ranges from 18.3 to 92.7+ days for SDRs and 17.0 to 122.3 days for SRs. Deal volume and deal speed are not the same skill: the busiest SDR (140 deals) closes at a middling 33.6-day average, while a lower-volume SDR closes in under 20 days.</w:t>
      </w:r>
    </w:p>
    <w:p>
      <w:pPr>
        <w:spacing w:after="160"/>
      </w:pPr>
      <w:r>
        <w:rPr>
          <w:rFonts w:ascii="Calibri" w:cs="Calibri" w:eastAsia="Calibri" w:hAnsi="Calibri"/>
          <w:b/>
          <w:bCs/>
          <w:color w:val="222222"/>
          <w:sz w:val="20"/>
          <w:szCs w:val="20"/>
        </w:rPr>
        <w:t xml:space="preserve">Recommendation: </w:t>
      </w:r>
      <w:r>
        <w:rPr>
          <w:rFonts w:ascii="Calibri" w:cs="Calibri" w:eastAsia="Calibri" w:hAnsi="Calibri"/>
          <w:i/>
          <w:iCs/>
          <w:color w:val="555555"/>
          <w:sz w:val="20"/>
          <w:szCs w:val="20"/>
        </w:rPr>
        <w:t xml:space="preserve">Study what the fastest reps do differently in their process and use it as a coaching template for slower reps handling a comparable number of deals.</w:t>
      </w:r>
    </w:p>
    <w:p>
      <w:pPr>
        <w:spacing w:after="80" w:before="160"/>
      </w:pPr>
      <w:r>
        <w:rPr>
          <w:rFonts w:ascii="Calibri" w:cs="Calibri" w:eastAsia="Calibri" w:hAnsi="Calibri"/>
          <w:b/>
          <w:bCs/>
          <w:color w:val="222222"/>
          <w:sz w:val="20"/>
          <w:szCs w:val="20"/>
        </w:rPr>
        <w:t xml:space="preserve">4.6 Does rep handling speed explain social's weaker conversion rate?</w:t>
      </w:r>
    </w:p>
    <w:p>
      <w:pPr>
        <w:spacing w:after="60" w:before="100"/>
      </w:pPr>
      <w:r>
        <w:rPr>
          <w:rFonts w:ascii="Calibri" w:cs="Calibri" w:eastAsia="Calibri" w:hAnsi="Calibri"/>
          <w:b/>
          <w:bCs/>
          <w:i/>
          <w:iCs/>
          <w:color w:val="7030A0"/>
          <w:sz w:val="20"/>
          <w:szCs w:val="20"/>
        </w:rPr>
        <w:t xml:space="preserve">Insight: </w:t>
      </w:r>
      <w:r>
        <w:rPr>
          <w:rFonts w:ascii="Calibri" w:cs="Calibri" w:eastAsia="Calibri" w:hAnsi="Calibri"/>
          <w:i/>
          <w:iCs/>
          <w:color w:val="222222"/>
          <w:sz w:val="20"/>
          <w:szCs w:val="20"/>
        </w:rPr>
        <w:t xml:space="preserve">Social's closed deals were handled by reps averaging 40.6 days to close; unknown's by reps averaging 38.6 days — only a 2-day gap, not meaningful against the 18–92 day spread seen across all SDRs. Rep handling speed does not explain social's weaker conversion rate.</w:t>
      </w:r>
    </w:p>
    <w:p>
      <w:pPr>
        <w:spacing w:after="160"/>
      </w:pPr>
      <w:r>
        <w:rPr>
          <w:rFonts w:ascii="Calibri" w:cs="Calibri" w:eastAsia="Calibri" w:hAnsi="Calibri"/>
          <w:b/>
          <w:bCs/>
          <w:color w:val="222222"/>
          <w:sz w:val="20"/>
          <w:szCs w:val="20"/>
        </w:rPr>
        <w:t xml:space="preserve">Recommendation: </w:t>
      </w:r>
      <w:r>
        <w:rPr>
          <w:rFonts w:ascii="Calibri" w:cs="Calibri" w:eastAsia="Calibri" w:hAnsi="Calibri"/>
          <w:i/>
          <w:iCs/>
          <w:color w:val="555555"/>
          <w:sz w:val="20"/>
          <w:szCs w:val="20"/>
        </w:rPr>
        <w:t xml:space="preserve">Treat social's underperformance as a lead-quality or channel-fit issue rather than a sales-execution issue; reassigning reps would not be expected to fix it.</w:t>
      </w:r>
    </w:p>
    <w:p>
      <w:pPr>
        <w:spacing w:after="80" w:before="160"/>
      </w:pPr>
      <w:r>
        <w:rPr>
          <w:rFonts w:ascii="Calibri" w:cs="Calibri" w:eastAsia="Calibri" w:hAnsi="Calibri"/>
          <w:b/>
          <w:bCs/>
          <w:color w:val="222222"/>
          <w:sz w:val="20"/>
          <w:szCs w:val="20"/>
        </w:rPr>
        <w:t xml:space="preserve">4.7 Row-level date integrity check</w:t>
      </w:r>
    </w:p>
    <w:p>
      <w:pPr>
        <w:spacing w:after="60" w:before="100"/>
      </w:pPr>
      <w:r>
        <w:rPr>
          <w:rFonts w:ascii="Calibri" w:cs="Calibri" w:eastAsia="Calibri" w:hAnsi="Calibri"/>
          <w:b/>
          <w:bCs/>
          <w:i/>
          <w:iCs/>
          <w:color w:val="7030A0"/>
          <w:sz w:val="20"/>
          <w:szCs w:val="20"/>
        </w:rPr>
        <w:t xml:space="preserve">Insight: </w:t>
      </w:r>
      <w:r>
        <w:rPr>
          <w:rFonts w:ascii="Calibri" w:cs="Calibri" w:eastAsia="Calibri" w:hAnsi="Calibri"/>
          <w:i/>
          <w:iCs/>
          <w:color w:val="222222"/>
          <w:sz w:val="20"/>
          <w:szCs w:val="20"/>
        </w:rPr>
        <w:t xml:space="preserve">One of 842 closed deals (0.12%) showed a won date two days earlier than its own first-contact date — a logical impossibility. No other row-level violations were found.</w:t>
      </w:r>
    </w:p>
    <w:p>
      <w:pPr>
        <w:spacing w:after="160"/>
      </w:pPr>
      <w:r>
        <w:rPr>
          <w:rFonts w:ascii="Calibri" w:cs="Calibri" w:eastAsia="Calibri" w:hAnsi="Calibri"/>
          <w:b/>
          <w:bCs/>
          <w:color w:val="222222"/>
          <w:sz w:val="20"/>
          <w:szCs w:val="20"/>
        </w:rPr>
        <w:t xml:space="preserve">Recommendation: </w:t>
      </w:r>
      <w:r>
        <w:rPr>
          <w:rFonts w:ascii="Calibri" w:cs="Calibri" w:eastAsia="Calibri" w:hAnsi="Calibri"/>
          <w:i/>
          <w:iCs/>
          <w:color w:val="555555"/>
          <w:sz w:val="20"/>
          <w:szCs w:val="20"/>
        </w:rPr>
        <w:t xml:space="preserve">Exclude this record from analysis (final closed-deal count: 841) and flag it to the source data team as a data-entry timing issue.</w:t>
      </w:r>
    </w:p>
    <w:p>
      <w:pPr>
        <w:spacing w:after="80" w:before="160"/>
      </w:pPr>
      <w:r>
        <w:rPr>
          <w:rFonts w:ascii="Calibri" w:cs="Calibri" w:eastAsia="Calibri" w:hAnsi="Calibri"/>
          <w:b/>
          <w:bCs/>
          <w:color w:val="222222"/>
          <w:sz w:val="20"/>
          <w:szCs w:val="20"/>
        </w:rPr>
        <w:t xml:space="preserve">4.8 Does lead behaviour profile correlate with deal speed?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CCCCCC" w:sz="4"/>
              <w:left w:val="single" w:color="CCCCCC" w:sz="4"/>
              <w:bottom w:val="single" w:color="CCCCCC" w:sz="4"/>
              <w:right w:val="single" w:color="CCCCCC" w:sz="4"/>
            </w:tcBorders>
            <w:shd w:fill="7030A0" w:color="auto" w:val="clear"/>
            <w:tcMar>
              <w:top w:type="dxa" w:w="60"/>
              <w:left w:type="dxa" w:w="100"/>
              <w:bottom w:type="dxa" w:w="60"/>
              <w:right w:type="dxa" w:w="100"/>
            </w:tcMar>
          </w:tcPr>
          <w:p>
            <w:r>
              <w:rPr>
                <w:rFonts w:ascii="Calibri" w:cs="Calibri" w:eastAsia="Calibri" w:hAnsi="Calibri"/>
                <w:b/>
                <w:bCs/>
                <w:color w:val="FFFFFF"/>
                <w:sz w:val="18"/>
                <w:szCs w:val="18"/>
              </w:rPr>
              <w:t xml:space="preserve">Profile</w:t>
            </w:r>
          </w:p>
        </w:tc>
        <w:tc>
          <w:tcPr>
            <w:tcW w:type="dxa" w:w="3000"/>
            <w:tcBorders>
              <w:top w:val="single" w:color="CCCCCC" w:sz="4"/>
              <w:left w:val="single" w:color="CCCCCC" w:sz="4"/>
              <w:bottom w:val="single" w:color="CCCCCC" w:sz="4"/>
              <w:right w:val="single" w:color="CCCCCC" w:sz="4"/>
            </w:tcBorders>
            <w:shd w:fill="7030A0" w:color="auto" w:val="clear"/>
            <w:tcMar>
              <w:top w:type="dxa" w:w="60"/>
              <w:left w:type="dxa" w:w="100"/>
              <w:bottom w:type="dxa" w:w="60"/>
              <w:right w:type="dxa" w:w="100"/>
            </w:tcMar>
          </w:tcPr>
          <w:p>
            <w:r>
              <w:rPr>
                <w:rFonts w:ascii="Calibri" w:cs="Calibri" w:eastAsia="Calibri" w:hAnsi="Calibri"/>
                <w:b/>
                <w:bCs/>
                <w:color w:val="FFFFFF"/>
                <w:sz w:val="18"/>
                <w:szCs w:val="18"/>
              </w:rPr>
              <w:t xml:space="preserve">Closed Deals</w:t>
            </w:r>
          </w:p>
        </w:tc>
        <w:tc>
          <w:tcPr>
            <w:tcW w:type="dxa" w:w="3000"/>
            <w:tcBorders>
              <w:top w:val="single" w:color="CCCCCC" w:sz="4"/>
              <w:left w:val="single" w:color="CCCCCC" w:sz="4"/>
              <w:bottom w:val="single" w:color="CCCCCC" w:sz="4"/>
              <w:right w:val="single" w:color="CCCCCC" w:sz="4"/>
            </w:tcBorders>
            <w:shd w:fill="7030A0" w:color="auto" w:val="clear"/>
            <w:tcMar>
              <w:top w:type="dxa" w:w="60"/>
              <w:left w:type="dxa" w:w="100"/>
              <w:bottom w:type="dxa" w:w="60"/>
              <w:right w:type="dxa" w:w="100"/>
            </w:tcMar>
          </w:tcPr>
          <w:p>
            <w:r>
              <w:rPr>
                <w:rFonts w:ascii="Calibri" w:cs="Calibri" w:eastAsia="Calibri" w:hAnsi="Calibri"/>
                <w:b/>
                <w:bCs/>
                <w:color w:val="FFFFFF"/>
                <w:sz w:val="18"/>
                <w:szCs w:val="18"/>
              </w:rPr>
              <w:t xml:space="preserve">Avg. Days to Close</w:t>
            </w:r>
          </w:p>
        </w:tc>
      </w:tr>
      <w:tr>
        <w:tc>
          <w:tcPr>
            <w:tcW w:type="dxa" w:w="3000"/>
            <w:tcBorders>
              <w:top w:val="single" w:color="CCCCCC" w:sz="4"/>
              <w:left w:val="single" w:color="CCCCCC" w:sz="4"/>
              <w:bottom w:val="single" w:color="CCCCCC" w:sz="4"/>
              <w:right w:val="single" w:color="CCCCCC" w:sz="4"/>
            </w:tcBorders>
            <w:shd w:fill="FFFFFF" w:color="auto" w:val="clear"/>
            <w:tcMar>
              <w:top w:type="dxa" w:w="50"/>
              <w:left w:type="dxa" w:w="100"/>
              <w:bottom w:type="dxa" w:w="50"/>
              <w:right w:type="dxa" w:w="100"/>
            </w:tcMar>
          </w:tcPr>
          <w:p>
            <w:r>
              <w:rPr>
                <w:rFonts w:ascii="Calibri" w:cs="Calibri" w:eastAsia="Calibri" w:hAnsi="Calibri"/>
                <w:color w:val="222222"/>
                <w:sz w:val="18"/>
                <w:szCs w:val="18"/>
              </w:rPr>
              <w:t xml:space="preserve">Eagle</w:t>
            </w:r>
          </w:p>
        </w:tc>
        <w:tc>
          <w:tcPr>
            <w:tcW w:type="dxa" w:w="3000"/>
            <w:tcBorders>
              <w:top w:val="single" w:color="CCCCCC" w:sz="4"/>
              <w:left w:val="single" w:color="CCCCCC" w:sz="4"/>
              <w:bottom w:val="single" w:color="CCCCCC" w:sz="4"/>
              <w:right w:val="single" w:color="CCCCCC" w:sz="4"/>
            </w:tcBorders>
            <w:shd w:fill="FFFFFF" w:color="auto" w:val="clear"/>
            <w:tcMar>
              <w:top w:type="dxa" w:w="50"/>
              <w:left w:type="dxa" w:w="100"/>
              <w:bottom w:type="dxa" w:w="50"/>
              <w:right w:type="dxa" w:w="100"/>
            </w:tcMar>
          </w:tcPr>
          <w:p>
            <w:r>
              <w:rPr>
                <w:rFonts w:ascii="Calibri" w:cs="Calibri" w:eastAsia="Calibri" w:hAnsi="Calibri"/>
                <w:color w:val="222222"/>
                <w:sz w:val="18"/>
                <w:szCs w:val="18"/>
              </w:rPr>
              <w:t xml:space="preserve">123</w:t>
            </w:r>
          </w:p>
        </w:tc>
        <w:tc>
          <w:tcPr>
            <w:tcW w:type="dxa" w:w="3000"/>
            <w:tcBorders>
              <w:top w:val="single" w:color="CCCCCC" w:sz="4"/>
              <w:left w:val="single" w:color="CCCCCC" w:sz="4"/>
              <w:bottom w:val="single" w:color="CCCCCC" w:sz="4"/>
              <w:right w:val="single" w:color="CCCCCC" w:sz="4"/>
            </w:tcBorders>
            <w:shd w:fill="FFFFFF" w:color="auto" w:val="clear"/>
            <w:tcMar>
              <w:top w:type="dxa" w:w="50"/>
              <w:left w:type="dxa" w:w="100"/>
              <w:bottom w:type="dxa" w:w="50"/>
              <w:right w:type="dxa" w:w="100"/>
            </w:tcMar>
          </w:tcPr>
          <w:p>
            <w:r>
              <w:rPr>
                <w:rFonts w:ascii="Calibri" w:cs="Calibri" w:eastAsia="Calibri" w:hAnsi="Calibri"/>
                <w:color w:val="222222"/>
                <w:sz w:val="18"/>
                <w:szCs w:val="18"/>
              </w:rPr>
              <w:t xml:space="preserve">36.0</w:t>
            </w:r>
          </w:p>
        </w:tc>
      </w:tr>
      <w:tr>
        <w:tc>
          <w:tcPr>
            <w:tcW w:type="dxa" w:w="3000"/>
            <w:tcBorders>
              <w:top w:val="single" w:color="CCCCCC" w:sz="4"/>
              <w:left w:val="single" w:color="CCCCCC" w:sz="4"/>
              <w:bottom w:val="single" w:color="CCCCCC" w:sz="4"/>
              <w:right w:val="single" w:color="CCCCCC" w:sz="4"/>
            </w:tcBorders>
            <w:shd w:fill="F7F2FA" w:color="auto" w:val="clear"/>
            <w:tcMar>
              <w:top w:type="dxa" w:w="50"/>
              <w:left w:type="dxa" w:w="100"/>
              <w:bottom w:type="dxa" w:w="50"/>
              <w:right w:type="dxa" w:w="100"/>
            </w:tcMar>
          </w:tcPr>
          <w:p>
            <w:r>
              <w:rPr>
                <w:rFonts w:ascii="Calibri" w:cs="Calibri" w:eastAsia="Calibri" w:hAnsi="Calibri"/>
                <w:color w:val="222222"/>
                <w:sz w:val="18"/>
                <w:szCs w:val="18"/>
              </w:rPr>
              <w:t xml:space="preserve">Not specified</w:t>
            </w:r>
          </w:p>
        </w:tc>
        <w:tc>
          <w:tcPr>
            <w:tcW w:type="dxa" w:w="3000"/>
            <w:tcBorders>
              <w:top w:val="single" w:color="CCCCCC" w:sz="4"/>
              <w:left w:val="single" w:color="CCCCCC" w:sz="4"/>
              <w:bottom w:val="single" w:color="CCCCCC" w:sz="4"/>
              <w:right w:val="single" w:color="CCCCCC" w:sz="4"/>
            </w:tcBorders>
            <w:shd w:fill="F7F2FA" w:color="auto" w:val="clear"/>
            <w:tcMar>
              <w:top w:type="dxa" w:w="50"/>
              <w:left w:type="dxa" w:w="100"/>
              <w:bottom w:type="dxa" w:w="50"/>
              <w:right w:type="dxa" w:w="100"/>
            </w:tcMar>
          </w:tcPr>
          <w:p>
            <w:r>
              <w:rPr>
                <w:rFonts w:ascii="Calibri" w:cs="Calibri" w:eastAsia="Calibri" w:hAnsi="Calibri"/>
                <w:color w:val="222222"/>
                <w:sz w:val="18"/>
                <w:szCs w:val="18"/>
              </w:rPr>
              <w:t xml:space="preserve">177</w:t>
            </w:r>
          </w:p>
        </w:tc>
        <w:tc>
          <w:tcPr>
            <w:tcW w:type="dxa" w:w="3000"/>
            <w:tcBorders>
              <w:top w:val="single" w:color="CCCCCC" w:sz="4"/>
              <w:left w:val="single" w:color="CCCCCC" w:sz="4"/>
              <w:bottom w:val="single" w:color="CCCCCC" w:sz="4"/>
              <w:right w:val="single" w:color="CCCCCC" w:sz="4"/>
            </w:tcBorders>
            <w:shd w:fill="F7F2FA" w:color="auto" w:val="clear"/>
            <w:tcMar>
              <w:top w:type="dxa" w:w="50"/>
              <w:left w:type="dxa" w:w="100"/>
              <w:bottom w:type="dxa" w:w="50"/>
              <w:right w:type="dxa" w:w="100"/>
            </w:tcMar>
          </w:tcPr>
          <w:p>
            <w:r>
              <w:rPr>
                <w:rFonts w:ascii="Calibri" w:cs="Calibri" w:eastAsia="Calibri" w:hAnsi="Calibri"/>
                <w:color w:val="222222"/>
                <w:sz w:val="18"/>
                <w:szCs w:val="18"/>
              </w:rPr>
              <w:t xml:space="preserve">39.4</w:t>
            </w:r>
          </w:p>
        </w:tc>
      </w:tr>
      <w:tr>
        <w:tc>
          <w:tcPr>
            <w:tcW w:type="dxa" w:w="3000"/>
            <w:tcBorders>
              <w:top w:val="single" w:color="CCCCCC" w:sz="4"/>
              <w:left w:val="single" w:color="CCCCCC" w:sz="4"/>
              <w:bottom w:val="single" w:color="CCCCCC" w:sz="4"/>
              <w:right w:val="single" w:color="CCCCCC" w:sz="4"/>
            </w:tcBorders>
            <w:shd w:fill="FFFFFF" w:color="auto" w:val="clear"/>
            <w:tcMar>
              <w:top w:type="dxa" w:w="50"/>
              <w:left w:type="dxa" w:w="100"/>
              <w:bottom w:type="dxa" w:w="50"/>
              <w:right w:type="dxa" w:w="100"/>
            </w:tcMar>
          </w:tcPr>
          <w:p>
            <w:r>
              <w:rPr>
                <w:rFonts w:ascii="Calibri" w:cs="Calibri" w:eastAsia="Calibri" w:hAnsi="Calibri"/>
                <w:color w:val="222222"/>
                <w:sz w:val="18"/>
                <w:szCs w:val="18"/>
              </w:rPr>
              <w:t xml:space="preserve">Cat</w:t>
            </w:r>
          </w:p>
        </w:tc>
        <w:tc>
          <w:tcPr>
            <w:tcW w:type="dxa" w:w="3000"/>
            <w:tcBorders>
              <w:top w:val="single" w:color="CCCCCC" w:sz="4"/>
              <w:left w:val="single" w:color="CCCCCC" w:sz="4"/>
              <w:bottom w:val="single" w:color="CCCCCC" w:sz="4"/>
              <w:right w:val="single" w:color="CCCCCC" w:sz="4"/>
            </w:tcBorders>
            <w:shd w:fill="FFFFFF" w:color="auto" w:val="clear"/>
            <w:tcMar>
              <w:top w:type="dxa" w:w="50"/>
              <w:left w:type="dxa" w:w="100"/>
              <w:bottom w:type="dxa" w:w="50"/>
              <w:right w:type="dxa" w:w="100"/>
            </w:tcMar>
          </w:tcPr>
          <w:p>
            <w:r>
              <w:rPr>
                <w:rFonts w:ascii="Calibri" w:cs="Calibri" w:eastAsia="Calibri" w:hAnsi="Calibri"/>
                <w:color w:val="222222"/>
                <w:sz w:val="18"/>
                <w:szCs w:val="18"/>
              </w:rPr>
              <w:t xml:space="preserve">406</w:t>
            </w:r>
          </w:p>
        </w:tc>
        <w:tc>
          <w:tcPr>
            <w:tcW w:type="dxa" w:w="3000"/>
            <w:tcBorders>
              <w:top w:val="single" w:color="CCCCCC" w:sz="4"/>
              <w:left w:val="single" w:color="CCCCCC" w:sz="4"/>
              <w:bottom w:val="single" w:color="CCCCCC" w:sz="4"/>
              <w:right w:val="single" w:color="CCCCCC" w:sz="4"/>
            </w:tcBorders>
            <w:shd w:fill="FFFFFF" w:color="auto" w:val="clear"/>
            <w:tcMar>
              <w:top w:type="dxa" w:w="50"/>
              <w:left w:type="dxa" w:w="100"/>
              <w:bottom w:type="dxa" w:w="50"/>
              <w:right w:type="dxa" w:w="100"/>
            </w:tcMar>
          </w:tcPr>
          <w:p>
            <w:r>
              <w:rPr>
                <w:rFonts w:ascii="Calibri" w:cs="Calibri" w:eastAsia="Calibri" w:hAnsi="Calibri"/>
                <w:color w:val="222222"/>
                <w:sz w:val="18"/>
                <w:szCs w:val="18"/>
              </w:rPr>
              <w:t xml:space="preserve">40.8</w:t>
            </w:r>
          </w:p>
        </w:tc>
      </w:tr>
      <w:tr>
        <w:tc>
          <w:tcPr>
            <w:tcW w:type="dxa" w:w="3000"/>
            <w:tcBorders>
              <w:top w:val="single" w:color="CCCCCC" w:sz="4"/>
              <w:left w:val="single" w:color="CCCCCC" w:sz="4"/>
              <w:bottom w:val="single" w:color="CCCCCC" w:sz="4"/>
              <w:right w:val="single" w:color="CCCCCC" w:sz="4"/>
            </w:tcBorders>
            <w:shd w:fill="F7F2FA" w:color="auto" w:val="clear"/>
            <w:tcMar>
              <w:top w:type="dxa" w:w="50"/>
              <w:left w:type="dxa" w:w="100"/>
              <w:bottom w:type="dxa" w:w="50"/>
              <w:right w:type="dxa" w:w="100"/>
            </w:tcMar>
          </w:tcPr>
          <w:p>
            <w:r>
              <w:rPr>
                <w:rFonts w:ascii="Calibri" w:cs="Calibri" w:eastAsia="Calibri" w:hAnsi="Calibri"/>
                <w:color w:val="222222"/>
                <w:sz w:val="18"/>
                <w:szCs w:val="18"/>
              </w:rPr>
              <w:t xml:space="preserve">Shark</w:t>
            </w:r>
          </w:p>
        </w:tc>
        <w:tc>
          <w:tcPr>
            <w:tcW w:type="dxa" w:w="3000"/>
            <w:tcBorders>
              <w:top w:val="single" w:color="CCCCCC" w:sz="4"/>
              <w:left w:val="single" w:color="CCCCCC" w:sz="4"/>
              <w:bottom w:val="single" w:color="CCCCCC" w:sz="4"/>
              <w:right w:val="single" w:color="CCCCCC" w:sz="4"/>
            </w:tcBorders>
            <w:shd w:fill="F7F2FA" w:color="auto" w:val="clear"/>
            <w:tcMar>
              <w:top w:type="dxa" w:w="50"/>
              <w:left w:type="dxa" w:w="100"/>
              <w:bottom w:type="dxa" w:w="50"/>
              <w:right w:type="dxa" w:w="100"/>
            </w:tcMar>
          </w:tcPr>
          <w:p>
            <w:r>
              <w:rPr>
                <w:rFonts w:ascii="Calibri" w:cs="Calibri" w:eastAsia="Calibri" w:hAnsi="Calibri"/>
                <w:color w:val="222222"/>
                <w:sz w:val="18"/>
                <w:szCs w:val="18"/>
              </w:rPr>
              <w:t xml:space="preserve">24</w:t>
            </w:r>
          </w:p>
        </w:tc>
        <w:tc>
          <w:tcPr>
            <w:tcW w:type="dxa" w:w="3000"/>
            <w:tcBorders>
              <w:top w:val="single" w:color="CCCCCC" w:sz="4"/>
              <w:left w:val="single" w:color="CCCCCC" w:sz="4"/>
              <w:bottom w:val="single" w:color="CCCCCC" w:sz="4"/>
              <w:right w:val="single" w:color="CCCCCC" w:sz="4"/>
            </w:tcBorders>
            <w:shd w:fill="F7F2FA" w:color="auto" w:val="clear"/>
            <w:tcMar>
              <w:top w:type="dxa" w:w="50"/>
              <w:left w:type="dxa" w:w="100"/>
              <w:bottom w:type="dxa" w:w="50"/>
              <w:right w:type="dxa" w:w="100"/>
            </w:tcMar>
          </w:tcPr>
          <w:p>
            <w:r>
              <w:rPr>
                <w:rFonts w:ascii="Calibri" w:cs="Calibri" w:eastAsia="Calibri" w:hAnsi="Calibri"/>
                <w:color w:val="222222"/>
                <w:sz w:val="18"/>
                <w:szCs w:val="18"/>
              </w:rPr>
              <w:t xml:space="preserve">75.4</w:t>
            </w:r>
          </w:p>
        </w:tc>
      </w:tr>
      <w:tr>
        <w:tc>
          <w:tcPr>
            <w:tcW w:type="dxa" w:w="3000"/>
            <w:tcBorders>
              <w:top w:val="single" w:color="CCCCCC" w:sz="4"/>
              <w:left w:val="single" w:color="CCCCCC" w:sz="4"/>
              <w:bottom w:val="single" w:color="CCCCCC" w:sz="4"/>
              <w:right w:val="single" w:color="CCCCCC" w:sz="4"/>
            </w:tcBorders>
            <w:shd w:fill="FFFFFF" w:color="auto" w:val="clear"/>
            <w:tcMar>
              <w:top w:type="dxa" w:w="50"/>
              <w:left w:type="dxa" w:w="100"/>
              <w:bottom w:type="dxa" w:w="50"/>
              <w:right w:type="dxa" w:w="100"/>
            </w:tcMar>
          </w:tcPr>
          <w:p>
            <w:r>
              <w:rPr>
                <w:rFonts w:ascii="Calibri" w:cs="Calibri" w:eastAsia="Calibri" w:hAnsi="Calibri"/>
                <w:color w:val="222222"/>
                <w:sz w:val="18"/>
                <w:szCs w:val="18"/>
              </w:rPr>
              <w:t xml:space="preserve">Wolf</w:t>
            </w:r>
          </w:p>
        </w:tc>
        <w:tc>
          <w:tcPr>
            <w:tcW w:type="dxa" w:w="3000"/>
            <w:tcBorders>
              <w:top w:val="single" w:color="CCCCCC" w:sz="4"/>
              <w:left w:val="single" w:color="CCCCCC" w:sz="4"/>
              <w:bottom w:val="single" w:color="CCCCCC" w:sz="4"/>
              <w:right w:val="single" w:color="CCCCCC" w:sz="4"/>
            </w:tcBorders>
            <w:shd w:fill="FFFFFF" w:color="auto" w:val="clear"/>
            <w:tcMar>
              <w:top w:type="dxa" w:w="50"/>
              <w:left w:type="dxa" w:w="100"/>
              <w:bottom w:type="dxa" w:w="50"/>
              <w:right w:type="dxa" w:w="100"/>
            </w:tcMar>
          </w:tcPr>
          <w:p>
            <w:r>
              <w:rPr>
                <w:rFonts w:ascii="Calibri" w:cs="Calibri" w:eastAsia="Calibri" w:hAnsi="Calibri"/>
                <w:color w:val="222222"/>
                <w:sz w:val="18"/>
                <w:szCs w:val="18"/>
              </w:rPr>
              <w:t xml:space="preserve">95</w:t>
            </w:r>
          </w:p>
        </w:tc>
        <w:tc>
          <w:tcPr>
            <w:tcW w:type="dxa" w:w="3000"/>
            <w:tcBorders>
              <w:top w:val="single" w:color="CCCCCC" w:sz="4"/>
              <w:left w:val="single" w:color="CCCCCC" w:sz="4"/>
              <w:bottom w:val="single" w:color="CCCCCC" w:sz="4"/>
              <w:right w:val="single" w:color="CCCCCC" w:sz="4"/>
            </w:tcBorders>
            <w:shd w:fill="FFFFFF" w:color="auto" w:val="clear"/>
            <w:tcMar>
              <w:top w:type="dxa" w:w="50"/>
              <w:left w:type="dxa" w:w="100"/>
              <w:bottom w:type="dxa" w:w="50"/>
              <w:right w:type="dxa" w:w="100"/>
            </w:tcMar>
          </w:tcPr>
          <w:p>
            <w:r>
              <w:rPr>
                <w:rFonts w:ascii="Calibri" w:cs="Calibri" w:eastAsia="Calibri" w:hAnsi="Calibri"/>
                <w:color w:val="222222"/>
                <w:sz w:val="18"/>
                <w:szCs w:val="18"/>
              </w:rPr>
              <w:t xml:space="preserve">83.9</w:t>
            </w:r>
          </w:p>
        </w:tc>
      </w:tr>
      <w:tr>
        <w:tc>
          <w:tcPr>
            <w:tcW w:type="dxa" w:w="3000"/>
            <w:tcBorders>
              <w:top w:val="single" w:color="CCCCCC" w:sz="4"/>
              <w:left w:val="single" w:color="CCCCCC" w:sz="4"/>
              <w:bottom w:val="single" w:color="CCCCCC" w:sz="4"/>
              <w:right w:val="single" w:color="CCCCCC" w:sz="4"/>
            </w:tcBorders>
            <w:shd w:fill="F7F2FA" w:color="auto" w:val="clear"/>
            <w:tcMar>
              <w:top w:type="dxa" w:w="50"/>
              <w:left w:type="dxa" w:w="100"/>
              <w:bottom w:type="dxa" w:w="50"/>
              <w:right w:type="dxa" w:w="100"/>
            </w:tcMar>
          </w:tcPr>
          <w:p>
            <w:r>
              <w:rPr>
                <w:rFonts w:ascii="Calibri" w:cs="Calibri" w:eastAsia="Calibri" w:hAnsi="Calibri"/>
                <w:color w:val="222222"/>
                <w:sz w:val="18"/>
                <w:szCs w:val="18"/>
              </w:rPr>
              <w:t xml:space="preserve">Mixed</w:t>
            </w:r>
          </w:p>
        </w:tc>
        <w:tc>
          <w:tcPr>
            <w:tcW w:type="dxa" w:w="3000"/>
            <w:tcBorders>
              <w:top w:val="single" w:color="CCCCCC" w:sz="4"/>
              <w:left w:val="single" w:color="CCCCCC" w:sz="4"/>
              <w:bottom w:val="single" w:color="CCCCCC" w:sz="4"/>
              <w:right w:val="single" w:color="CCCCCC" w:sz="4"/>
            </w:tcBorders>
            <w:shd w:fill="F7F2FA" w:color="auto" w:val="clear"/>
            <w:tcMar>
              <w:top w:type="dxa" w:w="50"/>
              <w:left w:type="dxa" w:w="100"/>
              <w:bottom w:type="dxa" w:w="50"/>
              <w:right w:type="dxa" w:w="100"/>
            </w:tcMar>
          </w:tcPr>
          <w:p>
            <w:r>
              <w:rPr>
                <w:rFonts w:ascii="Calibri" w:cs="Calibri" w:eastAsia="Calibri" w:hAnsi="Calibri"/>
                <w:color w:val="222222"/>
                <w:sz w:val="18"/>
                <w:szCs w:val="18"/>
              </w:rPr>
              <w:t xml:space="preserve">16</w:t>
            </w:r>
          </w:p>
        </w:tc>
        <w:tc>
          <w:tcPr>
            <w:tcW w:type="dxa" w:w="3000"/>
            <w:tcBorders>
              <w:top w:val="single" w:color="CCCCCC" w:sz="4"/>
              <w:left w:val="single" w:color="CCCCCC" w:sz="4"/>
              <w:bottom w:val="single" w:color="CCCCCC" w:sz="4"/>
              <w:right w:val="single" w:color="CCCCCC" w:sz="4"/>
            </w:tcBorders>
            <w:shd w:fill="F7F2FA" w:color="auto" w:val="clear"/>
            <w:tcMar>
              <w:top w:type="dxa" w:w="50"/>
              <w:left w:type="dxa" w:w="100"/>
              <w:bottom w:type="dxa" w:w="50"/>
              <w:right w:type="dxa" w:w="100"/>
            </w:tcMar>
          </w:tcPr>
          <w:p>
            <w:r>
              <w:rPr>
                <w:rFonts w:ascii="Calibri" w:cs="Calibri" w:eastAsia="Calibri" w:hAnsi="Calibri"/>
                <w:color w:val="222222"/>
                <w:sz w:val="18"/>
                <w:szCs w:val="18"/>
              </w:rPr>
              <w:t xml:space="preserve">190.8*</w:t>
            </w:r>
          </w:p>
        </w:tc>
      </w:tr>
    </w:tbl>
    <w:p>
      <w:pPr>
        <w:spacing w:after="160"/>
      </w:pPr>
      <w:r>
        <w:rPr>
          <w:rFonts w:ascii="Calibri" w:cs="Calibri" w:eastAsia="Calibri" w:hAnsi="Calibri"/>
          <w:b/>
          <w:bCs/>
          <w:color w:val="222222"/>
          <w:sz w:val="19"/>
          <w:szCs w:val="19"/>
        </w:rPr>
        <w:t xml:space="preserve">Note: </w:t>
      </w:r>
      <w:r>
        <w:rPr>
          <w:rFonts w:ascii="Calibri" w:cs="Calibri" w:eastAsia="Calibri" w:hAnsi="Calibri"/>
          <w:i/>
          <w:iCs/>
          <w:color w:val="555555"/>
          <w:sz w:val="19"/>
          <w:szCs w:val="19"/>
        </w:rPr>
        <w:t xml:space="preserve">*Mixed-profile group has the smallest sample size (16 deals) and should be treated cautiously.</w:t>
      </w:r>
    </w:p>
    <w:p>
      <w:pPr>
        <w:spacing w:after="60" w:before="100"/>
      </w:pPr>
      <w:r>
        <w:rPr>
          <w:rFonts w:ascii="Calibri" w:cs="Calibri" w:eastAsia="Calibri" w:hAnsi="Calibri"/>
          <w:b/>
          <w:bCs/>
          <w:i/>
          <w:iCs/>
          <w:color w:val="7030A0"/>
          <w:sz w:val="20"/>
          <w:szCs w:val="20"/>
        </w:rPr>
        <w:t xml:space="preserve">Insight: </w:t>
      </w:r>
      <w:r>
        <w:rPr>
          <w:rFonts w:ascii="Calibri" w:cs="Calibri" w:eastAsia="Calibri" w:hAnsi="Calibri"/>
          <w:i/>
          <w:iCs/>
          <w:color w:val="222222"/>
          <w:sz w:val="20"/>
          <w:szCs w:val="20"/>
        </w:rPr>
        <w:t xml:space="preserve">Eagle-profile leads close roughly 2.3x faster than Wolf-profile leads, despite comparable sample sizes (123 vs. 95 deals) — a pattern consistent with the DISC-based framework the profiling is drawn from: Eagles are decisive and results-driven, while Wolves are relationship-driven and typically need more touchpoints before committing.</w:t>
      </w:r>
    </w:p>
    <w:p>
      <w:pPr>
        <w:spacing w:after="160"/>
      </w:pPr>
      <w:r>
        <w:rPr>
          <w:rFonts w:ascii="Calibri" w:cs="Calibri" w:eastAsia="Calibri" w:hAnsi="Calibri"/>
          <w:b/>
          <w:bCs/>
          <w:color w:val="222222"/>
          <w:sz w:val="20"/>
          <w:szCs w:val="20"/>
        </w:rPr>
        <w:t xml:space="preserve">Recommendation: </w:t>
      </w:r>
      <w:r>
        <w:rPr>
          <w:rFonts w:ascii="Calibri" w:cs="Calibri" w:eastAsia="Calibri" w:hAnsi="Calibri"/>
          <w:i/>
          <w:iCs/>
          <w:color w:val="555555"/>
          <w:sz w:val="20"/>
          <w:szCs w:val="20"/>
        </w:rPr>
        <w:t xml:space="preserve">Have SDRs fast-track Eagle-profile leads toward a quick close, and set different follow-up cadences and timeline expectations for Wolf- and Shark-profile leads rather than a uniform sales process.</w:t>
      </w:r>
    </w:p>
    <w:p>
      <w:pPr>
        <w:pBdr>
          <w:top w:val="single" w:color="CCCCCC" w:sz="4" w:space="8"/>
        </w:pBdr>
        <w:spacing w:after="160" w:before="160"/>
      </w:pPr>
      <w:r>
        <w:rPr>
          <w:rFonts w:ascii="Calibri" w:cs="Calibri" w:eastAsia="Calibri" w:hAnsi="Calibri"/>
          <w:b/>
          <w:bCs/>
          <w:i/>
          <w:iCs/>
          <w:color w:val="7030A0"/>
          <w:sz w:val="20"/>
          <w:szCs w:val="20"/>
        </w:rPr>
        <w:t xml:space="preserve">Section summary: </w:t>
      </w:r>
      <w:r>
        <w:rPr>
          <w:rFonts w:ascii="Calibri" w:cs="Calibri" w:eastAsia="Calibri" w:hAnsi="Calibri"/>
          <w:i/>
          <w:iCs/>
          <w:color w:val="222222"/>
          <w:sz w:val="20"/>
          <w:szCs w:val="20"/>
        </w:rPr>
        <w:t xml:space="preserve">The marketing-ROI questions (4.1–4.3) identify where the funnel leaks; the sales-efficiency questions (4.4–4.5, 4.8) identify how the team's handling varies; and the combined test (4.6) rules out rep handling as the cause of social's weak performance, isolating it as a lead-quality issue instead. This separation of cause from correlation directly shapes the recommendations in Section 6.</w:t>
      </w:r>
    </w:p>
    <w:p>
      <w:pPr>
        <w:pBdr>
          <w:bottom w:val="single" w:color="7030A0" w:sz="8" w:space="4"/>
        </w:pBdr>
        <w:spacing w:after="120" w:before="320"/>
      </w:pPr>
      <w:r>
        <w:rPr>
          <w:rFonts w:ascii="Calibri" w:cs="Calibri" w:eastAsia="Calibri" w:hAnsi="Calibri"/>
          <w:b/>
          <w:bCs/>
          <w:color w:val="7030A0"/>
          <w:sz w:val="26"/>
          <w:szCs w:val="26"/>
        </w:rPr>
        <w:t xml:space="preserve">5. Dashboard in Power BI</w:t>
      </w:r>
    </w:p>
    <w:p>
      <w:pPr>
        <w:spacing w:after="140"/>
      </w:pPr>
      <w:r>
        <w:rPr>
          <w:rFonts w:ascii="Calibri" w:cs="Calibri" w:eastAsia="Calibri" w:hAnsi="Calibri"/>
          <w:color w:val="222222"/>
          <w:sz w:val="20"/>
          <w:szCs w:val="20"/>
        </w:rPr>
        <w:t xml:space="preserve">An interactive Power BI dashboard was built on top of the two cleaned tables, joined natively on lead ID (one-to-one relationship, bidirectional cross-filtering), with all metrics calculated live via DAX measures rather than static SQL exports — allowing the entire dashboard to respond to a viewer's filter selections in real time.</w:t>
      </w:r>
    </w:p>
    <w:p>
      <w:pPr>
        <w:spacing w:after="100" w:before="100"/>
        <w:jc w:val="center"/>
      </w:pPr>
      <w:r>
        <w:rPr>
          <w:rFonts w:ascii="Calibri" w:cs="Calibri" w:eastAsia="Calibri" w:hAnsi="Calibri"/>
          <w:i/>
          <w:iCs/>
          <w:color w:val="555555"/>
          <w:sz w:val="18"/>
          <w:szCs w:val="18"/>
        </w:rPr>
        <w:t xml:space="preserve">[ DASHBOARD SCREENSHOT — insert final Funnel Conversion Dashboard image here ]</w:t>
      </w:r>
    </w:p>
    <w:p>
      <w:pPr>
        <w:spacing w:after="200"/>
        <w:jc w:val="center"/>
      </w:pPr>
      <w:r>
        <w:rPr>
          <w:rFonts w:ascii="Calibri" w:cs="Calibri" w:eastAsia="Calibri" w:hAnsi="Calibri"/>
          <w:i/>
          <w:iCs/>
          <w:color w:val="555555"/>
          <w:sz w:val="17"/>
          <w:szCs w:val="17"/>
        </w:rPr>
        <w:t xml:space="preserve">Funnel Conversion Dashboard — KPI summary, channel conversion rate, SDR time-to-close, and landing page performance, with interactive date and channel slicers.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tcBorders>
              <w:top w:val="single" w:color="CCCCCC" w:sz="4"/>
              <w:left w:val="single" w:color="CCCCCC" w:sz="4"/>
              <w:bottom w:val="single" w:color="CCCCCC" w:sz="4"/>
              <w:right w:val="single" w:color="CCCCCC" w:sz="4"/>
            </w:tcBorders>
            <w:shd w:fill="7030A0" w:color="auto" w:val="clear"/>
            <w:tcMar>
              <w:top w:type="dxa" w:w="60"/>
              <w:left w:type="dxa" w:w="100"/>
              <w:bottom w:type="dxa" w:w="60"/>
              <w:right w:type="dxa" w:w="100"/>
            </w:tcMar>
          </w:tcPr>
          <w:p>
            <w:r>
              <w:rPr>
                <w:rFonts w:ascii="Calibri" w:cs="Calibri" w:eastAsia="Calibri" w:hAnsi="Calibri"/>
                <w:b/>
                <w:bCs/>
                <w:color w:val="FFFFFF"/>
                <w:sz w:val="18"/>
                <w:szCs w:val="18"/>
              </w:rPr>
              <w:t xml:space="preserve">8,000</w:t>
            </w:r>
          </w:p>
        </w:tc>
        <w:tc>
          <w:tcPr>
            <w:tcW w:type="dxa" w:w="2250"/>
            <w:tcBorders>
              <w:top w:val="single" w:color="CCCCCC" w:sz="4"/>
              <w:left w:val="single" w:color="CCCCCC" w:sz="4"/>
              <w:bottom w:val="single" w:color="CCCCCC" w:sz="4"/>
              <w:right w:val="single" w:color="CCCCCC" w:sz="4"/>
            </w:tcBorders>
            <w:shd w:fill="7030A0" w:color="auto" w:val="clear"/>
            <w:tcMar>
              <w:top w:type="dxa" w:w="60"/>
              <w:left w:type="dxa" w:w="100"/>
              <w:bottom w:type="dxa" w:w="60"/>
              <w:right w:type="dxa" w:w="100"/>
            </w:tcMar>
          </w:tcPr>
          <w:p>
            <w:r>
              <w:rPr>
                <w:rFonts w:ascii="Calibri" w:cs="Calibri" w:eastAsia="Calibri" w:hAnsi="Calibri"/>
                <w:b/>
                <w:bCs/>
                <w:color w:val="FFFFFF"/>
                <w:sz w:val="18"/>
                <w:szCs w:val="18"/>
              </w:rPr>
              <w:t xml:space="preserve">841</w:t>
            </w:r>
          </w:p>
        </w:tc>
        <w:tc>
          <w:tcPr>
            <w:tcW w:type="dxa" w:w="2250"/>
            <w:tcBorders>
              <w:top w:val="single" w:color="CCCCCC" w:sz="4"/>
              <w:left w:val="single" w:color="CCCCCC" w:sz="4"/>
              <w:bottom w:val="single" w:color="CCCCCC" w:sz="4"/>
              <w:right w:val="single" w:color="CCCCCC" w:sz="4"/>
            </w:tcBorders>
            <w:shd w:fill="7030A0" w:color="auto" w:val="clear"/>
            <w:tcMar>
              <w:top w:type="dxa" w:w="60"/>
              <w:left w:type="dxa" w:w="100"/>
              <w:bottom w:type="dxa" w:w="60"/>
              <w:right w:type="dxa" w:w="100"/>
            </w:tcMar>
          </w:tcPr>
          <w:p>
            <w:r>
              <w:rPr>
                <w:rFonts w:ascii="Calibri" w:cs="Calibri" w:eastAsia="Calibri" w:hAnsi="Calibri"/>
                <w:b/>
                <w:bCs/>
                <w:color w:val="FFFFFF"/>
                <w:sz w:val="18"/>
                <w:szCs w:val="18"/>
              </w:rPr>
              <w:t xml:space="preserve">10.5%</w:t>
            </w:r>
          </w:p>
        </w:tc>
        <w:tc>
          <w:tcPr>
            <w:tcW w:type="dxa" w:w="2250"/>
            <w:tcBorders>
              <w:top w:val="single" w:color="CCCCCC" w:sz="4"/>
              <w:left w:val="single" w:color="CCCCCC" w:sz="4"/>
              <w:bottom w:val="single" w:color="CCCCCC" w:sz="4"/>
              <w:right w:val="single" w:color="CCCCCC" w:sz="4"/>
            </w:tcBorders>
            <w:shd w:fill="7030A0" w:color="auto" w:val="clear"/>
            <w:tcMar>
              <w:top w:type="dxa" w:w="60"/>
              <w:left w:type="dxa" w:w="100"/>
              <w:bottom w:type="dxa" w:w="60"/>
              <w:right w:type="dxa" w:w="100"/>
            </w:tcMar>
          </w:tcPr>
          <w:p>
            <w:r>
              <w:rPr>
                <w:rFonts w:ascii="Calibri" w:cs="Calibri" w:eastAsia="Calibri" w:hAnsi="Calibri"/>
                <w:b/>
                <w:bCs/>
                <w:color w:val="FFFFFF"/>
                <w:sz w:val="18"/>
                <w:szCs w:val="18"/>
              </w:rPr>
              <w:t xml:space="preserve">48.50 days</w:t>
            </w:r>
          </w:p>
        </w:tc>
      </w:tr>
      <w:tr>
        <w:tc>
          <w:tcPr>
            <w:tcW w:type="dxa" w:w="2250"/>
            <w:tcBorders>
              <w:top w:val="single" w:color="CCCCCC" w:sz="4"/>
              <w:left w:val="single" w:color="CCCCCC" w:sz="4"/>
              <w:bottom w:val="single" w:color="CCCCCC" w:sz="4"/>
              <w:right w:val="single" w:color="CCCCCC" w:sz="4"/>
            </w:tcBorders>
            <w:shd w:fill="FFFFFF" w:color="auto" w:val="clear"/>
            <w:tcMar>
              <w:top w:type="dxa" w:w="50"/>
              <w:left w:type="dxa" w:w="100"/>
              <w:bottom w:type="dxa" w:w="50"/>
              <w:right w:type="dxa" w:w="100"/>
            </w:tcMar>
          </w:tcPr>
          <w:p>
            <w:r>
              <w:rPr>
                <w:rFonts w:ascii="Calibri" w:cs="Calibri" w:eastAsia="Calibri" w:hAnsi="Calibri"/>
                <w:color w:val="222222"/>
                <w:sz w:val="18"/>
                <w:szCs w:val="18"/>
              </w:rPr>
              <w:t xml:space="preserve">Total Leads</w:t>
            </w:r>
          </w:p>
        </w:tc>
        <w:tc>
          <w:tcPr>
            <w:tcW w:type="dxa" w:w="2250"/>
            <w:tcBorders>
              <w:top w:val="single" w:color="CCCCCC" w:sz="4"/>
              <w:left w:val="single" w:color="CCCCCC" w:sz="4"/>
              <w:bottom w:val="single" w:color="CCCCCC" w:sz="4"/>
              <w:right w:val="single" w:color="CCCCCC" w:sz="4"/>
            </w:tcBorders>
            <w:shd w:fill="FFFFFF" w:color="auto" w:val="clear"/>
            <w:tcMar>
              <w:top w:type="dxa" w:w="50"/>
              <w:left w:type="dxa" w:w="100"/>
              <w:bottom w:type="dxa" w:w="50"/>
              <w:right w:type="dxa" w:w="100"/>
            </w:tcMar>
          </w:tcPr>
          <w:p>
            <w:r>
              <w:rPr>
                <w:rFonts w:ascii="Calibri" w:cs="Calibri" w:eastAsia="Calibri" w:hAnsi="Calibri"/>
                <w:color w:val="222222"/>
                <w:sz w:val="18"/>
                <w:szCs w:val="18"/>
              </w:rPr>
              <w:t xml:space="preserve">Total Closed Deals</w:t>
            </w:r>
          </w:p>
        </w:tc>
        <w:tc>
          <w:tcPr>
            <w:tcW w:type="dxa" w:w="2250"/>
            <w:tcBorders>
              <w:top w:val="single" w:color="CCCCCC" w:sz="4"/>
              <w:left w:val="single" w:color="CCCCCC" w:sz="4"/>
              <w:bottom w:val="single" w:color="CCCCCC" w:sz="4"/>
              <w:right w:val="single" w:color="CCCCCC" w:sz="4"/>
            </w:tcBorders>
            <w:shd w:fill="FFFFFF" w:color="auto" w:val="clear"/>
            <w:tcMar>
              <w:top w:type="dxa" w:w="50"/>
              <w:left w:type="dxa" w:w="100"/>
              <w:bottom w:type="dxa" w:w="50"/>
              <w:right w:type="dxa" w:w="100"/>
            </w:tcMar>
          </w:tcPr>
          <w:p>
            <w:r>
              <w:rPr>
                <w:rFonts w:ascii="Calibri" w:cs="Calibri" w:eastAsia="Calibri" w:hAnsi="Calibri"/>
                <w:color w:val="222222"/>
                <w:sz w:val="18"/>
                <w:szCs w:val="18"/>
              </w:rPr>
              <w:t xml:space="preserve">Conversion Rate</w:t>
            </w:r>
          </w:p>
        </w:tc>
        <w:tc>
          <w:tcPr>
            <w:tcW w:type="dxa" w:w="2250"/>
            <w:tcBorders>
              <w:top w:val="single" w:color="CCCCCC" w:sz="4"/>
              <w:left w:val="single" w:color="CCCCCC" w:sz="4"/>
              <w:bottom w:val="single" w:color="CCCCCC" w:sz="4"/>
              <w:right w:val="single" w:color="CCCCCC" w:sz="4"/>
            </w:tcBorders>
            <w:shd w:fill="FFFFFF" w:color="auto" w:val="clear"/>
            <w:tcMar>
              <w:top w:type="dxa" w:w="50"/>
              <w:left w:type="dxa" w:w="100"/>
              <w:bottom w:type="dxa" w:w="50"/>
              <w:right w:type="dxa" w:w="100"/>
            </w:tcMar>
          </w:tcPr>
          <w:p>
            <w:r>
              <w:rPr>
                <w:rFonts w:ascii="Calibri" w:cs="Calibri" w:eastAsia="Calibri" w:hAnsi="Calibri"/>
                <w:color w:val="222222"/>
                <w:sz w:val="18"/>
                <w:szCs w:val="18"/>
              </w:rPr>
              <w:t xml:space="preserve">Avg Days to Close</w:t>
            </w:r>
          </w:p>
        </w:tc>
      </w:tr>
    </w:tbl>
    <w:p>
      <w:pPr>
        <w:spacing w:after="140"/>
      </w:pPr>
      <w:r>
        <w:t xml:space="preserve"/>
      </w:r>
    </w:p>
    <w:p>
      <w:pPr>
        <w:pStyle w:val="ListParagraph"/>
        <w:numPr>
          <w:ilvl w:val="0"/>
          <w:numId w:val="1"/>
        </w:numPr>
        <w:spacing w:after="70"/>
      </w:pPr>
      <w:r>
        <w:rPr>
          <w:rFonts w:ascii="Calibri" w:cs="Calibri" w:eastAsia="Calibri" w:hAnsi="Calibri"/>
          <w:color w:val="222222"/>
          <w:sz w:val="20"/>
          <w:szCs w:val="20"/>
        </w:rPr>
        <w:t xml:space="preserve">KPI cards, channel conversion chart, SDR time-to-close chart, and landing page table are all built on live DAX measures and update together when a viewer filters by date range or channel — confirmed by testing the slicers directly against every visual.</w:t>
      </w:r>
    </w:p>
    <w:p>
      <w:pPr>
        <w:pStyle w:val="ListParagraph"/>
        <w:numPr>
          <w:ilvl w:val="0"/>
          <w:numId w:val="1"/>
        </w:numPr>
        <w:spacing w:after="70"/>
      </w:pPr>
      <w:r>
        <w:rPr>
          <w:rFonts w:ascii="Calibri" w:cs="Calibri" w:eastAsia="Calibri" w:hAnsi="Calibri"/>
          <w:color w:val="222222"/>
          <w:sz w:val="20"/>
          <w:szCs w:val="20"/>
        </w:rPr>
        <w:t xml:space="preserve">The SDR time-to-close chart is filtered to reps with 20+ closed deals, matching the same noise-reduction threshold applied in the SQL analysis (Section 4.5), so the dashboard and the underlying findings stay consistent.</w:t>
      </w:r>
    </w:p>
    <w:p>
      <w:pPr>
        <w:pStyle w:val="ListParagraph"/>
        <w:numPr>
          <w:ilvl w:val="0"/>
          <w:numId w:val="1"/>
        </w:numPr>
        <w:spacing w:after="70"/>
      </w:pPr>
      <w:r>
        <w:rPr>
          <w:rFonts w:ascii="Calibri" w:cs="Calibri" w:eastAsia="Calibri" w:hAnsi="Calibri"/>
          <w:color w:val="222222"/>
          <w:sz w:val="20"/>
          <w:szCs w:val="20"/>
        </w:rPr>
        <w:t xml:space="preserve">The landing page table is sorted by conversion rate descending and confirms the Section 4.2 finding: the top-converting pages are not simply the highest-traffic ones.</w:t>
      </w:r>
    </w:p>
    <w:p>
      <w:pPr>
        <w:pBdr>
          <w:bottom w:val="single" w:color="7030A0" w:sz="8" w:space="4"/>
        </w:pBdr>
        <w:spacing w:after="120" w:before="320"/>
      </w:pPr>
      <w:r>
        <w:rPr>
          <w:rFonts w:ascii="Calibri" w:cs="Calibri" w:eastAsia="Calibri" w:hAnsi="Calibri"/>
          <w:b/>
          <w:bCs/>
          <w:color w:val="7030A0"/>
          <w:sz w:val="26"/>
          <w:szCs w:val="26"/>
        </w:rPr>
        <w:t xml:space="preserve">6. Summary</w:t>
      </w:r>
    </w:p>
    <w:p>
      <w:pPr>
        <w:spacing w:after="140"/>
      </w:pPr>
      <w:r>
        <w:rPr>
          <w:rFonts w:ascii="Calibri" w:cs="Calibri" w:eastAsia="Calibri" w:hAnsi="Calibri"/>
          <w:color w:val="222222"/>
          <w:sz w:val="20"/>
          <w:szCs w:val="20"/>
        </w:rPr>
        <w:t xml:space="preserve">Taken together, these findings point to one underlying story: the marketing funnel's weak spots are not evenly distributed, and treating "low conversion" as a single problem would lead to the wrong fix. Social's underperformance is a lead-quality issue, not a sales-handling issue — proven directly rather than assumed. Landing page performance is a genuine, independent lever separate from channel or traffic volume, meaning design and targeting improvements can move the needle even within an already-strong channel. And on the sales side, deal volume and deal speed measure different things — the reps closing the most deals are not necessarily the reps closing them fastest, and lead behaviour profile offers a concrete, low-cost way to route leads more efficiently.</w:t>
      </w:r>
    </w:p>
    <w:p>
      <w:pPr>
        <w:spacing w:after="140"/>
      </w:pPr>
      <w:r>
        <w:rPr>
          <w:rFonts w:ascii="Calibri" w:cs="Calibri" w:eastAsia="Calibri" w:hAnsi="Calibri"/>
          <w:color w:val="222222"/>
          <w:sz w:val="20"/>
          <w:szCs w:val="20"/>
        </w:rPr>
        <w:t xml:space="preserve">The highest-leverage next step isn't a single fix — it's sequencing three separate levers correctly: reallocate marketing spend away from social only after addressing lead quality at the source, replicate what the top landing pages do differently, and route Eagle-profile leads to fast-track handling while giving Wolf-profile leads more structured follow-up time.</w:t>
      </w:r>
    </w:p>
    <w:p>
      <w:pPr>
        <w:spacing w:after="60" w:before="100"/>
      </w:pPr>
      <w:r>
        <w:rPr>
          <w:rFonts w:ascii="Calibri" w:cs="Calibri" w:eastAsia="Calibri" w:hAnsi="Calibri"/>
          <w:b/>
          <w:bCs/>
          <w:color w:val="222222"/>
          <w:sz w:val="20"/>
          <w:szCs w:val="20"/>
        </w:rPr>
        <w:t xml:space="preserve">Project repository: </w:t>
      </w:r>
      <w:r>
        <w:rPr>
          <w:rFonts w:ascii="Calibri" w:cs="Calibri" w:eastAsia="Calibri" w:hAnsi="Calibri"/>
          <w:i/>
          <w:iCs/>
          <w:color w:val="555555"/>
          <w:sz w:val="20"/>
          <w:szCs w:val="20"/>
        </w:rPr>
        <w:t xml:space="preserve">[ insert GitHub repository link ]</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2026-08-02T09:28:51.820Z</dcterms:created>
  <dcterms:modified xsi:type="dcterms:W3CDTF">2026-08-02T09:28:51.860Z</dcterms:modified>
</cp:coreProperties>
</file>

<file path=docProps/custom.xml><?xml version="1.0" encoding="utf-8"?>
<Properties xmlns="http://schemas.openxmlformats.org/officeDocument/2006/custom-properties" xmlns:vt="http://schemas.openxmlformats.org/officeDocument/2006/docPropsVTypes"/>
</file>