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Uganda: comparing</w:t>
        <w:br/>
        <w:t>two datasets</w:t>
      </w:r>
    </w:p>
    <w:p>
      <w:r>
        <w:t>Five proposed Qlik comparisons | 2021–2025</w:t>
      </w:r>
    </w:p>
    <w:p>
      <w:r>
        <w:t>This demonstration compares Climate TRACE with a synthetic dataset at national, sector, district and facility level. It shows where their totals, coverage and annual trends differ, and what questions those differences raise.</w:t>
      </w:r>
    </w:p>
    <w:p>
      <w:pPr>
        <w:pStyle w:val="Heading2"/>
      </w:pPr>
      <w:r>
        <w:t>What the numbers represent</w:t>
      </w:r>
    </w:p>
    <w:p>
      <w:r>
        <w:t>Climate TRACE is the reference dataset. Its 2021 values retain the supplied records; its 2022–2025 values were created for this demonstration. All values in the synthetic dataset are illustrative calculations, not official government measurements or targets.</w:t>
      </w:r>
    </w:p>
    <w:p>
      <w:r>
        <w:t>The current files cover the same sources. Their values differ because the synthetic national inputs were created and distributed using the reference shares. The possible explanations in this briefing describe what to investigate in a real-data comparison; they are not findings about these facilities.</w:t>
      </w:r>
    </w:p>
    <w:p>
      <w:pPr>
        <w:pStyle w:val="Heading2"/>
      </w:pPr>
      <w:r>
        <w:t>Reading the comparison</w:t>
      </w:r>
    </w:p>
    <w:p>
      <w:r>
        <w:t>Climate TRACE is the 100% reference. A synthetic value of 125% means 25% higher; 90% means 10% lower. For example, 125,000 tonnes compared with 100,000 tonnes is 125%. This explains the display; it is not the current Uganda result.</w:t>
      </w:r>
    </w:p>
    <w:p>
      <w:r>
        <w:t>Amounts use CO₂-equivalent, a common unit for comparing gases that warm the climate. Each table states its scale. A higher total does not necessarily mean more facilities: the same facilities may simply have higher estimated values.</w:t>
      </w:r>
    </w:p>
    <w:p>
      <w:pPr>
        <w:pStyle w:val="Heading2"/>
      </w:pPr>
      <w:r>
        <w:t>The five comparisons</w:t>
      </w:r>
    </w:p>
    <w:p>
      <w:pPr>
        <w:pStyle w:val="ListBullet"/>
      </w:pPr>
      <w:r>
        <w:t>Uganda total: does the difference change over time?</w:t>
      </w:r>
    </w:p>
    <w:p>
      <w:pPr>
        <w:pStyle w:val="ListBullet"/>
      </w:pPr>
      <w:r>
        <w:t>Sectors: which values are higher or lower?</w:t>
      </w:r>
    </w:p>
    <w:p>
      <w:pPr>
        <w:pStyle w:val="ListBullet"/>
      </w:pPr>
      <w:r>
        <w:t>Districts: does the same activity compare differently by place?</w:t>
      </w:r>
    </w:p>
    <w:p>
      <w:pPr>
        <w:pStyle w:val="ListBullet"/>
      </w:pPr>
      <w:r>
        <w:t>Facility coverage: which locations are shared or present in only one file?</w:t>
      </w:r>
    </w:p>
    <w:p>
      <w:pPr>
        <w:pStyle w:val="ListBullet"/>
      </w:pPr>
      <w:r>
        <w:t>Individual facilities: how do matched values compare each year?</w:t>
      </w:r>
    </w:p>
    <w:p>
      <w:pPr>
        <w:pStyle w:val="Heading2"/>
      </w:pPr>
      <w:r>
        <w:t>What the meeting can agree</w:t>
      </w:r>
    </w:p>
    <w:p>
      <w:r>
        <w:t>Confirm the comparison views and which differences the demonstration should show. The “12 versus 10 facilities” example is a proposed coverage scenario; the current files have matching coverage. These comparisons do not establish gaps against Uganda’s climate commitments.</w:t>
      </w:r>
    </w:p>
    <w:p>
      <w:r>
        <w:br w:type="page"/>
      </w:r>
    </w:p>
    <w:p>
      <w:pPr>
        <w:pStyle w:val="Heading1"/>
      </w:pPr>
      <w:r>
        <w:t>1. Uganda total</w:t>
      </w:r>
    </w:p>
    <w:p>
      <w:r>
        <w:t>Is the synthetic total higher or lower, and does the difference change over time?</w:t>
      </w:r>
    </w:p>
    <w:p>
      <w:r>
        <w:rPr>
          <w:b/>
        </w:rPr>
        <w:t xml:space="preserve">Selection: </w:t>
      </w:r>
      <w:r>
        <w:t>Uganda • All sectors • 2021–2025</w:t>
      </w:r>
    </w:p>
    <w:p>
      <w:r>
        <w:rPr>
          <w:b/>
        </w:rPr>
        <w:t xml:space="preserve">Proposed view: </w:t>
      </w:r>
      <w:r>
        <w:t>Two annual lines, the selected-year totals, and the synthetic value as a percentage of Climate TRACE.</w:t>
      </w:r>
    </w:p>
    <w:p>
      <w:r>
        <w:t>Amounts in million tonnes CO₂-equivalent.</w:t>
      </w:r>
    </w:p>
    <w:tbl>
      <w:tblPr>
        <w:tblW w:type="auto" w:w="0"/>
        <w:tblLayout w:type="fixed"/>
        <w:tblLook w:firstColumn="1" w:firstRow="1" w:lastColumn="0" w:lastRow="0" w:noHBand="0" w:noVBand="1" w:val="04A0"/>
      </w:tblPr>
      <w:tblGrid>
        <w:gridCol w:w="2952"/>
        <w:gridCol w:w="1388"/>
        <w:gridCol w:w="1388"/>
        <w:gridCol w:w="1388"/>
        <w:gridCol w:w="1388"/>
        <w:gridCol w:w="1388"/>
      </w:tblGrid>
      <w:tr>
        <w:trPr>
          <w:tblHeader/>
          <w:cantSplit/>
        </w:trPr>
        <w:tc>
          <w:tcPr>
            <w:tcW w:type="dxa" w:w="2952"/>
            <w:shd w:fill="E9EDF0"/>
          </w:tcPr>
          <w:p>
            <w:pPr>
              <w:spacing w:before="100" w:after="100"/>
            </w:pPr>
            <w:r>
              <w:rPr>
                <w:b/>
                <w:sz w:val="18"/>
              </w:rPr>
              <w:t>Dataset / comparison</w:t>
            </w:r>
          </w:p>
        </w:tc>
        <w:tc>
          <w:tcPr>
            <w:tcW w:type="dxa" w:w="1388"/>
            <w:shd w:fill="E9EDF0"/>
          </w:tcPr>
          <w:p>
            <w:pPr>
              <w:spacing w:before="100" w:after="100"/>
            </w:pPr>
            <w:r>
              <w:rPr>
                <w:b/>
                <w:sz w:val="18"/>
              </w:rPr>
              <w:t>2021</w:t>
            </w:r>
          </w:p>
        </w:tc>
        <w:tc>
          <w:tcPr>
            <w:tcW w:type="dxa" w:w="1388"/>
            <w:shd w:fill="E9EDF0"/>
          </w:tcPr>
          <w:p>
            <w:pPr>
              <w:spacing w:before="100" w:after="100"/>
            </w:pPr>
            <w:r>
              <w:rPr>
                <w:b/>
                <w:sz w:val="18"/>
              </w:rPr>
              <w:t>2022</w:t>
            </w:r>
          </w:p>
        </w:tc>
        <w:tc>
          <w:tcPr>
            <w:tcW w:type="dxa" w:w="1388"/>
            <w:shd w:fill="E9EDF0"/>
          </w:tcPr>
          <w:p>
            <w:pPr>
              <w:spacing w:before="100" w:after="100"/>
            </w:pPr>
            <w:r>
              <w:rPr>
                <w:b/>
                <w:sz w:val="18"/>
              </w:rPr>
              <w:t>2023</w:t>
            </w:r>
          </w:p>
        </w:tc>
        <w:tc>
          <w:tcPr>
            <w:tcW w:type="dxa" w:w="1388"/>
            <w:shd w:fill="E9EDF0"/>
          </w:tcPr>
          <w:p>
            <w:pPr>
              <w:spacing w:before="100" w:after="100"/>
            </w:pPr>
            <w:r>
              <w:rPr>
                <w:b/>
                <w:sz w:val="18"/>
              </w:rPr>
              <w:t>2024</w:t>
            </w:r>
          </w:p>
        </w:tc>
        <w:tc>
          <w:tcPr>
            <w:tcW w:type="dxa" w:w="1388"/>
            <w:shd w:fill="E9EDF0"/>
          </w:tcPr>
          <w:p>
            <w:pPr>
              <w:spacing w:before="100" w:after="100"/>
            </w:pPr>
            <w:r>
              <w:rPr>
                <w:b/>
                <w:sz w:val="18"/>
              </w:rPr>
              <w:t>2025</w:t>
            </w:r>
          </w:p>
        </w:tc>
      </w:tr>
      <w:tr>
        <w:trPr>
          <w:cantSplit/>
        </w:trPr>
        <w:tc>
          <w:tcPr>
            <w:tcW w:type="dxa" w:w="2952"/>
          </w:tcPr>
          <w:p>
            <w:pPr>
              <w:spacing w:before="100" w:after="100"/>
            </w:pPr>
            <w:r>
              <w:rPr>
                <w:b w:val="0"/>
                <w:sz w:val="18"/>
              </w:rPr>
              <w:t>Climate TRACE</w:t>
            </w:r>
          </w:p>
        </w:tc>
        <w:tc>
          <w:tcPr>
            <w:tcW w:type="dxa" w:w="1388"/>
          </w:tcPr>
          <w:p>
            <w:pPr>
              <w:spacing w:before="100" w:after="100"/>
            </w:pPr>
            <w:r>
              <w:rPr>
                <w:b w:val="0"/>
                <w:sz w:val="18"/>
              </w:rPr>
              <w:t>15.09</w:t>
            </w:r>
          </w:p>
        </w:tc>
        <w:tc>
          <w:tcPr>
            <w:tcW w:type="dxa" w:w="1388"/>
          </w:tcPr>
          <w:p>
            <w:pPr>
              <w:spacing w:before="100" w:after="100"/>
            </w:pPr>
            <w:r>
              <w:rPr>
                <w:b w:val="0"/>
                <w:sz w:val="18"/>
              </w:rPr>
              <w:t>15.93</w:t>
            </w:r>
          </w:p>
        </w:tc>
        <w:tc>
          <w:tcPr>
            <w:tcW w:type="dxa" w:w="1388"/>
          </w:tcPr>
          <w:p>
            <w:pPr>
              <w:spacing w:before="100" w:after="100"/>
            </w:pPr>
            <w:r>
              <w:rPr>
                <w:b w:val="0"/>
                <w:sz w:val="18"/>
              </w:rPr>
              <w:t>16.85</w:t>
            </w:r>
          </w:p>
        </w:tc>
        <w:tc>
          <w:tcPr>
            <w:tcW w:type="dxa" w:w="1388"/>
          </w:tcPr>
          <w:p>
            <w:pPr>
              <w:spacing w:before="100" w:after="100"/>
            </w:pPr>
            <w:r>
              <w:rPr>
                <w:b w:val="0"/>
                <w:sz w:val="18"/>
              </w:rPr>
              <w:t>17.23</w:t>
            </w:r>
          </w:p>
        </w:tc>
        <w:tc>
          <w:tcPr>
            <w:tcW w:type="dxa" w:w="1388"/>
          </w:tcPr>
          <w:p>
            <w:pPr>
              <w:spacing w:before="100" w:after="100"/>
            </w:pPr>
            <w:r>
              <w:rPr>
                <w:b w:val="0"/>
                <w:sz w:val="18"/>
              </w:rPr>
              <w:t>17.58</w:t>
            </w:r>
          </w:p>
        </w:tc>
      </w:tr>
      <w:tr>
        <w:trPr>
          <w:cantSplit/>
        </w:trPr>
        <w:tc>
          <w:tcPr>
            <w:tcW w:type="dxa" w:w="2952"/>
          </w:tcPr>
          <w:p>
            <w:pPr>
              <w:spacing w:before="100" w:after="100"/>
            </w:pPr>
            <w:r>
              <w:rPr>
                <w:b w:val="0"/>
                <w:sz w:val="18"/>
              </w:rPr>
              <w:t>Synthetic</w:t>
            </w:r>
          </w:p>
        </w:tc>
        <w:tc>
          <w:tcPr>
            <w:tcW w:type="dxa" w:w="1388"/>
          </w:tcPr>
          <w:p>
            <w:pPr>
              <w:spacing w:before="100" w:after="100"/>
            </w:pPr>
            <w:r>
              <w:rPr>
                <w:b w:val="0"/>
                <w:sz w:val="18"/>
              </w:rPr>
              <w:t>18.43</w:t>
            </w:r>
          </w:p>
        </w:tc>
        <w:tc>
          <w:tcPr>
            <w:tcW w:type="dxa" w:w="1388"/>
          </w:tcPr>
          <w:p>
            <w:pPr>
              <w:spacing w:before="100" w:after="100"/>
            </w:pPr>
            <w:r>
              <w:rPr>
                <w:b w:val="0"/>
                <w:sz w:val="18"/>
              </w:rPr>
              <w:t>19.30</w:t>
            </w:r>
          </w:p>
        </w:tc>
        <w:tc>
          <w:tcPr>
            <w:tcW w:type="dxa" w:w="1388"/>
          </w:tcPr>
          <w:p>
            <w:pPr>
              <w:spacing w:before="100" w:after="100"/>
            </w:pPr>
            <w:r>
              <w:rPr>
                <w:b w:val="0"/>
                <w:sz w:val="18"/>
              </w:rPr>
              <w:t>20.28</w:t>
            </w:r>
          </w:p>
        </w:tc>
        <w:tc>
          <w:tcPr>
            <w:tcW w:type="dxa" w:w="1388"/>
          </w:tcPr>
          <w:p>
            <w:pPr>
              <w:spacing w:before="100" w:after="100"/>
            </w:pPr>
            <w:r>
              <w:rPr>
                <w:b w:val="0"/>
                <w:sz w:val="18"/>
              </w:rPr>
              <w:t>20.75</w:t>
            </w:r>
          </w:p>
        </w:tc>
        <w:tc>
          <w:tcPr>
            <w:tcW w:type="dxa" w:w="1388"/>
          </w:tcPr>
          <w:p>
            <w:pPr>
              <w:spacing w:before="100" w:after="100"/>
            </w:pPr>
            <w:r>
              <w:rPr>
                <w:b w:val="0"/>
                <w:sz w:val="18"/>
              </w:rPr>
              <w:t>21.08</w:t>
            </w:r>
          </w:p>
        </w:tc>
      </w:tr>
      <w:tr>
        <w:trPr>
          <w:cantSplit/>
        </w:trPr>
        <w:tc>
          <w:tcPr>
            <w:tcW w:type="dxa" w:w="2952"/>
          </w:tcPr>
          <w:p>
            <w:pPr>
              <w:spacing w:before="100" w:after="100"/>
            </w:pPr>
            <w:r>
              <w:rPr>
                <w:b w:val="0"/>
                <w:sz w:val="18"/>
              </w:rPr>
              <w:t>Synthetic (% of TRACE)</w:t>
            </w:r>
          </w:p>
        </w:tc>
        <w:tc>
          <w:tcPr>
            <w:tcW w:type="dxa" w:w="1388"/>
          </w:tcPr>
          <w:p>
            <w:pPr>
              <w:spacing w:before="100" w:after="100"/>
            </w:pPr>
            <w:r>
              <w:rPr>
                <w:b w:val="0"/>
                <w:sz w:val="18"/>
              </w:rPr>
              <w:t>122.2%</w:t>
            </w:r>
          </w:p>
        </w:tc>
        <w:tc>
          <w:tcPr>
            <w:tcW w:type="dxa" w:w="1388"/>
          </w:tcPr>
          <w:p>
            <w:pPr>
              <w:spacing w:before="100" w:after="100"/>
            </w:pPr>
            <w:r>
              <w:rPr>
                <w:b w:val="0"/>
                <w:sz w:val="18"/>
              </w:rPr>
              <w:t>121.1%</w:t>
            </w:r>
          </w:p>
        </w:tc>
        <w:tc>
          <w:tcPr>
            <w:tcW w:type="dxa" w:w="1388"/>
          </w:tcPr>
          <w:p>
            <w:pPr>
              <w:spacing w:before="100" w:after="100"/>
            </w:pPr>
            <w:r>
              <w:rPr>
                <w:b w:val="0"/>
                <w:sz w:val="18"/>
              </w:rPr>
              <w:t>120.3%</w:t>
            </w:r>
          </w:p>
        </w:tc>
        <w:tc>
          <w:tcPr>
            <w:tcW w:type="dxa" w:w="1388"/>
          </w:tcPr>
          <w:p>
            <w:pPr>
              <w:spacing w:before="100" w:after="100"/>
            </w:pPr>
            <w:r>
              <w:rPr>
                <w:b w:val="0"/>
                <w:sz w:val="18"/>
              </w:rPr>
              <w:t>120.4%</w:t>
            </w:r>
          </w:p>
        </w:tc>
        <w:tc>
          <w:tcPr>
            <w:tcW w:type="dxa" w:w="1388"/>
          </w:tcPr>
          <w:p>
            <w:pPr>
              <w:spacing w:before="100" w:after="100"/>
            </w:pPr>
            <w:r>
              <w:rPr>
                <w:b w:val="0"/>
                <w:sz w:val="18"/>
              </w:rPr>
              <w:t>119.9%</w:t>
            </w:r>
          </w:p>
        </w:tc>
      </w:tr>
    </w:tbl>
    <w:p>
      <w:r>
        <w:rPr>
          <w:b/>
        </w:rPr>
        <w:t xml:space="preserve">Finding: </w:t>
      </w:r>
      <w:r>
        <w:t>The synthetic total is 22.2% higher in 2021 and 19.9% higher in 2025. Both totals rise, while the percentage difference narrows.</w:t>
      </w:r>
    </w:p>
    <w:p>
      <w:pPr>
        <w:pStyle w:val="Heading2"/>
      </w:pPr>
      <w:r>
        <w:t>Two possible explanations</w:t>
      </w:r>
    </w:p>
    <w:p>
      <w:pPr>
        <w:pStyle w:val="ListBullet"/>
      </w:pPr>
      <w:r>
        <w:t>Broader coverage: one dataset may include activities or locations missing from the other.</w:t>
      </w:r>
    </w:p>
    <w:p>
      <w:pPr>
        <w:pStyle w:val="ListBullet"/>
      </w:pPr>
      <w:r>
        <w:t>Different estimates: the same activity may be assigned different fuel use or emissions per unit of fuel.</w:t>
      </w:r>
    </w:p>
    <w:p>
      <w:r>
        <w:rPr>
          <w:b/>
        </w:rPr>
        <w:t xml:space="preserve">Check: </w:t>
      </w:r>
      <w:r>
        <w:t>Compare source lists first, then calculation assumptions for matching records. In the current files, the coverage matches; the difference comes from the created values.</w:t>
      </w:r>
    </w:p>
    <w:p>
      <w:r>
        <w:rPr>
          <w:b/>
        </w:rPr>
        <w:t xml:space="preserve">Reading note: </w:t>
      </w:r>
      <w:r>
        <w:t>The national total subtracts negative values representing gases taken out of the air. A comparison of gases released alone would give a different result. These are sums of the supplied source files, not certified national inventories.</w:t>
      </w:r>
    </w:p>
    <w:p>
      <w:r>
        <w:rPr>
          <w:b/>
        </w:rPr>
        <w:t xml:space="preserve">Meeting point: </w:t>
      </w:r>
      <w:r>
        <w:t>The synthetic total remains higher throughout the period, but the relative difference decreases.</w:t>
      </w:r>
    </w:p>
    <w:p>
      <w:r>
        <w:br w:type="page"/>
      </w:r>
    </w:p>
    <w:p>
      <w:pPr>
        <w:pStyle w:val="Heading1"/>
      </w:pPr>
      <w:r>
        <w:t>2. Sector comparison</w:t>
      </w:r>
    </w:p>
    <w:p>
      <w:r>
        <w:t>Are synthetic values higher in every sector, or does the direction vary?</w:t>
      </w:r>
    </w:p>
    <w:p>
      <w:r>
        <w:rPr>
          <w:b/>
        </w:rPr>
        <w:t xml:space="preserve">Selection: </w:t>
      </w:r>
      <w:r>
        <w:t>Uganda • Compare sectors • 2021–2025</w:t>
      </w:r>
    </w:p>
    <w:p>
      <w:r>
        <w:rPr>
          <w:b/>
        </w:rPr>
        <w:t xml:space="preserve">Proposed view: </w:t>
      </w:r>
      <w:r>
        <w:t>Annual percentage comparisons against the 100% Climate TRACE reference, with an option to view differences in tonnes.</w:t>
      </w:r>
    </w:p>
    <w:p>
      <w:r>
        <w:t>Synthetic values as a percentage of Climate TRACE. Above 100% is higher; below 100% is lower.</w:t>
      </w:r>
    </w:p>
    <w:tbl>
      <w:tblPr>
        <w:tblW w:type="auto" w:w="0"/>
        <w:tblLayout w:type="fixed"/>
        <w:tblLook w:firstColumn="1" w:firstRow="1" w:lastColumn="0" w:lastRow="0" w:noHBand="0" w:noVBand="1" w:val="04A0"/>
      </w:tblPr>
      <w:tblGrid>
        <w:gridCol w:w="2952"/>
        <w:gridCol w:w="1388"/>
        <w:gridCol w:w="1388"/>
        <w:gridCol w:w="1388"/>
        <w:gridCol w:w="1388"/>
        <w:gridCol w:w="1388"/>
      </w:tblGrid>
      <w:tr>
        <w:trPr>
          <w:tblHeader/>
          <w:cantSplit/>
        </w:trPr>
        <w:tc>
          <w:tcPr>
            <w:tcW w:type="dxa" w:w="2952"/>
            <w:shd w:fill="E9EDF0"/>
          </w:tcPr>
          <w:p>
            <w:pPr>
              <w:spacing w:before="100" w:after="100"/>
            </w:pPr>
            <w:r>
              <w:rPr>
                <w:b/>
                <w:sz w:val="18"/>
              </w:rPr>
              <w:t>Sector</w:t>
            </w:r>
          </w:p>
        </w:tc>
        <w:tc>
          <w:tcPr>
            <w:tcW w:type="dxa" w:w="1388"/>
            <w:shd w:fill="E9EDF0"/>
          </w:tcPr>
          <w:p>
            <w:pPr>
              <w:spacing w:before="100" w:after="100"/>
            </w:pPr>
            <w:r>
              <w:rPr>
                <w:b/>
                <w:sz w:val="18"/>
              </w:rPr>
              <w:t>2021</w:t>
            </w:r>
          </w:p>
        </w:tc>
        <w:tc>
          <w:tcPr>
            <w:tcW w:type="dxa" w:w="1388"/>
            <w:shd w:fill="E9EDF0"/>
          </w:tcPr>
          <w:p>
            <w:pPr>
              <w:spacing w:before="100" w:after="100"/>
            </w:pPr>
            <w:r>
              <w:rPr>
                <w:b/>
                <w:sz w:val="18"/>
              </w:rPr>
              <w:t>2022</w:t>
            </w:r>
          </w:p>
        </w:tc>
        <w:tc>
          <w:tcPr>
            <w:tcW w:type="dxa" w:w="1388"/>
            <w:shd w:fill="E9EDF0"/>
          </w:tcPr>
          <w:p>
            <w:pPr>
              <w:spacing w:before="100" w:after="100"/>
            </w:pPr>
            <w:r>
              <w:rPr>
                <w:b/>
                <w:sz w:val="18"/>
              </w:rPr>
              <w:t>2023</w:t>
            </w:r>
          </w:p>
        </w:tc>
        <w:tc>
          <w:tcPr>
            <w:tcW w:type="dxa" w:w="1388"/>
            <w:shd w:fill="E9EDF0"/>
          </w:tcPr>
          <w:p>
            <w:pPr>
              <w:spacing w:before="100" w:after="100"/>
            </w:pPr>
            <w:r>
              <w:rPr>
                <w:b/>
                <w:sz w:val="18"/>
              </w:rPr>
              <w:t>2024</w:t>
            </w:r>
          </w:p>
        </w:tc>
        <w:tc>
          <w:tcPr>
            <w:tcW w:type="dxa" w:w="1388"/>
            <w:shd w:fill="E9EDF0"/>
          </w:tcPr>
          <w:p>
            <w:pPr>
              <w:spacing w:before="100" w:after="100"/>
            </w:pPr>
            <w:r>
              <w:rPr>
                <w:b/>
                <w:sz w:val="18"/>
              </w:rPr>
              <w:t>2025</w:t>
            </w:r>
          </w:p>
        </w:tc>
      </w:tr>
      <w:tr>
        <w:trPr>
          <w:cantSplit/>
        </w:trPr>
        <w:tc>
          <w:tcPr>
            <w:tcW w:type="dxa" w:w="2952"/>
          </w:tcPr>
          <w:p>
            <w:pPr>
              <w:spacing w:before="100" w:after="100"/>
            </w:pPr>
            <w:r>
              <w:rPr>
                <w:b w:val="0"/>
                <w:sz w:val="18"/>
              </w:rPr>
              <w:t>Agriculture</w:t>
            </w:r>
          </w:p>
        </w:tc>
        <w:tc>
          <w:tcPr>
            <w:tcW w:type="dxa" w:w="1388"/>
          </w:tcPr>
          <w:p>
            <w:pPr>
              <w:spacing w:before="100" w:after="100"/>
            </w:pPr>
            <w:r>
              <w:rPr>
                <w:b w:val="0"/>
                <w:sz w:val="18"/>
              </w:rPr>
              <w:t>107.1%</w:t>
            </w:r>
          </w:p>
        </w:tc>
        <w:tc>
          <w:tcPr>
            <w:tcW w:type="dxa" w:w="1388"/>
          </w:tcPr>
          <w:p>
            <w:pPr>
              <w:spacing w:before="100" w:after="100"/>
            </w:pPr>
            <w:r>
              <w:rPr>
                <w:b w:val="0"/>
                <w:sz w:val="18"/>
              </w:rPr>
              <w:t>106.9%</w:t>
            </w:r>
          </w:p>
        </w:tc>
        <w:tc>
          <w:tcPr>
            <w:tcW w:type="dxa" w:w="1388"/>
          </w:tcPr>
          <w:p>
            <w:pPr>
              <w:spacing w:before="100" w:after="100"/>
            </w:pPr>
            <w:r>
              <w:rPr>
                <w:b w:val="0"/>
                <w:sz w:val="18"/>
              </w:rPr>
              <w:t>106.8%</w:t>
            </w:r>
          </w:p>
        </w:tc>
        <w:tc>
          <w:tcPr>
            <w:tcW w:type="dxa" w:w="1388"/>
          </w:tcPr>
          <w:p>
            <w:pPr>
              <w:spacing w:before="100" w:after="100"/>
            </w:pPr>
            <w:r>
              <w:rPr>
                <w:b w:val="0"/>
                <w:sz w:val="18"/>
              </w:rPr>
              <w:t>106.7%</w:t>
            </w:r>
          </w:p>
        </w:tc>
        <w:tc>
          <w:tcPr>
            <w:tcW w:type="dxa" w:w="1388"/>
          </w:tcPr>
          <w:p>
            <w:pPr>
              <w:spacing w:before="100" w:after="100"/>
            </w:pPr>
            <w:r>
              <w:rPr>
                <w:b w:val="0"/>
                <w:sz w:val="18"/>
              </w:rPr>
              <w:t>106.6%</w:t>
            </w:r>
          </w:p>
        </w:tc>
      </w:tr>
      <w:tr>
        <w:trPr>
          <w:cantSplit/>
        </w:trPr>
        <w:tc>
          <w:tcPr>
            <w:tcW w:type="dxa" w:w="2952"/>
          </w:tcPr>
          <w:p>
            <w:pPr>
              <w:spacing w:before="100" w:after="100"/>
            </w:pPr>
            <w:r>
              <w:rPr>
                <w:b w:val="0"/>
                <w:sz w:val="18"/>
              </w:rPr>
              <w:t>Manufacturing</w:t>
            </w:r>
          </w:p>
        </w:tc>
        <w:tc>
          <w:tcPr>
            <w:tcW w:type="dxa" w:w="1388"/>
          </w:tcPr>
          <w:p>
            <w:pPr>
              <w:spacing w:before="100" w:after="100"/>
            </w:pPr>
            <w:r>
              <w:rPr>
                <w:b w:val="0"/>
                <w:sz w:val="18"/>
              </w:rPr>
              <w:t>104.2%</w:t>
            </w:r>
          </w:p>
        </w:tc>
        <w:tc>
          <w:tcPr>
            <w:tcW w:type="dxa" w:w="1388"/>
          </w:tcPr>
          <w:p>
            <w:pPr>
              <w:spacing w:before="100" w:after="100"/>
            </w:pPr>
            <w:r>
              <w:rPr>
                <w:b w:val="0"/>
                <w:sz w:val="18"/>
              </w:rPr>
              <w:t>104.5%</w:t>
            </w:r>
          </w:p>
        </w:tc>
        <w:tc>
          <w:tcPr>
            <w:tcW w:type="dxa" w:w="1388"/>
          </w:tcPr>
          <w:p>
            <w:pPr>
              <w:spacing w:before="100" w:after="100"/>
            </w:pPr>
            <w:r>
              <w:rPr>
                <w:b w:val="0"/>
                <w:sz w:val="18"/>
              </w:rPr>
              <w:t>105.4%</w:t>
            </w:r>
          </w:p>
        </w:tc>
        <w:tc>
          <w:tcPr>
            <w:tcW w:type="dxa" w:w="1388"/>
          </w:tcPr>
          <w:p>
            <w:pPr>
              <w:spacing w:before="100" w:after="100"/>
            </w:pPr>
            <w:r>
              <w:rPr>
                <w:b w:val="0"/>
                <w:sz w:val="18"/>
              </w:rPr>
              <w:t>106.3%</w:t>
            </w:r>
          </w:p>
        </w:tc>
        <w:tc>
          <w:tcPr>
            <w:tcW w:type="dxa" w:w="1388"/>
          </w:tcPr>
          <w:p>
            <w:pPr>
              <w:spacing w:before="100" w:after="100"/>
            </w:pPr>
            <w:r>
              <w:rPr>
                <w:b w:val="0"/>
                <w:sz w:val="18"/>
              </w:rPr>
              <w:t>107.1%</w:t>
            </w:r>
          </w:p>
        </w:tc>
      </w:tr>
      <w:tr>
        <w:trPr>
          <w:cantSplit/>
        </w:trPr>
        <w:tc>
          <w:tcPr>
            <w:tcW w:type="dxa" w:w="2952"/>
          </w:tcPr>
          <w:p>
            <w:pPr>
              <w:spacing w:before="100" w:after="100"/>
            </w:pPr>
            <w:r>
              <w:rPr>
                <w:b w:val="0"/>
                <w:sz w:val="18"/>
              </w:rPr>
              <w:t>Electricity generation</w:t>
            </w:r>
          </w:p>
        </w:tc>
        <w:tc>
          <w:tcPr>
            <w:tcW w:type="dxa" w:w="1388"/>
          </w:tcPr>
          <w:p>
            <w:pPr>
              <w:spacing w:before="100" w:after="100"/>
            </w:pPr>
            <w:r>
              <w:rPr>
                <w:b w:val="0"/>
                <w:sz w:val="18"/>
              </w:rPr>
              <w:t>94.0%</w:t>
            </w:r>
          </w:p>
        </w:tc>
        <w:tc>
          <w:tcPr>
            <w:tcW w:type="dxa" w:w="1388"/>
          </w:tcPr>
          <w:p>
            <w:pPr>
              <w:spacing w:before="100" w:after="100"/>
            </w:pPr>
            <w:r>
              <w:rPr>
                <w:b w:val="0"/>
                <w:sz w:val="18"/>
              </w:rPr>
              <w:t>95.5%</w:t>
            </w:r>
          </w:p>
        </w:tc>
        <w:tc>
          <w:tcPr>
            <w:tcW w:type="dxa" w:w="1388"/>
          </w:tcPr>
          <w:p>
            <w:pPr>
              <w:spacing w:before="100" w:after="100"/>
            </w:pPr>
            <w:r>
              <w:rPr>
                <w:b w:val="0"/>
                <w:sz w:val="18"/>
              </w:rPr>
              <w:t>96.8%</w:t>
            </w:r>
          </w:p>
        </w:tc>
        <w:tc>
          <w:tcPr>
            <w:tcW w:type="dxa" w:w="1388"/>
          </w:tcPr>
          <w:p>
            <w:pPr>
              <w:spacing w:before="100" w:after="100"/>
            </w:pPr>
            <w:r>
              <w:rPr>
                <w:b w:val="0"/>
                <w:sz w:val="18"/>
              </w:rPr>
              <w:t>97.9%</w:t>
            </w:r>
          </w:p>
        </w:tc>
        <w:tc>
          <w:tcPr>
            <w:tcW w:type="dxa" w:w="1388"/>
          </w:tcPr>
          <w:p>
            <w:pPr>
              <w:spacing w:before="100" w:after="100"/>
            </w:pPr>
            <w:r>
              <w:rPr>
                <w:b w:val="0"/>
                <w:sz w:val="18"/>
              </w:rPr>
              <w:t>98.3%</w:t>
            </w:r>
          </w:p>
        </w:tc>
      </w:tr>
      <w:tr>
        <w:trPr>
          <w:cantSplit/>
        </w:trPr>
        <w:tc>
          <w:tcPr>
            <w:tcW w:type="dxa" w:w="2952"/>
          </w:tcPr>
          <w:p>
            <w:pPr>
              <w:spacing w:before="100" w:after="100"/>
            </w:pPr>
            <w:r>
              <w:rPr>
                <w:b w:val="0"/>
                <w:sz w:val="18"/>
              </w:rPr>
              <w:t>Transport</w:t>
            </w:r>
          </w:p>
        </w:tc>
        <w:tc>
          <w:tcPr>
            <w:tcW w:type="dxa" w:w="1388"/>
          </w:tcPr>
          <w:p>
            <w:pPr>
              <w:spacing w:before="100" w:after="100"/>
            </w:pPr>
            <w:r>
              <w:rPr>
                <w:b w:val="0"/>
                <w:sz w:val="18"/>
              </w:rPr>
              <w:t>105.4%</w:t>
            </w:r>
          </w:p>
        </w:tc>
        <w:tc>
          <w:tcPr>
            <w:tcW w:type="dxa" w:w="1388"/>
          </w:tcPr>
          <w:p>
            <w:pPr>
              <w:spacing w:before="100" w:after="100"/>
            </w:pPr>
            <w:r>
              <w:rPr>
                <w:b w:val="0"/>
                <w:sz w:val="18"/>
              </w:rPr>
              <w:t>105.0%</w:t>
            </w:r>
          </w:p>
        </w:tc>
        <w:tc>
          <w:tcPr>
            <w:tcW w:type="dxa" w:w="1388"/>
          </w:tcPr>
          <w:p>
            <w:pPr>
              <w:spacing w:before="100" w:after="100"/>
            </w:pPr>
            <w:r>
              <w:rPr>
                <w:b w:val="0"/>
                <w:sz w:val="18"/>
              </w:rPr>
              <w:t>104.8%</w:t>
            </w:r>
          </w:p>
        </w:tc>
        <w:tc>
          <w:tcPr>
            <w:tcW w:type="dxa" w:w="1388"/>
          </w:tcPr>
          <w:p>
            <w:pPr>
              <w:spacing w:before="100" w:after="100"/>
            </w:pPr>
            <w:r>
              <w:rPr>
                <w:b w:val="0"/>
                <w:sz w:val="18"/>
              </w:rPr>
              <w:t>104.5%</w:t>
            </w:r>
          </w:p>
        </w:tc>
        <w:tc>
          <w:tcPr>
            <w:tcW w:type="dxa" w:w="1388"/>
          </w:tcPr>
          <w:p>
            <w:pPr>
              <w:spacing w:before="100" w:after="100"/>
            </w:pPr>
            <w:r>
              <w:rPr>
                <w:b w:val="0"/>
                <w:sz w:val="18"/>
              </w:rPr>
              <w:t>104.4%</w:t>
            </w:r>
          </w:p>
        </w:tc>
      </w:tr>
      <w:tr>
        <w:trPr>
          <w:cantSplit/>
        </w:trPr>
        <w:tc>
          <w:tcPr>
            <w:tcW w:type="dxa" w:w="2952"/>
          </w:tcPr>
          <w:p>
            <w:pPr>
              <w:spacing w:before="100" w:after="100"/>
            </w:pPr>
            <w:r>
              <w:rPr>
                <w:b w:val="0"/>
                <w:sz w:val="18"/>
              </w:rPr>
              <w:t>Waste</w:t>
            </w:r>
          </w:p>
        </w:tc>
        <w:tc>
          <w:tcPr>
            <w:tcW w:type="dxa" w:w="1388"/>
          </w:tcPr>
          <w:p>
            <w:pPr>
              <w:spacing w:before="100" w:after="100"/>
            </w:pPr>
            <w:r>
              <w:rPr>
                <w:b w:val="0"/>
                <w:sz w:val="18"/>
              </w:rPr>
              <w:t>107.7%</w:t>
            </w:r>
          </w:p>
        </w:tc>
        <w:tc>
          <w:tcPr>
            <w:tcW w:type="dxa" w:w="1388"/>
          </w:tcPr>
          <w:p>
            <w:pPr>
              <w:spacing w:before="100" w:after="100"/>
            </w:pPr>
            <w:r>
              <w:rPr>
                <w:b w:val="0"/>
                <w:sz w:val="18"/>
              </w:rPr>
              <w:t>107.6%</w:t>
            </w:r>
          </w:p>
        </w:tc>
        <w:tc>
          <w:tcPr>
            <w:tcW w:type="dxa" w:w="1388"/>
          </w:tcPr>
          <w:p>
            <w:pPr>
              <w:spacing w:before="100" w:after="100"/>
            </w:pPr>
            <w:r>
              <w:rPr>
                <w:b w:val="0"/>
                <w:sz w:val="18"/>
              </w:rPr>
              <w:t>107.5%</w:t>
            </w:r>
          </w:p>
        </w:tc>
        <w:tc>
          <w:tcPr>
            <w:tcW w:type="dxa" w:w="1388"/>
          </w:tcPr>
          <w:p>
            <w:pPr>
              <w:spacing w:before="100" w:after="100"/>
            </w:pPr>
            <w:r>
              <w:rPr>
                <w:b w:val="0"/>
                <w:sz w:val="18"/>
              </w:rPr>
              <w:t>107.4%</w:t>
            </w:r>
          </w:p>
        </w:tc>
        <w:tc>
          <w:tcPr>
            <w:tcW w:type="dxa" w:w="1388"/>
          </w:tcPr>
          <w:p>
            <w:pPr>
              <w:spacing w:before="100" w:after="100"/>
            </w:pPr>
            <w:r>
              <w:rPr>
                <w:b w:val="0"/>
                <w:sz w:val="18"/>
              </w:rPr>
              <w:t>107.3%</w:t>
            </w:r>
          </w:p>
        </w:tc>
      </w:tr>
    </w:tbl>
    <w:p>
      <w:r>
        <w:rPr>
          <w:b/>
        </w:rPr>
        <w:t xml:space="preserve">Finding: </w:t>
      </w:r>
      <w:r>
        <w:t>In 2025, synthetic waste values are 107.3% of Climate TRACE; electricity-generation values are 98.3%. The difference is not a uniform increase across sectors.</w:t>
      </w:r>
    </w:p>
    <w:p>
      <w:pPr>
        <w:pStyle w:val="Heading2"/>
      </w:pPr>
      <w:r>
        <w:t>Two possible explanations</w:t>
      </w:r>
    </w:p>
    <w:p>
      <w:pPr>
        <w:pStyle w:val="ListBullet"/>
      </w:pPr>
      <w:r>
        <w:t>Different inputs: reporting and estimation approaches may capture activities differently across sectors.</w:t>
      </w:r>
    </w:p>
    <w:p>
      <w:pPr>
        <w:pStyle w:val="ListBullet"/>
      </w:pPr>
      <w:r>
        <w:t>Different grouping: an activity may be placed in one sector in one dataset and another sector in the other.</w:t>
      </w:r>
    </w:p>
    <w:p>
      <w:r>
        <w:rPr>
          <w:b/>
        </w:rPr>
        <w:t xml:space="preserve">Check: </w:t>
      </w:r>
      <w:r>
        <w:t>Align sector definitions, years and source lists. The current files use matching classifications; their sector differences are created comparison scenarios.</w:t>
      </w:r>
    </w:p>
    <w:p>
      <w:r>
        <w:rPr>
          <w:b/>
        </w:rPr>
        <w:t xml:space="preserve">Meeting point: </w:t>
      </w:r>
      <w:r>
        <w:t>The size and direction of the difference depend on the selected activity. Show both percentages and tonnes before deciding what to investigate.</w:t>
      </w:r>
    </w:p>
    <w:p>
      <w:r>
        <w:br w:type="page"/>
      </w:r>
    </w:p>
    <w:p>
      <w:pPr>
        <w:pStyle w:val="Heading1"/>
      </w:pPr>
      <w:r>
        <w:t>3. District comparison</w:t>
      </w:r>
    </w:p>
    <w:p>
      <w:r>
        <w:t>For waste, is the difference the same in Wakiso and Kampala?</w:t>
      </w:r>
    </w:p>
    <w:p>
      <w:r>
        <w:rPr>
          <w:b/>
        </w:rPr>
        <w:t xml:space="preserve">Selection: </w:t>
      </w:r>
      <w:r>
        <w:t>Waste • Wakiso and Kampala • 2021–2025</w:t>
      </w:r>
    </w:p>
    <w:p>
      <w:r>
        <w:rPr>
          <w:b/>
        </w:rPr>
        <w:t xml:space="preserve">Proposed view: </w:t>
      </w:r>
      <w:r>
        <w:t>The two datasets for each district, with annual percentage comparisons and a breakdown by type of waste.</w:t>
      </w:r>
    </w:p>
    <w:p>
      <w:r>
        <w:t>Synthetic waste values as a percentage of Climate TRACE.</w:t>
      </w:r>
    </w:p>
    <w:tbl>
      <w:tblPr>
        <w:tblW w:type="auto" w:w="0"/>
        <w:tblLayout w:type="fixed"/>
        <w:tblLook w:firstColumn="1" w:firstRow="1" w:lastColumn="0" w:lastRow="0" w:noHBand="0" w:noVBand="1" w:val="04A0"/>
      </w:tblPr>
      <w:tblGrid>
        <w:gridCol w:w="2952"/>
        <w:gridCol w:w="1388"/>
        <w:gridCol w:w="1388"/>
        <w:gridCol w:w="1388"/>
        <w:gridCol w:w="1388"/>
        <w:gridCol w:w="1388"/>
      </w:tblGrid>
      <w:tr>
        <w:trPr>
          <w:tblHeader/>
          <w:cantSplit/>
        </w:trPr>
        <w:tc>
          <w:tcPr>
            <w:tcW w:type="dxa" w:w="2952"/>
            <w:shd w:fill="E9EDF0"/>
          </w:tcPr>
          <w:p>
            <w:pPr>
              <w:spacing w:before="100" w:after="100"/>
            </w:pPr>
            <w:r>
              <w:rPr>
                <w:b/>
                <w:sz w:val="18"/>
              </w:rPr>
              <w:t>District</w:t>
            </w:r>
          </w:p>
        </w:tc>
        <w:tc>
          <w:tcPr>
            <w:tcW w:type="dxa" w:w="1388"/>
            <w:shd w:fill="E9EDF0"/>
          </w:tcPr>
          <w:p>
            <w:pPr>
              <w:spacing w:before="100" w:after="100"/>
            </w:pPr>
            <w:r>
              <w:rPr>
                <w:b/>
                <w:sz w:val="18"/>
              </w:rPr>
              <w:t>2021</w:t>
            </w:r>
          </w:p>
        </w:tc>
        <w:tc>
          <w:tcPr>
            <w:tcW w:type="dxa" w:w="1388"/>
            <w:shd w:fill="E9EDF0"/>
          </w:tcPr>
          <w:p>
            <w:pPr>
              <w:spacing w:before="100" w:after="100"/>
            </w:pPr>
            <w:r>
              <w:rPr>
                <w:b/>
                <w:sz w:val="18"/>
              </w:rPr>
              <w:t>2022</w:t>
            </w:r>
          </w:p>
        </w:tc>
        <w:tc>
          <w:tcPr>
            <w:tcW w:type="dxa" w:w="1388"/>
            <w:shd w:fill="E9EDF0"/>
          </w:tcPr>
          <w:p>
            <w:pPr>
              <w:spacing w:before="100" w:after="100"/>
            </w:pPr>
            <w:r>
              <w:rPr>
                <w:b/>
                <w:sz w:val="18"/>
              </w:rPr>
              <w:t>2023</w:t>
            </w:r>
          </w:p>
        </w:tc>
        <w:tc>
          <w:tcPr>
            <w:tcW w:type="dxa" w:w="1388"/>
            <w:shd w:fill="E9EDF0"/>
          </w:tcPr>
          <w:p>
            <w:pPr>
              <w:spacing w:before="100" w:after="100"/>
            </w:pPr>
            <w:r>
              <w:rPr>
                <w:b/>
                <w:sz w:val="18"/>
              </w:rPr>
              <w:t>2024</w:t>
            </w:r>
          </w:p>
        </w:tc>
        <w:tc>
          <w:tcPr>
            <w:tcW w:type="dxa" w:w="1388"/>
            <w:shd w:fill="E9EDF0"/>
          </w:tcPr>
          <w:p>
            <w:pPr>
              <w:spacing w:before="100" w:after="100"/>
            </w:pPr>
            <w:r>
              <w:rPr>
                <w:b/>
                <w:sz w:val="18"/>
              </w:rPr>
              <w:t>2025</w:t>
            </w:r>
          </w:p>
        </w:tc>
      </w:tr>
      <w:tr>
        <w:trPr>
          <w:cantSplit/>
        </w:trPr>
        <w:tc>
          <w:tcPr>
            <w:tcW w:type="dxa" w:w="2952"/>
          </w:tcPr>
          <w:p>
            <w:pPr>
              <w:spacing w:before="100" w:after="100"/>
            </w:pPr>
            <w:r>
              <w:rPr>
                <w:b w:val="0"/>
                <w:sz w:val="18"/>
              </w:rPr>
              <w:t>Wakiso</w:t>
            </w:r>
          </w:p>
        </w:tc>
        <w:tc>
          <w:tcPr>
            <w:tcW w:type="dxa" w:w="1388"/>
          </w:tcPr>
          <w:p>
            <w:pPr>
              <w:spacing w:before="100" w:after="100"/>
            </w:pPr>
            <w:r>
              <w:rPr>
                <w:b w:val="0"/>
                <w:sz w:val="18"/>
              </w:rPr>
              <w:t>109.9%</w:t>
            </w:r>
          </w:p>
        </w:tc>
        <w:tc>
          <w:tcPr>
            <w:tcW w:type="dxa" w:w="1388"/>
          </w:tcPr>
          <w:p>
            <w:pPr>
              <w:spacing w:before="100" w:after="100"/>
            </w:pPr>
            <w:r>
              <w:rPr>
                <w:b w:val="0"/>
                <w:sz w:val="18"/>
              </w:rPr>
              <w:t>109.9%</w:t>
            </w:r>
          </w:p>
        </w:tc>
        <w:tc>
          <w:tcPr>
            <w:tcW w:type="dxa" w:w="1388"/>
          </w:tcPr>
          <w:p>
            <w:pPr>
              <w:spacing w:before="100" w:after="100"/>
            </w:pPr>
            <w:r>
              <w:rPr>
                <w:b w:val="0"/>
                <w:sz w:val="18"/>
              </w:rPr>
              <w:t>109.9%</w:t>
            </w:r>
          </w:p>
        </w:tc>
        <w:tc>
          <w:tcPr>
            <w:tcW w:type="dxa" w:w="1388"/>
          </w:tcPr>
          <w:p>
            <w:pPr>
              <w:spacing w:before="100" w:after="100"/>
            </w:pPr>
            <w:r>
              <w:rPr>
                <w:b w:val="0"/>
                <w:sz w:val="18"/>
              </w:rPr>
              <w:t>109.8%</w:t>
            </w:r>
          </w:p>
        </w:tc>
        <w:tc>
          <w:tcPr>
            <w:tcW w:type="dxa" w:w="1388"/>
          </w:tcPr>
          <w:p>
            <w:pPr>
              <w:spacing w:before="100" w:after="100"/>
            </w:pPr>
            <w:r>
              <w:rPr>
                <w:b w:val="0"/>
                <w:sz w:val="18"/>
              </w:rPr>
              <w:t>109.9%</w:t>
            </w:r>
          </w:p>
        </w:tc>
      </w:tr>
      <w:tr>
        <w:trPr>
          <w:cantSplit/>
        </w:trPr>
        <w:tc>
          <w:tcPr>
            <w:tcW w:type="dxa" w:w="2952"/>
          </w:tcPr>
          <w:p>
            <w:pPr>
              <w:spacing w:before="100" w:after="100"/>
            </w:pPr>
            <w:r>
              <w:rPr>
                <w:b w:val="0"/>
                <w:sz w:val="18"/>
              </w:rPr>
              <w:t>Kampala</w:t>
            </w:r>
          </w:p>
        </w:tc>
        <w:tc>
          <w:tcPr>
            <w:tcW w:type="dxa" w:w="1388"/>
          </w:tcPr>
          <w:p>
            <w:pPr>
              <w:spacing w:before="100" w:after="100"/>
            </w:pPr>
            <w:r>
              <w:rPr>
                <w:b w:val="0"/>
                <w:sz w:val="18"/>
              </w:rPr>
              <w:t>107.3%</w:t>
            </w:r>
          </w:p>
        </w:tc>
        <w:tc>
          <w:tcPr>
            <w:tcW w:type="dxa" w:w="1388"/>
          </w:tcPr>
          <w:p>
            <w:pPr>
              <w:spacing w:before="100" w:after="100"/>
            </w:pPr>
            <w:r>
              <w:rPr>
                <w:b w:val="0"/>
                <w:sz w:val="18"/>
              </w:rPr>
              <w:t>107.2%</w:t>
            </w:r>
          </w:p>
        </w:tc>
        <w:tc>
          <w:tcPr>
            <w:tcW w:type="dxa" w:w="1388"/>
          </w:tcPr>
          <w:p>
            <w:pPr>
              <w:spacing w:before="100" w:after="100"/>
            </w:pPr>
            <w:r>
              <w:rPr>
                <w:b w:val="0"/>
                <w:sz w:val="18"/>
              </w:rPr>
              <w:t>107.1%</w:t>
            </w:r>
          </w:p>
        </w:tc>
        <w:tc>
          <w:tcPr>
            <w:tcW w:type="dxa" w:w="1388"/>
          </w:tcPr>
          <w:p>
            <w:pPr>
              <w:spacing w:before="100" w:after="100"/>
            </w:pPr>
            <w:r>
              <w:rPr>
                <w:b w:val="0"/>
                <w:sz w:val="18"/>
              </w:rPr>
              <w:t>107.0%</w:t>
            </w:r>
          </w:p>
        </w:tc>
        <w:tc>
          <w:tcPr>
            <w:tcW w:type="dxa" w:w="1388"/>
          </w:tcPr>
          <w:p>
            <w:pPr>
              <w:spacing w:before="100" w:after="100"/>
            </w:pPr>
            <w:r>
              <w:rPr>
                <w:b w:val="0"/>
                <w:sz w:val="18"/>
              </w:rPr>
              <w:t>107.0%</w:t>
            </w:r>
          </w:p>
        </w:tc>
      </w:tr>
    </w:tbl>
    <w:p>
      <w:r>
        <w:rPr>
          <w:b/>
        </w:rPr>
        <w:t xml:space="preserve">Finding: </w:t>
      </w:r>
      <w:r>
        <w:t>In 2025, the synthetic figure is 9.9% higher in Wakiso and 7.0% higher in Kampala. Wakiso’s totals are 247.8 thousand tonnes in Climate TRACE and 272.3 thousand tonnes in the synthetic file.</w:t>
      </w:r>
    </w:p>
    <w:p>
      <w:pPr>
        <w:pStyle w:val="Heading2"/>
      </w:pPr>
      <w:r>
        <w:t>Two possible explanations</w:t>
      </w:r>
    </w:p>
    <w:p>
      <w:pPr>
        <w:pStyle w:val="ListBullet"/>
      </w:pPr>
      <w:r>
        <w:t>Different activity mix: districts have different proportions of solid waste and wastewater. Their combined comparison can differ even when each activity uses the same national ratio.</w:t>
      </w:r>
    </w:p>
    <w:p>
      <w:pPr>
        <w:pStyle w:val="ListBullet"/>
      </w:pPr>
      <w:r>
        <w:t>Different location assignment: in a real comparison, boundary choices or missing sites may place different records in each district.</w:t>
      </w:r>
    </w:p>
    <w:p>
      <w:r>
        <w:rPr>
          <w:b/>
        </w:rPr>
        <w:t xml:space="preserve">Check: </w:t>
      </w:r>
      <w:r>
        <w:t>Compare waste types separately, then source locations and district boundaries. The current files share locations and district labels; the activity mix explains this calculated comparison.</w:t>
      </w:r>
    </w:p>
    <w:p>
      <w:r>
        <w:rPr>
          <w:b/>
        </w:rPr>
        <w:t xml:space="preserve">Reading note: </w:t>
      </w:r>
      <w:r>
        <w:t>District figures are calculated allocations, not independent local measurements. Within the same specific activity and year, their percentage ratio repeats the national input ratio.</w:t>
      </w:r>
    </w:p>
    <w:p>
      <w:r>
        <w:rPr>
          <w:b/>
        </w:rPr>
        <w:t xml:space="preserve">Meeting point: </w:t>
      </w:r>
      <w:r>
        <w:t>Break a district total into its activities before treating the difference as a local issue.</w:t>
      </w:r>
    </w:p>
    <w:p>
      <w:r>
        <w:br w:type="page"/>
      </w:r>
    </w:p>
    <w:p>
      <w:pPr>
        <w:pStyle w:val="Heading1"/>
      </w:pPr>
      <w:r>
        <w:t>4. Facility coverage</w:t>
      </w:r>
    </w:p>
    <w:p>
      <w:r>
        <w:t>Do the files contain the same locations, and which are present in only one file?</w:t>
      </w:r>
    </w:p>
    <w:p>
      <w:r>
        <w:rPr>
          <w:b/>
        </w:rPr>
        <w:t xml:space="preserve">Selection: </w:t>
      </w:r>
      <w:r>
        <w:t>Facility comparison • Select year, district or activity</w:t>
      </w:r>
    </w:p>
    <w:p>
      <w:r>
        <w:rPr>
          <w:b/>
        </w:rPr>
        <w:t xml:space="preserve">Proposed view: </w:t>
      </w:r>
      <w:r>
        <w:t>Counts and three lists: shared facilities, Climate TRACE only, and synthetic only.</w:t>
      </w:r>
    </w:p>
    <w:p>
      <w:r>
        <w:t>Current files, 2025. The same coverage is retained in every year.</w:t>
      </w:r>
    </w:p>
    <w:tbl>
      <w:tblPr>
        <w:tblW w:type="auto" w:w="0"/>
        <w:tblLayout w:type="fixed"/>
        <w:tblLook w:firstColumn="1" w:firstRow="1" w:lastColumn="0" w:lastRow="0" w:noHBand="0" w:noVBand="1" w:val="04A0"/>
      </w:tblPr>
      <w:tblGrid>
        <w:gridCol w:w="5040"/>
        <w:gridCol w:w="2426"/>
        <w:gridCol w:w="2426"/>
      </w:tblGrid>
      <w:tr>
        <w:trPr>
          <w:tblHeader/>
          <w:cantSplit/>
        </w:trPr>
        <w:tc>
          <w:tcPr>
            <w:tcW w:type="dxa" w:w="5040"/>
            <w:shd w:fill="E9EDF0"/>
          </w:tcPr>
          <w:p>
            <w:pPr>
              <w:spacing w:before="100" w:after="100"/>
            </w:pPr>
            <w:r>
              <w:rPr>
                <w:b/>
                <w:sz w:val="18"/>
              </w:rPr>
              <w:t>Coverage measure</w:t>
            </w:r>
          </w:p>
        </w:tc>
        <w:tc>
          <w:tcPr>
            <w:tcW w:type="dxa" w:w="2426"/>
            <w:shd w:fill="E9EDF0"/>
          </w:tcPr>
          <w:p>
            <w:pPr>
              <w:spacing w:before="100" w:after="100"/>
            </w:pPr>
            <w:r>
              <w:rPr>
                <w:b/>
                <w:sz w:val="18"/>
              </w:rPr>
              <w:t>Climate TRACE</w:t>
            </w:r>
          </w:p>
        </w:tc>
        <w:tc>
          <w:tcPr>
            <w:tcW w:type="dxa" w:w="2426"/>
            <w:shd w:fill="E9EDF0"/>
          </w:tcPr>
          <w:p>
            <w:pPr>
              <w:spacing w:before="100" w:after="100"/>
            </w:pPr>
            <w:r>
              <w:rPr>
                <w:b/>
                <w:sz w:val="18"/>
              </w:rPr>
              <w:t>Synthetic</w:t>
            </w:r>
          </w:p>
        </w:tc>
      </w:tr>
      <w:tr>
        <w:trPr>
          <w:cantSplit/>
        </w:trPr>
        <w:tc>
          <w:tcPr>
            <w:tcW w:type="dxa" w:w="5040"/>
          </w:tcPr>
          <w:p>
            <w:pPr>
              <w:spacing w:before="100" w:after="100"/>
            </w:pPr>
            <w:r>
              <w:rPr>
                <w:b w:val="0"/>
                <w:sz w:val="18"/>
              </w:rPr>
              <w:t>Named facility locations</w:t>
            </w:r>
          </w:p>
        </w:tc>
        <w:tc>
          <w:tcPr>
            <w:tcW w:type="dxa" w:w="2426"/>
          </w:tcPr>
          <w:p>
            <w:pPr>
              <w:spacing w:before="100" w:after="100"/>
            </w:pPr>
            <w:r>
              <w:rPr>
                <w:b w:val="0"/>
                <w:sz w:val="18"/>
              </w:rPr>
              <w:t>44</w:t>
            </w:r>
          </w:p>
        </w:tc>
        <w:tc>
          <w:tcPr>
            <w:tcW w:type="dxa" w:w="2426"/>
          </w:tcPr>
          <w:p>
            <w:pPr>
              <w:spacing w:before="100" w:after="100"/>
            </w:pPr>
            <w:r>
              <w:rPr>
                <w:b w:val="0"/>
                <w:sz w:val="18"/>
              </w:rPr>
              <w:t>44</w:t>
            </w:r>
          </w:p>
        </w:tc>
      </w:tr>
      <w:tr>
        <w:trPr>
          <w:cantSplit/>
        </w:trPr>
        <w:tc>
          <w:tcPr>
            <w:tcW w:type="dxa" w:w="5040"/>
          </w:tcPr>
          <w:p>
            <w:pPr>
              <w:spacing w:before="100" w:after="100"/>
            </w:pPr>
            <w:r>
              <w:rPr>
                <w:b w:val="0"/>
                <w:sz w:val="18"/>
              </w:rPr>
              <w:t>Point-source IDs</w:t>
            </w:r>
          </w:p>
        </w:tc>
        <w:tc>
          <w:tcPr>
            <w:tcW w:type="dxa" w:w="2426"/>
          </w:tcPr>
          <w:p>
            <w:pPr>
              <w:spacing w:before="100" w:after="100"/>
            </w:pPr>
            <w:r>
              <w:rPr>
                <w:b w:val="0"/>
                <w:sz w:val="18"/>
              </w:rPr>
              <w:t>46</w:t>
            </w:r>
          </w:p>
        </w:tc>
        <w:tc>
          <w:tcPr>
            <w:tcW w:type="dxa" w:w="2426"/>
          </w:tcPr>
          <w:p>
            <w:pPr>
              <w:spacing w:before="100" w:after="100"/>
            </w:pPr>
            <w:r>
              <w:rPr>
                <w:b w:val="0"/>
                <w:sz w:val="18"/>
              </w:rPr>
              <w:t>46</w:t>
            </w:r>
          </w:p>
        </w:tc>
      </w:tr>
      <w:tr>
        <w:trPr>
          <w:cantSplit/>
        </w:trPr>
        <w:tc>
          <w:tcPr>
            <w:tcW w:type="dxa" w:w="5040"/>
          </w:tcPr>
          <w:p>
            <w:pPr>
              <w:spacing w:before="100" w:after="100"/>
            </w:pPr>
            <w:r>
              <w:rPr>
                <w:b w:val="0"/>
                <w:sz w:val="18"/>
              </w:rPr>
              <w:t>Point-source IDs only in this file</w:t>
            </w:r>
          </w:p>
        </w:tc>
        <w:tc>
          <w:tcPr>
            <w:tcW w:type="dxa" w:w="2426"/>
          </w:tcPr>
          <w:p>
            <w:pPr>
              <w:spacing w:before="100" w:after="100"/>
            </w:pPr>
            <w:r>
              <w:rPr>
                <w:b w:val="0"/>
                <w:sz w:val="18"/>
              </w:rPr>
              <w:t>0</w:t>
            </w:r>
          </w:p>
        </w:tc>
        <w:tc>
          <w:tcPr>
            <w:tcW w:type="dxa" w:w="2426"/>
          </w:tcPr>
          <w:p>
            <w:pPr>
              <w:spacing w:before="100" w:after="100"/>
            </w:pPr>
            <w:r>
              <w:rPr>
                <w:b w:val="0"/>
                <w:sz w:val="18"/>
              </w:rPr>
              <w:t>0</w:t>
            </w:r>
          </w:p>
        </w:tc>
      </w:tr>
    </w:tbl>
    <w:p>
      <w:r>
        <w:rPr>
          <w:b/>
        </w:rPr>
        <w:t xml:space="preserve">Finding: </w:t>
      </w:r>
      <w:r>
        <w:t>Both files contain 44 name-and-location combinations and 46 point-source IDs. Some locations have more than one record. Area-wide records are excluded.</w:t>
      </w:r>
    </w:p>
    <w:p>
      <w:pPr>
        <w:pStyle w:val="Heading2"/>
      </w:pPr>
      <w:r>
        <w:t>Proposed example: 10 facilities versus 12</w:t>
      </w:r>
    </w:p>
    <w:p>
      <w:r>
        <w:t>Illustrative scenario; not present in the current files. Eight facilities are shared, two appear only in Climate TRACE and four only in the synthetic dataset. This produces totals of 10 and 12 facilities.</w:t>
      </w:r>
    </w:p>
    <w:p>
      <w:pPr>
        <w:pStyle w:val="Heading2"/>
      </w:pPr>
      <w:r>
        <w:t>Two possible explanations</w:t>
      </w:r>
    </w:p>
    <w:p>
      <w:pPr>
        <w:pStyle w:val="ListBullet"/>
      </w:pPr>
      <w:r>
        <w:t>Additional coverage: one list may include newer, smaller or previously undocumented facilities.</w:t>
      </w:r>
    </w:p>
    <w:p>
      <w:pPr>
        <w:pStyle w:val="ListBullet"/>
      </w:pPr>
      <w:r>
        <w:t>Different counting: one list may count a whole site once, while another counts separate operations or duplicates.</w:t>
      </w:r>
    </w:p>
    <w:p>
      <w:r>
        <w:rPr>
          <w:b/>
        </w:rPr>
        <w:t xml:space="preserve">Check: </w:t>
      </w:r>
      <w:r>
        <w:t>Match identifiers, names and coordinates; review dates and inclusion rules; remove duplicates before counting sites.</w:t>
      </w:r>
    </w:p>
    <w:p>
      <w:r>
        <w:rPr>
          <w:b/>
        </w:rPr>
        <w:t xml:space="preserve">Meeting point: </w:t>
      </w:r>
      <w:r>
        <w:t>A larger count does not by itself establish a more complete dataset. A facility absent from a file is “not included”, not zero emissions. Showing the proposed count difference requires a deliberate change to the synthetic coverage.</w:t>
      </w:r>
    </w:p>
    <w:p>
      <w:r>
        <w:br w:type="page"/>
      </w:r>
    </w:p>
    <w:p>
      <w:pPr>
        <w:pStyle w:val="Heading1"/>
      </w:pPr>
      <w:r>
        <w:t>5. Matched facility values</w:t>
      </w:r>
    </w:p>
    <w:p>
      <w:r>
        <w:t>For the same facility, how different are the values each year?</w:t>
      </w:r>
    </w:p>
    <w:p>
      <w:r>
        <w:rPr>
          <w:b/>
        </w:rPr>
        <w:t xml:space="preserve">Selection: </w:t>
      </w:r>
      <w:r>
        <w:t>Manufacturing • Jinja • Bidco Uganda Limited • 2021–2025</w:t>
      </w:r>
    </w:p>
    <w:p>
      <w:r>
        <w:rPr>
          <w:b/>
        </w:rPr>
        <w:t xml:space="preserve">Proposed view: </w:t>
      </w:r>
      <w:r>
        <w:t>Two annual lines for the matched facility, with amounts and a percentage comparison.</w:t>
      </w:r>
    </w:p>
    <w:p>
      <w:r>
        <w:t>Amounts in thousand tonnes CO₂-equivalent.</w:t>
      </w:r>
    </w:p>
    <w:tbl>
      <w:tblPr>
        <w:tblW w:type="auto" w:w="0"/>
        <w:tblLayout w:type="fixed"/>
        <w:tblLook w:firstColumn="1" w:firstRow="1" w:lastColumn="0" w:lastRow="0" w:noHBand="0" w:noVBand="1" w:val="04A0"/>
      </w:tblPr>
      <w:tblGrid>
        <w:gridCol w:w="2952"/>
        <w:gridCol w:w="1388"/>
        <w:gridCol w:w="1388"/>
        <w:gridCol w:w="1388"/>
        <w:gridCol w:w="1388"/>
        <w:gridCol w:w="1388"/>
      </w:tblGrid>
      <w:tr>
        <w:trPr>
          <w:tblHeader/>
          <w:cantSplit/>
        </w:trPr>
        <w:tc>
          <w:tcPr>
            <w:tcW w:type="dxa" w:w="2952"/>
            <w:shd w:fill="E9EDF0"/>
          </w:tcPr>
          <w:p>
            <w:pPr>
              <w:spacing w:before="100" w:after="100"/>
            </w:pPr>
            <w:r>
              <w:rPr>
                <w:b/>
                <w:sz w:val="18"/>
              </w:rPr>
              <w:t>Dataset / comparison</w:t>
            </w:r>
          </w:p>
        </w:tc>
        <w:tc>
          <w:tcPr>
            <w:tcW w:type="dxa" w:w="1388"/>
            <w:shd w:fill="E9EDF0"/>
          </w:tcPr>
          <w:p>
            <w:pPr>
              <w:spacing w:before="100" w:after="100"/>
            </w:pPr>
            <w:r>
              <w:rPr>
                <w:b/>
                <w:sz w:val="18"/>
              </w:rPr>
              <w:t>2021</w:t>
            </w:r>
          </w:p>
        </w:tc>
        <w:tc>
          <w:tcPr>
            <w:tcW w:type="dxa" w:w="1388"/>
            <w:shd w:fill="E9EDF0"/>
          </w:tcPr>
          <w:p>
            <w:pPr>
              <w:spacing w:before="100" w:after="100"/>
            </w:pPr>
            <w:r>
              <w:rPr>
                <w:b/>
                <w:sz w:val="18"/>
              </w:rPr>
              <w:t>2022</w:t>
            </w:r>
          </w:p>
        </w:tc>
        <w:tc>
          <w:tcPr>
            <w:tcW w:type="dxa" w:w="1388"/>
            <w:shd w:fill="E9EDF0"/>
          </w:tcPr>
          <w:p>
            <w:pPr>
              <w:spacing w:before="100" w:after="100"/>
            </w:pPr>
            <w:r>
              <w:rPr>
                <w:b/>
                <w:sz w:val="18"/>
              </w:rPr>
              <w:t>2023</w:t>
            </w:r>
          </w:p>
        </w:tc>
        <w:tc>
          <w:tcPr>
            <w:tcW w:type="dxa" w:w="1388"/>
            <w:shd w:fill="E9EDF0"/>
          </w:tcPr>
          <w:p>
            <w:pPr>
              <w:spacing w:before="100" w:after="100"/>
            </w:pPr>
            <w:r>
              <w:rPr>
                <w:b/>
                <w:sz w:val="18"/>
              </w:rPr>
              <w:t>2024</w:t>
            </w:r>
          </w:p>
        </w:tc>
        <w:tc>
          <w:tcPr>
            <w:tcW w:type="dxa" w:w="1388"/>
            <w:shd w:fill="E9EDF0"/>
          </w:tcPr>
          <w:p>
            <w:pPr>
              <w:spacing w:before="100" w:after="100"/>
            </w:pPr>
            <w:r>
              <w:rPr>
                <w:b/>
                <w:sz w:val="18"/>
              </w:rPr>
              <w:t>2025</w:t>
            </w:r>
          </w:p>
        </w:tc>
      </w:tr>
      <w:tr>
        <w:trPr>
          <w:cantSplit/>
        </w:trPr>
        <w:tc>
          <w:tcPr>
            <w:tcW w:type="dxa" w:w="2952"/>
          </w:tcPr>
          <w:p>
            <w:pPr>
              <w:spacing w:before="100" w:after="100"/>
            </w:pPr>
            <w:r>
              <w:rPr>
                <w:b w:val="0"/>
                <w:sz w:val="18"/>
              </w:rPr>
              <w:t>Climate TRACE</w:t>
            </w:r>
          </w:p>
        </w:tc>
        <w:tc>
          <w:tcPr>
            <w:tcW w:type="dxa" w:w="1388"/>
          </w:tcPr>
          <w:p>
            <w:pPr>
              <w:spacing w:before="100" w:after="100"/>
            </w:pPr>
            <w:r>
              <w:rPr>
                <w:b w:val="0"/>
                <w:sz w:val="18"/>
              </w:rPr>
              <w:t>34.1</w:t>
            </w:r>
          </w:p>
        </w:tc>
        <w:tc>
          <w:tcPr>
            <w:tcW w:type="dxa" w:w="1388"/>
          </w:tcPr>
          <w:p>
            <w:pPr>
              <w:spacing w:before="100" w:after="100"/>
            </w:pPr>
            <w:r>
              <w:rPr>
                <w:b w:val="0"/>
                <w:sz w:val="18"/>
              </w:rPr>
              <w:t>35.1</w:t>
            </w:r>
          </w:p>
        </w:tc>
        <w:tc>
          <w:tcPr>
            <w:tcW w:type="dxa" w:w="1388"/>
          </w:tcPr>
          <w:p>
            <w:pPr>
              <w:spacing w:before="100" w:after="100"/>
            </w:pPr>
            <w:r>
              <w:rPr>
                <w:b w:val="0"/>
                <w:sz w:val="18"/>
              </w:rPr>
              <w:t>36.0</w:t>
            </w:r>
          </w:p>
        </w:tc>
        <w:tc>
          <w:tcPr>
            <w:tcW w:type="dxa" w:w="1388"/>
          </w:tcPr>
          <w:p>
            <w:pPr>
              <w:spacing w:before="100" w:after="100"/>
            </w:pPr>
            <w:r>
              <w:rPr>
                <w:b w:val="0"/>
                <w:sz w:val="18"/>
              </w:rPr>
              <w:t>36.3</w:t>
            </w:r>
          </w:p>
        </w:tc>
        <w:tc>
          <w:tcPr>
            <w:tcW w:type="dxa" w:w="1388"/>
          </w:tcPr>
          <w:p>
            <w:pPr>
              <w:spacing w:before="100" w:after="100"/>
            </w:pPr>
            <w:r>
              <w:rPr>
                <w:b w:val="0"/>
                <w:sz w:val="18"/>
              </w:rPr>
              <w:t>36.5</w:t>
            </w:r>
          </w:p>
        </w:tc>
      </w:tr>
      <w:tr>
        <w:trPr>
          <w:cantSplit/>
        </w:trPr>
        <w:tc>
          <w:tcPr>
            <w:tcW w:type="dxa" w:w="2952"/>
          </w:tcPr>
          <w:p>
            <w:pPr>
              <w:spacing w:before="100" w:after="100"/>
            </w:pPr>
            <w:r>
              <w:rPr>
                <w:b w:val="0"/>
                <w:sz w:val="18"/>
              </w:rPr>
              <w:t>Synthetic</w:t>
            </w:r>
          </w:p>
        </w:tc>
        <w:tc>
          <w:tcPr>
            <w:tcW w:type="dxa" w:w="1388"/>
          </w:tcPr>
          <w:p>
            <w:pPr>
              <w:spacing w:before="100" w:after="100"/>
            </w:pPr>
            <w:r>
              <w:rPr>
                <w:b w:val="0"/>
                <w:sz w:val="18"/>
              </w:rPr>
              <w:t>67.4</w:t>
            </w:r>
          </w:p>
        </w:tc>
        <w:tc>
          <w:tcPr>
            <w:tcW w:type="dxa" w:w="1388"/>
          </w:tcPr>
          <w:p>
            <w:pPr>
              <w:spacing w:before="100" w:after="100"/>
            </w:pPr>
            <w:r>
              <w:rPr>
                <w:b w:val="0"/>
                <w:sz w:val="18"/>
              </w:rPr>
              <w:t>68.1</w:t>
            </w:r>
          </w:p>
        </w:tc>
        <w:tc>
          <w:tcPr>
            <w:tcW w:type="dxa" w:w="1388"/>
          </w:tcPr>
          <w:p>
            <w:pPr>
              <w:spacing w:before="100" w:after="100"/>
            </w:pPr>
            <w:r>
              <w:rPr>
                <w:b w:val="0"/>
                <w:sz w:val="18"/>
              </w:rPr>
              <w:t>70.0</w:t>
            </w:r>
          </w:p>
        </w:tc>
        <w:tc>
          <w:tcPr>
            <w:tcW w:type="dxa" w:w="1388"/>
          </w:tcPr>
          <w:p>
            <w:pPr>
              <w:spacing w:before="100" w:after="100"/>
            </w:pPr>
            <w:r>
              <w:rPr>
                <w:b w:val="0"/>
                <w:sz w:val="18"/>
              </w:rPr>
              <w:t>70.6</w:t>
            </w:r>
          </w:p>
        </w:tc>
        <w:tc>
          <w:tcPr>
            <w:tcW w:type="dxa" w:w="1388"/>
          </w:tcPr>
          <w:p>
            <w:pPr>
              <w:spacing w:before="100" w:after="100"/>
            </w:pPr>
            <w:r>
              <w:rPr>
                <w:b w:val="0"/>
                <w:sz w:val="18"/>
              </w:rPr>
              <w:t>71.1</w:t>
            </w:r>
          </w:p>
        </w:tc>
      </w:tr>
      <w:tr>
        <w:trPr>
          <w:cantSplit/>
        </w:trPr>
        <w:tc>
          <w:tcPr>
            <w:tcW w:type="dxa" w:w="2952"/>
          </w:tcPr>
          <w:p>
            <w:pPr>
              <w:spacing w:before="100" w:after="100"/>
            </w:pPr>
            <w:r>
              <w:rPr>
                <w:b w:val="0"/>
                <w:sz w:val="18"/>
              </w:rPr>
              <w:t>Synthetic (% of TRACE)</w:t>
            </w:r>
          </w:p>
        </w:tc>
        <w:tc>
          <w:tcPr>
            <w:tcW w:type="dxa" w:w="1388"/>
          </w:tcPr>
          <w:p>
            <w:pPr>
              <w:spacing w:before="100" w:after="100"/>
            </w:pPr>
            <w:r>
              <w:rPr>
                <w:b w:val="0"/>
                <w:sz w:val="18"/>
              </w:rPr>
              <w:t>197.8%</w:t>
            </w:r>
          </w:p>
        </w:tc>
        <w:tc>
          <w:tcPr>
            <w:tcW w:type="dxa" w:w="1388"/>
          </w:tcPr>
          <w:p>
            <w:pPr>
              <w:spacing w:before="100" w:after="100"/>
            </w:pPr>
            <w:r>
              <w:rPr>
                <w:b w:val="0"/>
                <w:sz w:val="18"/>
              </w:rPr>
              <w:t>194.1%</w:t>
            </w:r>
          </w:p>
        </w:tc>
        <w:tc>
          <w:tcPr>
            <w:tcW w:type="dxa" w:w="1388"/>
          </w:tcPr>
          <w:p>
            <w:pPr>
              <w:spacing w:before="100" w:after="100"/>
            </w:pPr>
            <w:r>
              <w:rPr>
                <w:b w:val="0"/>
                <w:sz w:val="18"/>
              </w:rPr>
              <w:t>194.5%</w:t>
            </w:r>
          </w:p>
        </w:tc>
        <w:tc>
          <w:tcPr>
            <w:tcW w:type="dxa" w:w="1388"/>
          </w:tcPr>
          <w:p>
            <w:pPr>
              <w:spacing w:before="100" w:after="100"/>
            </w:pPr>
            <w:r>
              <w:rPr>
                <w:b w:val="0"/>
                <w:sz w:val="18"/>
              </w:rPr>
              <w:t>194.2%</w:t>
            </w:r>
          </w:p>
        </w:tc>
        <w:tc>
          <w:tcPr>
            <w:tcW w:type="dxa" w:w="1388"/>
          </w:tcPr>
          <w:p>
            <w:pPr>
              <w:spacing w:before="100" w:after="100"/>
            </w:pPr>
            <w:r>
              <w:rPr>
                <w:b w:val="0"/>
                <w:sz w:val="18"/>
              </w:rPr>
              <w:t>195.0%</w:t>
            </w:r>
          </w:p>
        </w:tc>
      </w:tr>
    </w:tbl>
    <w:p>
      <w:r>
        <w:rPr>
          <w:b/>
        </w:rPr>
        <w:t xml:space="preserve">Finding: </w:t>
      </w:r>
      <w:r>
        <w:t>In 2025, Bidco’s values are 36.5 thousand tonnes in Climate TRACE and 71.1 thousand tonnes in the synthetic file. The synthetic value is 195.0% of Climate TRACE, or 95.0% higher.</w:t>
      </w:r>
    </w:p>
    <w:p>
      <w:pPr>
        <w:pStyle w:val="Heading2"/>
      </w:pPr>
      <w:r>
        <w:t>Two possible explanations</w:t>
      </w:r>
    </w:p>
    <w:p>
      <w:pPr>
        <w:pStyle w:val="ListBullet"/>
      </w:pPr>
      <w:r>
        <w:t>Different activity estimates: assumed production, fuel use or operating hours may differ.</w:t>
      </w:r>
    </w:p>
    <w:p>
      <w:pPr>
        <w:pStyle w:val="ListBullet"/>
      </w:pPr>
      <w:r>
        <w:t>Different scope or factors: one figure may cover more operations at the site, or use different emissions assumptions.</w:t>
      </w:r>
    </w:p>
    <w:p>
      <w:r>
        <w:rPr>
          <w:b/>
        </w:rPr>
        <w:t xml:space="preserve">Check: </w:t>
      </w:r>
      <w:r>
        <w:t>Confirm the same facility, year, activities and gases before comparing production or fuel inputs and calculation assumptions.</w:t>
      </w:r>
    </w:p>
    <w:p>
      <w:pPr>
        <w:pStyle w:val="Heading2"/>
      </w:pPr>
      <w:r>
        <w:t>Other named facilities, 2025</w:t>
      </w:r>
    </w:p>
    <w:tbl>
      <w:tblPr>
        <w:tblW w:type="auto" w:w="0"/>
        <w:tblLayout w:type="fixed"/>
        <w:tblLook w:firstColumn="1" w:firstRow="1" w:lastColumn="0" w:lastRow="0" w:noHBand="0" w:noVBand="1" w:val="04A0"/>
      </w:tblPr>
      <w:tblGrid>
        <w:gridCol w:w="4320"/>
        <w:gridCol w:w="1858"/>
        <w:gridCol w:w="1858"/>
        <w:gridCol w:w="1858"/>
      </w:tblGrid>
      <w:tr>
        <w:trPr>
          <w:tblHeader/>
          <w:cantSplit/>
        </w:trPr>
        <w:tc>
          <w:tcPr>
            <w:tcW w:type="dxa" w:w="4320"/>
            <w:shd w:fill="E9EDF0"/>
          </w:tcPr>
          <w:p>
            <w:pPr>
              <w:spacing w:before="100" w:after="100"/>
            </w:pPr>
            <w:r>
              <w:rPr>
                <w:b/>
                <w:sz w:val="18"/>
              </w:rPr>
              <w:t>Facility</w:t>
            </w:r>
          </w:p>
        </w:tc>
        <w:tc>
          <w:tcPr>
            <w:tcW w:type="dxa" w:w="1858"/>
            <w:shd w:fill="E9EDF0"/>
          </w:tcPr>
          <w:p>
            <w:pPr>
              <w:spacing w:before="100" w:after="100"/>
            </w:pPr>
            <w:r>
              <w:rPr>
                <w:b/>
                <w:sz w:val="18"/>
              </w:rPr>
              <w:t>TRACE</w:t>
            </w:r>
          </w:p>
        </w:tc>
        <w:tc>
          <w:tcPr>
            <w:tcW w:type="dxa" w:w="1858"/>
            <w:shd w:fill="E9EDF0"/>
          </w:tcPr>
          <w:p>
            <w:pPr>
              <w:spacing w:before="100" w:after="100"/>
            </w:pPr>
            <w:r>
              <w:rPr>
                <w:b/>
                <w:sz w:val="18"/>
              </w:rPr>
              <w:t>Synthetic</w:t>
            </w:r>
          </w:p>
        </w:tc>
        <w:tc>
          <w:tcPr>
            <w:tcW w:type="dxa" w:w="1858"/>
            <w:shd w:fill="E9EDF0"/>
          </w:tcPr>
          <w:p>
            <w:pPr>
              <w:spacing w:before="100" w:after="100"/>
            </w:pPr>
            <w:r>
              <w:rPr>
                <w:b/>
                <w:sz w:val="18"/>
              </w:rPr>
              <w:t>% of TRACE</w:t>
            </w:r>
          </w:p>
        </w:tc>
      </w:tr>
      <w:tr>
        <w:trPr>
          <w:cantSplit/>
        </w:trPr>
        <w:tc>
          <w:tcPr>
            <w:tcW w:type="dxa" w:w="4320"/>
          </w:tcPr>
          <w:p>
            <w:pPr>
              <w:spacing w:before="100" w:after="100"/>
            </w:pPr>
            <w:r>
              <w:rPr>
                <w:b w:val="0"/>
                <w:sz w:val="18"/>
              </w:rPr>
              <w:t>Tororo Cement plant</w:t>
            </w:r>
          </w:p>
        </w:tc>
        <w:tc>
          <w:tcPr>
            <w:tcW w:type="dxa" w:w="1858"/>
          </w:tcPr>
          <w:p>
            <w:pPr>
              <w:spacing w:before="100" w:after="100"/>
            </w:pPr>
            <w:r>
              <w:rPr>
                <w:b w:val="0"/>
                <w:sz w:val="18"/>
              </w:rPr>
              <w:t>342.6</w:t>
            </w:r>
          </w:p>
        </w:tc>
        <w:tc>
          <w:tcPr>
            <w:tcW w:type="dxa" w:w="1858"/>
          </w:tcPr>
          <w:p>
            <w:pPr>
              <w:spacing w:before="100" w:after="100"/>
            </w:pPr>
            <w:r>
              <w:rPr>
                <w:b w:val="0"/>
                <w:sz w:val="18"/>
              </w:rPr>
              <w:t>354.3</w:t>
            </w:r>
          </w:p>
        </w:tc>
        <w:tc>
          <w:tcPr>
            <w:tcW w:type="dxa" w:w="1858"/>
          </w:tcPr>
          <w:p>
            <w:pPr>
              <w:spacing w:before="100" w:after="100"/>
            </w:pPr>
            <w:r>
              <w:rPr>
                <w:b w:val="0"/>
                <w:sz w:val="18"/>
              </w:rPr>
              <w:t>103.4%</w:t>
            </w:r>
          </w:p>
        </w:tc>
      </w:tr>
      <w:tr>
        <w:trPr>
          <w:cantSplit/>
        </w:trPr>
        <w:tc>
          <w:tcPr>
            <w:tcW w:type="dxa" w:w="4320"/>
          </w:tcPr>
          <w:p>
            <w:pPr>
              <w:spacing w:before="100" w:after="100"/>
            </w:pPr>
            <w:r>
              <w:rPr>
                <w:b w:val="0"/>
                <w:sz w:val="18"/>
              </w:rPr>
              <w:t>Modern Laminates Pulp Mill</w:t>
            </w:r>
          </w:p>
        </w:tc>
        <w:tc>
          <w:tcPr>
            <w:tcW w:type="dxa" w:w="1858"/>
          </w:tcPr>
          <w:p>
            <w:pPr>
              <w:spacing w:before="100" w:after="100"/>
            </w:pPr>
            <w:r>
              <w:rPr>
                <w:b w:val="0"/>
                <w:sz w:val="18"/>
              </w:rPr>
              <w:t>13.8</w:t>
            </w:r>
          </w:p>
        </w:tc>
        <w:tc>
          <w:tcPr>
            <w:tcW w:type="dxa" w:w="1858"/>
          </w:tcPr>
          <w:p>
            <w:pPr>
              <w:spacing w:before="100" w:after="100"/>
            </w:pPr>
            <w:r>
              <w:rPr>
                <w:b w:val="0"/>
                <w:sz w:val="18"/>
              </w:rPr>
              <w:t>22.8</w:t>
            </w:r>
          </w:p>
        </w:tc>
        <w:tc>
          <w:tcPr>
            <w:tcW w:type="dxa" w:w="1858"/>
          </w:tcPr>
          <w:p>
            <w:pPr>
              <w:spacing w:before="100" w:after="100"/>
            </w:pPr>
            <w:r>
              <w:rPr>
                <w:b w:val="0"/>
                <w:sz w:val="18"/>
              </w:rPr>
              <w:t>165.3%</w:t>
            </w:r>
          </w:p>
        </w:tc>
      </w:tr>
    </w:tbl>
    <w:p>
      <w:r>
        <w:rPr>
          <w:b/>
        </w:rPr>
        <w:t xml:space="preserve">Reading note: </w:t>
      </w:r>
      <w:r>
        <w:t>Amounts are in thousand tonnes; named-site totals include all matching source records. Current synthetic values use calculated national shares. They are not independent facility measurements or evidence of incorrect reporting.</w:t>
      </w:r>
    </w:p>
    <w:p>
      <w:r>
        <w:rPr>
          <w:b/>
        </w:rPr>
        <w:t xml:space="preserve">Meeting point: </w:t>
      </w:r>
      <w:r>
        <w:t>Different facilities can have very different comparison ratios. Match coverage and scope before interpreting them.</w:t>
      </w:r>
    </w:p>
    <w:p>
      <w:r>
        <w:t>Sources: the two CSVs in data/synthetic/uganda-government-2021-2025/. Values are rounded for presentation. Climate TRACE 2021 retains the supplied reference data; later reference years and all synthetic values are illustrative.</w:t>
      </w:r>
    </w:p>
    <w:p>
      <w:r>
        <w:rPr>
          <w:sz w:val="16"/>
        </w:rPr>
        <w:t>climate-trace-uganda-sources-2021-2025-with-district.csv</w:t>
      </w:r>
    </w:p>
    <w:p>
      <w:r>
        <w:rPr>
          <w:sz w:val="16"/>
        </w:rPr>
        <w:t>uganda_government_synthetic_2021-2025.csv</w:t>
      </w:r>
    </w:p>
    <w:sectPr w:rsidR="00FC693F" w:rsidRPr="0006063C" w:rsidSect="00034616">
      <w:headerReference w:type="default" r:id="rId9"/>
      <w:footerReference w:type="default" r:id="rId10"/>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Demonstration data • 2021–2025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UGANDA DATA COMPARISON  |  UN MEETING BRIEFING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0374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037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03746"/>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Uganda: Five Comparisons of Climate TRACE and Synthetic Data</dc:title>
  <dc:subject>Final meeting briefing: national totals, sector and district comparisons, facility coverage and facility values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