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4A610" w14:textId="14E7BE07" w:rsidR="00EA61AE" w:rsidRPr="00DB4152" w:rsidRDefault="00BD3FBC" w:rsidP="00EA61AE">
      <w:pPr>
        <w:pStyle w:val="Caption"/>
        <w:keepNext/>
        <w:rPr>
          <w:rFonts w:ascii="Arial" w:hAnsi="Arial" w:cs="Arial"/>
          <w:i w:val="0"/>
          <w:iCs w:val="0"/>
          <w:color w:val="auto"/>
          <w:sz w:val="22"/>
          <w:szCs w:val="22"/>
        </w:rPr>
      </w:pPr>
      <w:r>
        <w:rPr>
          <w:rFonts w:ascii="Arial" w:hAnsi="Arial" w:cs="Arial"/>
          <w:i w:val="0"/>
          <w:iCs w:val="0"/>
          <w:color w:val="auto"/>
          <w:sz w:val="22"/>
          <w:szCs w:val="22"/>
        </w:rPr>
        <w:t xml:space="preserve">Supplementary </w:t>
      </w:r>
      <w:r w:rsidR="00EA61AE" w:rsidRPr="00DB4152">
        <w:rPr>
          <w:rFonts w:ascii="Arial" w:hAnsi="Arial" w:cs="Arial"/>
          <w:i w:val="0"/>
          <w:iCs w:val="0"/>
          <w:color w:val="auto"/>
          <w:sz w:val="22"/>
          <w:szCs w:val="22"/>
        </w:rPr>
        <w:t xml:space="preserve">Table </w:t>
      </w:r>
      <w:r w:rsidR="00036070">
        <w:rPr>
          <w:rFonts w:ascii="Arial" w:hAnsi="Arial" w:cs="Arial"/>
          <w:i w:val="0"/>
          <w:iCs w:val="0"/>
          <w:color w:val="auto"/>
          <w:sz w:val="22"/>
          <w:szCs w:val="22"/>
        </w:rPr>
        <w:t>1</w:t>
      </w:r>
      <w:r w:rsidR="00EA61AE" w:rsidRPr="00DB4152">
        <w:rPr>
          <w:rFonts w:ascii="Arial" w:hAnsi="Arial" w:cs="Arial"/>
          <w:i w:val="0"/>
          <w:iCs w:val="0"/>
          <w:color w:val="auto"/>
          <w:sz w:val="22"/>
          <w:szCs w:val="22"/>
        </w:rPr>
        <w:t xml:space="preserve">. </w:t>
      </w:r>
      <w:r>
        <w:rPr>
          <w:rFonts w:ascii="Arial" w:hAnsi="Arial" w:cs="Arial"/>
          <w:i w:val="0"/>
          <w:iCs w:val="0"/>
          <w:color w:val="auto"/>
          <w:sz w:val="22"/>
          <w:szCs w:val="22"/>
        </w:rPr>
        <w:t>B</w:t>
      </w:r>
      <w:r w:rsidR="00EA61AE" w:rsidRPr="00DB4152">
        <w:rPr>
          <w:rFonts w:ascii="Arial" w:hAnsi="Arial" w:cs="Arial"/>
          <w:i w:val="0"/>
          <w:iCs w:val="0"/>
          <w:color w:val="auto"/>
          <w:sz w:val="22"/>
          <w:szCs w:val="22"/>
        </w:rPr>
        <w:t>uprenorphine-waivered providers</w:t>
      </w:r>
      <w:r>
        <w:rPr>
          <w:rFonts w:ascii="Arial" w:hAnsi="Arial" w:cs="Arial"/>
          <w:i w:val="0"/>
          <w:iCs w:val="0"/>
          <w:color w:val="auto"/>
          <w:sz w:val="22"/>
          <w:szCs w:val="22"/>
        </w:rPr>
        <w:t xml:space="preserve"> estimates and sources</w:t>
      </w:r>
      <w:r w:rsidR="00EA61AE" w:rsidRPr="00DB4152">
        <w:rPr>
          <w:rFonts w:ascii="Arial" w:hAnsi="Arial" w:cs="Arial"/>
          <w:i w:val="0"/>
          <w:iCs w:val="0"/>
          <w:noProof/>
          <w:color w:val="auto"/>
          <w:sz w:val="22"/>
          <w:szCs w:val="22"/>
        </w:rPr>
        <w:t>, 2003-2021</w:t>
      </w:r>
    </w:p>
    <w:tbl>
      <w:tblPr>
        <w:tblStyle w:val="TableGrid"/>
        <w:tblW w:w="4963"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9"/>
        <w:gridCol w:w="1596"/>
        <w:gridCol w:w="11493"/>
      </w:tblGrid>
      <w:tr w:rsidR="00F525B3" w:rsidRPr="002F020B" w14:paraId="117696EC" w14:textId="77777777" w:rsidTr="00B32A30">
        <w:trPr>
          <w:trHeight w:val="466"/>
          <w:tblHeader/>
        </w:trPr>
        <w:tc>
          <w:tcPr>
            <w:tcW w:w="489" w:type="pct"/>
            <w:tcBorders>
              <w:bottom w:val="single" w:sz="4" w:space="0" w:color="auto"/>
            </w:tcBorders>
            <w:vAlign w:val="center"/>
          </w:tcPr>
          <w:p w14:paraId="1BC634E7" w14:textId="472D1177" w:rsidR="00F525B3" w:rsidRPr="002F020B" w:rsidRDefault="00F525B3" w:rsidP="00E145E9">
            <w:pPr>
              <w:spacing w:before="0" w:line="240" w:lineRule="auto"/>
              <w:rPr>
                <w:rFonts w:ascii="Arial" w:hAnsi="Arial" w:cs="Arial"/>
                <w:b/>
                <w:sz w:val="20"/>
                <w:szCs w:val="20"/>
                <w:lang w:val="en-GB"/>
              </w:rPr>
            </w:pPr>
            <w:r w:rsidRPr="002F020B">
              <w:rPr>
                <w:rFonts w:ascii="Arial" w:hAnsi="Arial" w:cs="Arial"/>
                <w:b/>
                <w:sz w:val="20"/>
                <w:szCs w:val="20"/>
                <w:lang w:val="en-GB"/>
              </w:rPr>
              <w:t>Year</w:t>
            </w:r>
          </w:p>
        </w:tc>
        <w:tc>
          <w:tcPr>
            <w:tcW w:w="550" w:type="pct"/>
            <w:tcBorders>
              <w:bottom w:val="single" w:sz="4" w:space="0" w:color="auto"/>
            </w:tcBorders>
            <w:vAlign w:val="center"/>
          </w:tcPr>
          <w:p w14:paraId="02BDA034" w14:textId="4248F38F" w:rsidR="00F525B3" w:rsidRDefault="00F525B3" w:rsidP="00E145E9">
            <w:pPr>
              <w:spacing w:before="0" w:line="240" w:lineRule="auto"/>
              <w:rPr>
                <w:rFonts w:ascii="Arial" w:hAnsi="Arial" w:cs="Arial"/>
                <w:b/>
                <w:sz w:val="20"/>
                <w:szCs w:val="20"/>
                <w:lang w:val="en-GB"/>
              </w:rPr>
            </w:pPr>
            <w:r>
              <w:rPr>
                <w:rFonts w:ascii="Arial" w:hAnsi="Arial" w:cs="Arial"/>
                <w:b/>
                <w:sz w:val="20"/>
                <w:szCs w:val="20"/>
                <w:lang w:val="en-GB"/>
              </w:rPr>
              <w:t>Value</w:t>
            </w:r>
          </w:p>
        </w:tc>
        <w:tc>
          <w:tcPr>
            <w:tcW w:w="3961" w:type="pct"/>
            <w:tcBorders>
              <w:bottom w:val="single" w:sz="4" w:space="0" w:color="auto"/>
            </w:tcBorders>
            <w:vAlign w:val="center"/>
          </w:tcPr>
          <w:p w14:paraId="72ED377C" w14:textId="1AFD9371" w:rsidR="00F525B3" w:rsidRPr="002F020B" w:rsidRDefault="00F525B3" w:rsidP="00E145E9">
            <w:pPr>
              <w:spacing w:before="0" w:line="240" w:lineRule="auto"/>
              <w:rPr>
                <w:rFonts w:ascii="Arial" w:hAnsi="Arial" w:cs="Arial"/>
                <w:b/>
                <w:sz w:val="20"/>
                <w:szCs w:val="20"/>
                <w:lang w:val="en-GB"/>
              </w:rPr>
            </w:pPr>
            <w:r>
              <w:rPr>
                <w:rFonts w:ascii="Arial" w:hAnsi="Arial" w:cs="Arial"/>
                <w:b/>
                <w:sz w:val="20"/>
                <w:szCs w:val="20"/>
                <w:lang w:val="en-GB"/>
              </w:rPr>
              <w:t>Detail</w:t>
            </w:r>
          </w:p>
        </w:tc>
      </w:tr>
      <w:tr w:rsidR="00F525B3" w:rsidRPr="002F020B" w14:paraId="0FE27E4B" w14:textId="77777777" w:rsidTr="00BD6273">
        <w:trPr>
          <w:trHeight w:val="17"/>
        </w:trPr>
        <w:tc>
          <w:tcPr>
            <w:tcW w:w="489" w:type="pct"/>
            <w:tcBorders>
              <w:top w:val="single" w:sz="4" w:space="0" w:color="auto"/>
              <w:bottom w:val="single" w:sz="4" w:space="0" w:color="auto"/>
            </w:tcBorders>
            <w:vAlign w:val="center"/>
          </w:tcPr>
          <w:p w14:paraId="06BD1EF7" w14:textId="613A8BB0" w:rsidR="00F525B3" w:rsidRPr="002F020B" w:rsidRDefault="00F525B3" w:rsidP="00BD6273">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2003</w:t>
            </w:r>
          </w:p>
        </w:tc>
        <w:tc>
          <w:tcPr>
            <w:tcW w:w="550" w:type="pct"/>
            <w:tcBorders>
              <w:top w:val="single" w:sz="4" w:space="0" w:color="auto"/>
              <w:bottom w:val="single" w:sz="4" w:space="0" w:color="auto"/>
            </w:tcBorders>
            <w:vAlign w:val="center"/>
          </w:tcPr>
          <w:p w14:paraId="06199CEB" w14:textId="24FF5385" w:rsidR="00F525B3" w:rsidRPr="002F020B" w:rsidRDefault="00E21CAE" w:rsidP="00BD6273">
            <w:pPr>
              <w:spacing w:before="0" w:line="240" w:lineRule="auto"/>
              <w:rPr>
                <w:rFonts w:ascii="Arial" w:hAnsi="Arial" w:cs="Arial"/>
                <w:noProof/>
                <w:sz w:val="20"/>
                <w:szCs w:val="20"/>
              </w:rPr>
            </w:pPr>
            <w:r>
              <w:rPr>
                <w:rFonts w:ascii="Arial" w:hAnsi="Arial" w:cs="Arial"/>
                <w:noProof/>
                <w:sz w:val="20"/>
                <w:szCs w:val="20"/>
              </w:rPr>
              <w:t>1,800</w:t>
            </w:r>
          </w:p>
        </w:tc>
        <w:tc>
          <w:tcPr>
            <w:tcW w:w="3961" w:type="pct"/>
            <w:tcBorders>
              <w:top w:val="single" w:sz="4" w:space="0" w:color="auto"/>
              <w:bottom w:val="single" w:sz="4" w:space="0" w:color="auto"/>
            </w:tcBorders>
            <w:vAlign w:val="center"/>
          </w:tcPr>
          <w:p w14:paraId="264A6A73" w14:textId="6750DAE6" w:rsidR="00F525B3" w:rsidRPr="002F020B" w:rsidRDefault="00F525B3" w:rsidP="00BD6273">
            <w:pPr>
              <w:spacing w:before="0" w:line="240" w:lineRule="auto"/>
              <w:rPr>
                <w:rFonts w:ascii="Arial" w:hAnsi="Arial" w:cs="Arial"/>
                <w:sz w:val="20"/>
                <w:szCs w:val="20"/>
                <w:lang w:val="en-GB"/>
              </w:rPr>
            </w:pPr>
            <w:r>
              <w:rPr>
                <w:rFonts w:ascii="Arial" w:hAnsi="Arial" w:cs="Arial"/>
                <w:sz w:val="20"/>
                <w:szCs w:val="20"/>
                <w:lang w:val="en-GB"/>
              </w:rPr>
              <w:t>Jones et al.</w:t>
            </w:r>
            <w:r w:rsidR="007626C5">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{"citationItems":[{"id":"ITEM-1","itemData":{"DOI":"10.2105/AJPH.2015.302664","ISSN":"0090-0036","author":[{"dropping-particle":"","family":"Jones","given":"Christopher M","non-dropping-particle":"","parse-names":false,"suffix":""},{"dropping-particle":"","family":"Campopiano","given":"Melinda","non-dropping-particle":"","parse-names":false,"suffix":""},{"dropping-particle":"","family":"Baldwin","given":"Grant","non-dropping-particle":"","parse-names":false,"suffix":""},{"dropping-particle":"","family":"McCance-Katz","given":"Elinore","non-dropping-particle":"","parse-names":false,"suffix":""}],"container-title":"American Journal of Public Health","id":"ITEM-1","issue":"8","issued":{"date-parts":[["2015","8"]]},"page":"e55-e63","title":"National and State Treatment Need and Capacity for Opioid Agonist Medication-Assisted Treatment","type":"article-journal","volume":"105"},"uris":["http://www.mendeley.com/documents/?uuid=7a24d085-21bb-48ff-a4db-7e07ba64eb55"]}],"mendeley":{"formattedCitation":"&lt;sup&gt;1&lt;/sup&gt;","plainTextFormattedCitation":"1","previouslyFormattedCitation":"&lt;sup&gt;1&lt;/sup&gt;"},"properties":{"noteIndex":0},"schema":"https://github.com/citation-style-language/schema/raw/master/csl-citation.json"}</w:instrText>
            </w:r>
            <w:r w:rsidR="007626C5">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1</w:t>
            </w:r>
            <w:r w:rsidR="007626C5">
              <w:rPr>
                <w:rFonts w:ascii="Arial" w:hAnsi="Arial" w:cs="Arial"/>
                <w:sz w:val="20"/>
                <w:szCs w:val="20"/>
                <w:lang w:val="en-GB"/>
              </w:rPr>
              <w:fldChar w:fldCharType="end"/>
            </w:r>
          </w:p>
        </w:tc>
      </w:tr>
      <w:tr w:rsidR="00F525B3" w:rsidRPr="002F020B" w14:paraId="737A3030" w14:textId="77777777" w:rsidTr="00BD6273">
        <w:trPr>
          <w:trHeight w:val="17"/>
        </w:trPr>
        <w:tc>
          <w:tcPr>
            <w:tcW w:w="489" w:type="pct"/>
            <w:tcBorders>
              <w:top w:val="single" w:sz="4" w:space="0" w:color="auto"/>
              <w:bottom w:val="single" w:sz="4" w:space="0" w:color="auto"/>
            </w:tcBorders>
            <w:vAlign w:val="center"/>
          </w:tcPr>
          <w:p w14:paraId="4731D0B4" w14:textId="6341BA9B" w:rsidR="00F525B3" w:rsidRPr="002F020B" w:rsidRDefault="00F525B3" w:rsidP="00BD6273">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2004</w:t>
            </w:r>
          </w:p>
        </w:tc>
        <w:tc>
          <w:tcPr>
            <w:tcW w:w="550" w:type="pct"/>
            <w:tcBorders>
              <w:top w:val="single" w:sz="4" w:space="0" w:color="auto"/>
              <w:bottom w:val="single" w:sz="4" w:space="0" w:color="auto"/>
            </w:tcBorders>
            <w:vAlign w:val="center"/>
          </w:tcPr>
          <w:p w14:paraId="3B674C83" w14:textId="7530B4BE" w:rsidR="00F525B3" w:rsidRPr="002F020B" w:rsidRDefault="00F525B3" w:rsidP="00BD6273">
            <w:pPr>
              <w:spacing w:before="0" w:line="240" w:lineRule="auto"/>
              <w:rPr>
                <w:rFonts w:ascii="Arial" w:hAnsi="Arial" w:cs="Arial"/>
                <w:sz w:val="20"/>
                <w:szCs w:val="20"/>
                <w:lang w:val="en-GB"/>
              </w:rPr>
            </w:pPr>
            <w:r>
              <w:rPr>
                <w:rFonts w:ascii="Arial" w:hAnsi="Arial" w:cs="Arial"/>
                <w:sz w:val="20"/>
                <w:szCs w:val="20"/>
                <w:lang w:val="en-GB"/>
              </w:rPr>
              <w:t>3,256</w:t>
            </w:r>
          </w:p>
        </w:tc>
        <w:tc>
          <w:tcPr>
            <w:tcW w:w="3961" w:type="pct"/>
            <w:tcBorders>
              <w:top w:val="single" w:sz="4" w:space="0" w:color="auto"/>
              <w:bottom w:val="single" w:sz="4" w:space="0" w:color="auto"/>
            </w:tcBorders>
            <w:vAlign w:val="center"/>
          </w:tcPr>
          <w:p w14:paraId="4151A02A" w14:textId="76C1413B" w:rsidR="00F525B3" w:rsidRPr="002F020B" w:rsidRDefault="00D37E2B" w:rsidP="00BD6273">
            <w:pPr>
              <w:spacing w:before="0" w:line="240" w:lineRule="auto"/>
              <w:rPr>
                <w:rFonts w:ascii="Arial" w:hAnsi="Arial" w:cs="Arial"/>
                <w:sz w:val="20"/>
                <w:szCs w:val="20"/>
                <w:lang w:val="en-GB"/>
              </w:rPr>
            </w:pPr>
            <w:r>
              <w:rPr>
                <w:rFonts w:ascii="Arial" w:hAnsi="Arial" w:cs="Arial"/>
                <w:sz w:val="20"/>
                <w:szCs w:val="20"/>
                <w:lang w:val="en-GB"/>
              </w:rPr>
              <w:t xml:space="preserve">The average of the following was used: </w:t>
            </w:r>
            <w:r w:rsidR="00B32A30">
              <w:rPr>
                <w:rFonts w:ascii="Arial" w:hAnsi="Arial" w:cs="Arial"/>
                <w:sz w:val="20"/>
                <w:szCs w:val="20"/>
                <w:lang w:val="en-GB"/>
              </w:rPr>
              <w:t>Jones et al. report 3,219</w:t>
            </w:r>
            <w:r w:rsidR="007626C5">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{"citationItems":[{"id":"ITEM-1","itemData":{"DOI":"10.2105/AJPH.2015.302664","ISSN":"0090-0036","author":[{"dropping-particle":"","family":"Jones","given":"Christopher M","non-dropping-particle":"","parse-names":false,"suffix":""},{"dropping-particle":"","family":"Campopiano","given":"Melinda","non-dropping-particle":"","parse-names":false,"suffix":""},{"dropping-particle":"","family":"Baldwin","given":"Grant","non-dropping-particle":"","parse-names":false,"suffix":""},{"dropping-particle":"","family":"McCance-Katz","given":"Elinore","non-dropping-particle":"","parse-names":false,"suffix":""}],"container-title":"American Journal of Public Health","id":"ITEM-1","issue":"8","issued":{"date-parts":[["2015","8"]]},"page":"e55-e63","title":"National and State Treatment Need and Capacity for Opioid Agonist Medication-Assisted Treatment","type":"article-journal","volume":"105"},"uris":["http://www.mendeley.com/documents/?uuid=7a24d085-21bb-48ff-a4db-7e07ba64eb55"]}],"mendeley":{"formattedCitation":"&lt;sup&gt;1&lt;/sup&gt;","plainTextFormattedCitation":"1","previouslyFormattedCitation":"&lt;sup&gt;1&lt;/sup&gt;"},"properties":{"noteIndex":0},"schema":"https://github.com/citation-style-language/schema/raw/master/csl-citation.json"}</w:instrText>
            </w:r>
            <w:r w:rsidR="007626C5">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1</w:t>
            </w:r>
            <w:r w:rsidR="007626C5">
              <w:rPr>
                <w:rFonts w:ascii="Arial" w:hAnsi="Arial" w:cs="Arial"/>
                <w:sz w:val="20"/>
                <w:szCs w:val="20"/>
                <w:lang w:val="en-GB"/>
              </w:rPr>
              <w:fldChar w:fldCharType="end"/>
            </w:r>
            <w:r w:rsidR="00B32A30">
              <w:rPr>
                <w:rFonts w:ascii="Arial" w:hAnsi="Arial" w:cs="Arial"/>
                <w:sz w:val="20"/>
                <w:szCs w:val="20"/>
                <w:lang w:val="en-GB"/>
              </w:rPr>
              <w:t xml:space="preserve"> and </w:t>
            </w:r>
            <w:r w:rsidR="00F525B3">
              <w:rPr>
                <w:rFonts w:ascii="Arial" w:hAnsi="Arial" w:cs="Arial"/>
                <w:sz w:val="20"/>
                <w:szCs w:val="20"/>
                <w:lang w:val="en-GB"/>
              </w:rPr>
              <w:t>Stein et al. report 3,293</w:t>
            </w:r>
            <w:r>
              <w:rPr>
                <w:rFonts w:ascii="Arial" w:hAnsi="Arial" w:cs="Arial"/>
                <w:sz w:val="20"/>
                <w:szCs w:val="20"/>
                <w:lang w:val="en-GB"/>
              </w:rPr>
              <w:t>.</w:t>
            </w:r>
            <w:r w:rsidR="007626C5">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{"citationItems":[{"id":"ITEM-1","itemData":{"DOI":"10.1111/1468-0009.12137","ISSN":"0887378X","author":[{"dropping-particle":"","family":"Stein","given":"BRADLEY D.","non-dropping-particle":"","parse-names":false,"suffix":""},{"dropping-particle":"","family":"Pacula","given":"ROSALIE LICCARDO","non-dropping-particle":"","parse-names":false,"suffix":""},{"dropping-particle":"","family":"Gordon","given":"ADAM J.","non-dropping-particle":"","parse-names":false,"suffix":""},{"dropping-particle":"","family":"Burns","given":"RACHEL M.","non-dropping-particle":"","parse-names":false,"suffix":""},{"dropping-particle":"","family":"Leslie","given":"DOUGLAS L.","non-dropping-particle":"","parse-names":false,"suffix":""},{"dropping-particle":"","family":"Sorbero","given":"MARK J.","non-dropping-particle":"","parse-names":false,"suffix":""},{"dropping-particle":"","family":"Bauhoff","given":"SEBASTIAN","non-dropping-particle":"","parse-names":false,"suffix":""},{"dropping-particle":"","family":"Mandell","given":"TODD W.","non-dropping-particle":"","parse-names":false,"suffix":""},{"dropping-particle":"","family":"Dick","given":"ANDREW W.","non-dropping-particle":"","parse-names":false,"suffix":""}],"container-title":"Milbank Quarterly","id":"ITEM-1","issue":"3","issued":{"date-parts":[["2015","9","1"]]},"page":"561-583","publisher":"Wiley/Blackwell (10.1111)","title":"Where Is Buprenorphine Dispensed to Treat Opioid Use Disorders? The Role of Private Offices, Opioid Treatment Programs, and Substance Abuse Treatment Facilities in Urban and Rural Counties","type":"article-journal","volume":"93"},"uris":["http://www.mendeley.com/documents/?uuid=06d8a484-63cd-45b8-acd7-9dadd2563d9a"]}],"mendeley":{"formattedCitation":"&lt;sup&gt;2&lt;/sup&gt;","plainTextFormattedCitation":"2","previouslyFormattedCitation":"&lt;sup&gt;2&lt;/sup&gt;"},"properties":{"noteIndex":0},"schema":"https://github.com/citation-style-language/schema/raw/master/csl-citation.json"}</w:instrText>
            </w:r>
            <w:r w:rsidR="007626C5">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2</w:t>
            </w:r>
            <w:r w:rsidR="007626C5">
              <w:rPr>
                <w:rFonts w:ascii="Arial" w:hAnsi="Arial" w:cs="Arial"/>
                <w:sz w:val="20"/>
                <w:szCs w:val="20"/>
                <w:lang w:val="en-GB"/>
              </w:rPr>
              <w:fldChar w:fldCharType="end"/>
            </w:r>
          </w:p>
        </w:tc>
      </w:tr>
      <w:tr w:rsidR="00F525B3" w:rsidRPr="002F020B" w14:paraId="161B5CE5" w14:textId="77777777" w:rsidTr="00BD6273">
        <w:trPr>
          <w:trHeight w:val="17"/>
        </w:trPr>
        <w:tc>
          <w:tcPr>
            <w:tcW w:w="489" w:type="pct"/>
            <w:tcBorders>
              <w:top w:val="single" w:sz="4" w:space="0" w:color="auto"/>
              <w:bottom w:val="single" w:sz="4" w:space="0" w:color="auto"/>
            </w:tcBorders>
            <w:vAlign w:val="center"/>
          </w:tcPr>
          <w:p w14:paraId="558F790C" w14:textId="603AED54" w:rsidR="00F525B3" w:rsidRPr="002F020B" w:rsidRDefault="00F525B3" w:rsidP="00BD6273">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2005</w:t>
            </w:r>
          </w:p>
        </w:tc>
        <w:tc>
          <w:tcPr>
            <w:tcW w:w="550" w:type="pct"/>
            <w:tcBorders>
              <w:top w:val="single" w:sz="4" w:space="0" w:color="auto"/>
              <w:bottom w:val="single" w:sz="4" w:space="0" w:color="auto"/>
            </w:tcBorders>
            <w:vAlign w:val="center"/>
          </w:tcPr>
          <w:p w14:paraId="3CC171BF" w14:textId="4BDA202E" w:rsidR="00F525B3" w:rsidRPr="002F020B" w:rsidRDefault="00F525B3" w:rsidP="00BD6273">
            <w:pPr>
              <w:spacing w:before="0" w:line="240" w:lineRule="auto"/>
              <w:rPr>
                <w:rFonts w:ascii="Arial" w:hAnsi="Arial" w:cs="Arial"/>
                <w:sz w:val="20"/>
                <w:szCs w:val="20"/>
                <w:lang w:val="en-GB"/>
              </w:rPr>
            </w:pPr>
            <w:r>
              <w:rPr>
                <w:rFonts w:ascii="Arial" w:hAnsi="Arial" w:cs="Arial"/>
                <w:sz w:val="20"/>
                <w:szCs w:val="20"/>
                <w:lang w:val="en-GB"/>
              </w:rPr>
              <w:t>5,484</w:t>
            </w:r>
          </w:p>
        </w:tc>
        <w:tc>
          <w:tcPr>
            <w:tcW w:w="3961" w:type="pct"/>
            <w:tcBorders>
              <w:top w:val="single" w:sz="4" w:space="0" w:color="auto"/>
              <w:bottom w:val="single" w:sz="4" w:space="0" w:color="auto"/>
            </w:tcBorders>
            <w:vAlign w:val="center"/>
          </w:tcPr>
          <w:p w14:paraId="7FE883F5" w14:textId="148C410C" w:rsidR="00F525B3" w:rsidRPr="002F020B" w:rsidRDefault="00D37E2B" w:rsidP="00BD6273">
            <w:pPr>
              <w:spacing w:before="0" w:line="240" w:lineRule="auto"/>
              <w:rPr>
                <w:rFonts w:ascii="Arial" w:hAnsi="Arial" w:cs="Arial"/>
                <w:sz w:val="20"/>
                <w:szCs w:val="20"/>
                <w:lang w:val="en-GB"/>
              </w:rPr>
            </w:pPr>
            <w:r>
              <w:rPr>
                <w:rFonts w:ascii="Arial" w:hAnsi="Arial" w:cs="Arial"/>
                <w:sz w:val="20"/>
                <w:szCs w:val="20"/>
                <w:lang w:val="en-GB"/>
              </w:rPr>
              <w:t xml:space="preserve">The average of the following was used: </w:t>
            </w:r>
            <w:r w:rsidR="00B32A30">
              <w:rPr>
                <w:rFonts w:ascii="Arial" w:hAnsi="Arial" w:cs="Arial"/>
                <w:sz w:val="20"/>
                <w:szCs w:val="20"/>
                <w:lang w:val="en-GB"/>
              </w:rPr>
              <w:t>Jones et al. report 5,419</w:t>
            </w:r>
            <w:r w:rsidR="007626C5">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{"citationItems":[{"id":"ITEM-1","itemData":{"DOI":"10.2105/AJPH.2015.302664","ISSN":"0090-0036","author":[{"dropping-particle":"","family":"Jones","given":"Christopher M","non-dropping-particle":"","parse-names":false,"suffix":""},{"dropping-particle":"","family":"Campopiano","given":"Melinda","non-dropping-particle":"","parse-names":false,"suffix":""},{"dropping-particle":"","family":"Baldwin","given":"Grant","non-dropping-particle":"","parse-names":false,"suffix":""},{"dropping-particle":"","family":"McCance-Katz","given":"Elinore","non-dropping-particle":"","parse-names":false,"suffix":""}],"container-title":"American Journal of Public Health","id":"ITEM-1","issue":"8","issued":{"date-parts":[["2015","8"]]},"page":"e55-e63","title":"National and State Treatment Need and Capacity for Opioid Agonist Medication-Assisted Treatment","type":"article-journal","volume":"105"},"uris":["http://www.mendeley.com/documents/?uuid=7a24d085-21bb-48ff-a4db-7e07ba64eb55"]}],"mendeley":{"formattedCitation":"&lt;sup&gt;1&lt;/sup&gt;","plainTextFormattedCitation":"1","previouslyFormattedCitation":"&lt;sup&gt;1&lt;/sup&gt;"},"properties":{"noteIndex":0},"schema":"https://github.com/citation-style-language/schema/raw/master/csl-citation.json"}</w:instrText>
            </w:r>
            <w:r w:rsidR="007626C5">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1</w:t>
            </w:r>
            <w:r w:rsidR="007626C5">
              <w:rPr>
                <w:rFonts w:ascii="Arial" w:hAnsi="Arial" w:cs="Arial"/>
                <w:sz w:val="20"/>
                <w:szCs w:val="20"/>
                <w:lang w:val="en-GB"/>
              </w:rPr>
              <w:fldChar w:fldCharType="end"/>
            </w:r>
            <w:r w:rsidR="007626C5">
              <w:rPr>
                <w:rFonts w:ascii="Arial" w:hAnsi="Arial" w:cs="Arial"/>
                <w:sz w:val="20"/>
                <w:szCs w:val="20"/>
                <w:lang w:val="en-GB"/>
              </w:rPr>
              <w:t xml:space="preserve"> </w:t>
            </w:r>
            <w:r w:rsidR="00B32A30">
              <w:rPr>
                <w:rFonts w:ascii="Arial" w:hAnsi="Arial" w:cs="Arial"/>
                <w:sz w:val="20"/>
                <w:szCs w:val="20"/>
                <w:lang w:val="en-GB"/>
              </w:rPr>
              <w:t xml:space="preserve">and </w:t>
            </w:r>
            <w:r w:rsidR="00F525B3">
              <w:rPr>
                <w:rFonts w:ascii="Arial" w:hAnsi="Arial" w:cs="Arial"/>
                <w:sz w:val="20"/>
                <w:szCs w:val="20"/>
                <w:lang w:val="en-GB"/>
              </w:rPr>
              <w:t>Stein et al. report 5,549</w:t>
            </w:r>
            <w:r>
              <w:rPr>
                <w:rFonts w:ascii="Arial" w:hAnsi="Arial" w:cs="Arial"/>
                <w:sz w:val="20"/>
                <w:szCs w:val="20"/>
                <w:lang w:val="en-GB"/>
              </w:rPr>
              <w:t>.</w:t>
            </w:r>
            <w:r w:rsidR="007626C5">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{"citationItems":[{"id":"ITEM-1","itemData":{"DOI":"10.1111/1468-0009.12137","ISSN":"0887378X","author":[{"dropping-particle":"","family":"Stein","given":"BRADLEY D.","non-dropping-particle":"","parse-names":false,"suffix":""},{"dropping-particle":"","family":"Pacula","given":"ROSALIE LICCARDO","non-dropping-particle":"","parse-names":false,"suffix":""},{"dropping-particle":"","family":"Gordon","given":"ADAM J.","non-dropping-particle":"","parse-names":false,"suffix":""},{"dropping-particle":"","family":"Burns","given":"RACHEL M.","non-dropping-particle":"","parse-names":false,"suffix":""},{"dropping-particle":"","family":"Leslie","given":"DOUGLAS L.","non-dropping-particle":"","parse-names":false,"suffix":""},{"dropping-particle":"","family":"Sorbero","given":"MARK J.","non-dropping-particle":"","parse-names":false,"suffix":""},{"dropping-particle":"","family":"Bauhoff","given":"SEBASTIAN","non-dropping-particle":"","parse-names":false,"suffix":""},{"dropping-particle":"","family":"Mandell","given":"TODD W.","non-dropping-particle":"","parse-names":false,"suffix":""},{"dropping-particle":"","family":"Dick","given":"ANDREW W.","non-dropping-particle":"","parse-names":false,"suffix":""}],"container-title":"Milbank Quarterly","id":"ITEM-1","issue":"3","issued":{"date-parts":[["2015","9","1"]]},"page":"561-583","publisher":"Wiley/Blackwell (10.1111)","title":"Where Is Buprenorphine Dispensed to Treat Opioid Use Disorders? The Role of Private Offices, Opioid Treatment Programs, and Substance Abuse Treatment Facilities in Urban and Rural Counties","type":"article-journal","volume":"93"},"uris":["http://www.mendeley.com/documents/?uuid=06d8a484-63cd-45b8-acd7-9dadd2563d9a"]}],"mendeley":{"formattedCitation":"&lt;sup&gt;2&lt;/sup&gt;","plainTextFormattedCitation":"2","previouslyFormattedCitation":"&lt;sup&gt;2&lt;/sup&gt;"},"properties":{"noteIndex":0},"schema":"https://github.com/citation-style-language/schema/raw/master/csl-citation.json"}</w:instrText>
            </w:r>
            <w:r w:rsidR="007626C5">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2</w:t>
            </w:r>
            <w:r w:rsidR="007626C5">
              <w:rPr>
                <w:rFonts w:ascii="Arial" w:hAnsi="Arial" w:cs="Arial"/>
                <w:sz w:val="20"/>
                <w:szCs w:val="20"/>
                <w:lang w:val="en-GB"/>
              </w:rPr>
              <w:fldChar w:fldCharType="end"/>
            </w:r>
          </w:p>
        </w:tc>
      </w:tr>
      <w:tr w:rsidR="00F525B3" w:rsidRPr="002F020B" w14:paraId="240C4722" w14:textId="77777777" w:rsidTr="00BD6273">
        <w:trPr>
          <w:trHeight w:val="17"/>
        </w:trPr>
        <w:tc>
          <w:tcPr>
            <w:tcW w:w="489" w:type="pct"/>
            <w:tcBorders>
              <w:top w:val="single" w:sz="4" w:space="0" w:color="auto"/>
              <w:bottom w:val="single" w:sz="4" w:space="0" w:color="auto"/>
            </w:tcBorders>
            <w:vAlign w:val="center"/>
          </w:tcPr>
          <w:p w14:paraId="18A7AF7F" w14:textId="2C2ADD1B" w:rsidR="00F525B3" w:rsidRPr="002F020B" w:rsidRDefault="00F525B3" w:rsidP="00BD6273">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2006</w:t>
            </w:r>
          </w:p>
        </w:tc>
        <w:tc>
          <w:tcPr>
            <w:tcW w:w="550" w:type="pct"/>
            <w:tcBorders>
              <w:top w:val="single" w:sz="4" w:space="0" w:color="auto"/>
              <w:bottom w:val="single" w:sz="4" w:space="0" w:color="auto"/>
            </w:tcBorders>
            <w:vAlign w:val="center"/>
          </w:tcPr>
          <w:p w14:paraId="32D8AF9A" w14:textId="21F146F5" w:rsidR="00F525B3" w:rsidRPr="002F020B" w:rsidRDefault="00F525B3" w:rsidP="00BD6273">
            <w:pPr>
              <w:spacing w:before="0" w:line="240" w:lineRule="auto"/>
              <w:rPr>
                <w:rFonts w:ascii="Arial" w:hAnsi="Arial" w:cs="Arial"/>
                <w:sz w:val="20"/>
                <w:szCs w:val="20"/>
                <w:lang w:val="en-GB"/>
              </w:rPr>
            </w:pPr>
            <w:r>
              <w:rPr>
                <w:rFonts w:ascii="Arial" w:hAnsi="Arial" w:cs="Arial"/>
                <w:sz w:val="20"/>
                <w:szCs w:val="20"/>
                <w:lang w:val="en-GB"/>
              </w:rPr>
              <w:t>8,556</w:t>
            </w:r>
          </w:p>
        </w:tc>
        <w:tc>
          <w:tcPr>
            <w:tcW w:w="3961" w:type="pct"/>
            <w:tcBorders>
              <w:top w:val="single" w:sz="4" w:space="0" w:color="auto"/>
              <w:bottom w:val="single" w:sz="4" w:space="0" w:color="auto"/>
            </w:tcBorders>
            <w:vAlign w:val="center"/>
          </w:tcPr>
          <w:p w14:paraId="65DB2AF8" w14:textId="164A4D9C" w:rsidR="00F525B3" w:rsidRPr="002F020B" w:rsidRDefault="00D37E2B" w:rsidP="00BD6273">
            <w:pPr>
              <w:spacing w:before="0" w:line="240" w:lineRule="auto"/>
              <w:rPr>
                <w:rFonts w:ascii="Arial" w:hAnsi="Arial" w:cs="Arial"/>
                <w:sz w:val="20"/>
                <w:szCs w:val="20"/>
                <w:lang w:val="en-GB"/>
              </w:rPr>
            </w:pPr>
            <w:r>
              <w:rPr>
                <w:rFonts w:ascii="Arial" w:hAnsi="Arial" w:cs="Arial"/>
                <w:sz w:val="20"/>
                <w:szCs w:val="20"/>
                <w:lang w:val="en-GB"/>
              </w:rPr>
              <w:t xml:space="preserve">The average of the following was used: </w:t>
            </w:r>
            <w:proofErr w:type="spellStart"/>
            <w:r w:rsidR="00F525B3">
              <w:rPr>
                <w:rFonts w:ascii="Arial" w:hAnsi="Arial" w:cs="Arial"/>
                <w:sz w:val="20"/>
                <w:szCs w:val="20"/>
                <w:lang w:val="en-GB"/>
              </w:rPr>
              <w:t>Fiellin</w:t>
            </w:r>
            <w:proofErr w:type="spellEnd"/>
            <w:r w:rsidR="00F525B3">
              <w:rPr>
                <w:rFonts w:ascii="Arial" w:hAnsi="Arial" w:cs="Arial"/>
                <w:sz w:val="20"/>
                <w:szCs w:val="20"/>
                <w:lang w:val="en-GB"/>
              </w:rPr>
              <w:t xml:space="preserve"> et al. report 9,449</w:t>
            </w:r>
            <w:r w:rsidR="007626C5">
              <w:rPr>
                <w:rFonts w:ascii="Arial" w:hAnsi="Arial" w:cs="Arial"/>
                <w:sz w:val="20"/>
                <w:szCs w:val="20"/>
                <w:lang w:val="en-GB"/>
              </w:rPr>
              <w:t>,</w:t>
            </w:r>
            <w:r w:rsidR="007626C5">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{"citationItems":[{"id":"ITEM-1","itemData":{"DOI":"10.1097/ADM.0b013e3180473c11","ISSN":"1932-0620","abstract":"Buprenorphine, primarily as the buprenorphine/naloxone combination, has been available in the United States for office and specialty treatment program-based care since 2003. The existing evidence, collected primarily from federal sources, indicates that access to this type of treatment has expanded, that more than 50% of the 12,000 physicians able to provide this care are not addiction specialists, that buprenorphine diversion is low, that physician scrutiny by federal agents is infrequent, and among those receiving treatment patient acceptance is high. Implementation has been slowed because of physician training and support needs, reimbursement, and limits on the number of patients each physician can treat. As a result there are geographic variations in access and unmet treatment needs. The United States Congress has moved twice to loosen numerical limitations, now allowing each physician to treat up to 100 patients. Future research and evaluation are needed to ensure that opioid-dependent patients receive optimal care with buprenorphine. © 2007 American Society of Addiction Medicine.","author":[{"dropping-particle":"","family":"Fiellin","given":"David A.","non-dropping-particle":"","parse-names":false,"suffix":""}],"container-title":"Journal of Addiction Medicine","id":"ITEM-1","issue":"2","issued":{"date-parts":[["2007","6"]]},"page":"62-67","publisher":"J Addict Med","title":"The First Three Years of Buprenorphine in the United States: Experience to Date and Future Directions","type":"article-journal","volume":"1"},"uris":["http://www.mendeley.com/documents/?uuid=11d5ab9d-b255-48a8-ae55-38093a0b3cae"]}],"mendeley":{"formattedCitation":"&lt;sup&gt;3&lt;/sup&gt;","plainTextFormattedCitation":"3","previouslyFormattedCitation":"&lt;sup&gt;3&lt;/sup&gt;"},"properties":{"noteIndex":0},"schema":"https://github.com/citation-style-language/schema/raw/master/csl-citation.json"}</w:instrText>
            </w:r>
            <w:r w:rsidR="007626C5">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3</w:t>
            </w:r>
            <w:r w:rsidR="007626C5">
              <w:rPr>
                <w:rFonts w:ascii="Arial" w:hAnsi="Arial" w:cs="Arial"/>
                <w:sz w:val="20"/>
                <w:szCs w:val="20"/>
                <w:lang w:val="en-GB"/>
              </w:rPr>
              <w:fldChar w:fldCharType="end"/>
            </w:r>
            <w:r w:rsidR="00F525B3">
              <w:rPr>
                <w:rFonts w:ascii="Arial" w:hAnsi="Arial" w:cs="Arial"/>
                <w:sz w:val="20"/>
                <w:szCs w:val="20"/>
                <w:lang w:val="en-GB"/>
              </w:rPr>
              <w:t xml:space="preserve"> </w:t>
            </w:r>
            <w:proofErr w:type="spellStart"/>
            <w:r w:rsidR="00F525B3">
              <w:rPr>
                <w:rFonts w:ascii="Arial" w:hAnsi="Arial" w:cs="Arial"/>
                <w:sz w:val="20"/>
                <w:szCs w:val="20"/>
                <w:lang w:val="en-GB"/>
              </w:rPr>
              <w:t>Arfken</w:t>
            </w:r>
            <w:proofErr w:type="spellEnd"/>
            <w:r w:rsidR="00F525B3">
              <w:rPr>
                <w:rFonts w:ascii="Arial" w:hAnsi="Arial" w:cs="Arial"/>
                <w:sz w:val="20"/>
                <w:szCs w:val="20"/>
                <w:lang w:val="en-GB"/>
              </w:rPr>
              <w:t xml:space="preserve"> et al. report 8,818</w:t>
            </w:r>
            <w:r w:rsidR="007626C5">
              <w:rPr>
                <w:rFonts w:ascii="Arial" w:hAnsi="Arial" w:cs="Arial"/>
                <w:sz w:val="20"/>
                <w:szCs w:val="20"/>
                <w:lang w:val="en-GB"/>
              </w:rPr>
              <w:t>,</w:t>
            </w:r>
            <w:r w:rsidR="007626C5">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{"citationItems":[{"id":"ITEM-1","itemData":{"DOI":"10.1016/j.jsat.2010.05.004","ISSN":"0740-5472","author":[{"dropping-particle":"","family":"Arfken","given":"Cynthia L","non-dropping-particle":"","parse-names":false,"suffix":""},{"dropping-particle":"","family":"Ph","given":"D","non-dropping-particle":"","parse-names":false,"suffix":""},{"dropping-particle":"","family":"Johanson","given":"Chris-ellyn","non-dropping-particle":"","parse-names":false,"suffix":""},{"dropping-particle":"","family":"Ph","given":"D","non-dropping-particle":"","parse-names":false,"suffix":""},{"dropping-particle":"","family":"Menza","given":"Salvatore","non-dropping-particle":"","parse-names":false,"suffix":""},{"dropping-particle":"","family":"S","given":"M","non-dropping-particle":"","parse-names":false,"suffix":""},{"dropping-particle":"","family":"Schuster","given":"Charles Roberts","non-dropping-particle":"","parse-names":false,"suffix":""},{"dropping-particle":"","family":"Ph","given":"D","non-dropping-particle":"","parse-names":false,"suffix":""}],"container-title":"Journal of Substance Abuse Treatment","id":"ITEM-1","issue":"2","issued":{"date-parts":[["2010"]]},"page":"96-104","publisher":"Elsevier Inc.","title":"Expanding treatment capacity for opioid dependence with office-based treatment with buprenorphine : National surveys of physicians","type":"article-journal","volume":"39"},"uris":["http://www.mendeley.com/documents/?uuid=0d0a901c-ae97-4ce9-97e2-f83562c8bd11"]}],"mendeley":{"formattedCitation":"&lt;sup&gt;4&lt;/sup&gt;","plainTextFormattedCitation":"4","previouslyFormattedCitation":"&lt;sup&gt;4&lt;/sup&gt;"},"properties":{"noteIndex":0},"schema":"https://github.com/citation-style-language/schema/raw/master/csl-citation.json"}</w:instrText>
            </w:r>
            <w:r w:rsidR="007626C5">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4</w:t>
            </w:r>
            <w:r w:rsidR="007626C5">
              <w:rPr>
                <w:rFonts w:ascii="Arial" w:hAnsi="Arial" w:cs="Arial"/>
                <w:sz w:val="20"/>
                <w:szCs w:val="20"/>
                <w:lang w:val="en-GB"/>
              </w:rPr>
              <w:fldChar w:fldCharType="end"/>
            </w:r>
            <w:r w:rsidR="007626C5">
              <w:rPr>
                <w:rFonts w:ascii="Arial" w:hAnsi="Arial" w:cs="Arial"/>
                <w:sz w:val="20"/>
                <w:szCs w:val="20"/>
                <w:lang w:val="en-GB"/>
              </w:rPr>
              <w:t xml:space="preserve"> </w:t>
            </w:r>
            <w:r w:rsidR="00F525B3">
              <w:rPr>
                <w:rFonts w:ascii="Arial" w:hAnsi="Arial" w:cs="Arial"/>
                <w:sz w:val="20"/>
                <w:szCs w:val="20"/>
                <w:lang w:val="en-GB"/>
              </w:rPr>
              <w:t>Stein et al. report 8,068</w:t>
            </w:r>
            <w:r w:rsidR="007626C5">
              <w:rPr>
                <w:rFonts w:ascii="Arial" w:hAnsi="Arial" w:cs="Arial"/>
                <w:sz w:val="20"/>
                <w:szCs w:val="20"/>
                <w:lang w:val="en-GB"/>
              </w:rPr>
              <w:t>,</w:t>
            </w:r>
            <w:r w:rsidR="00F525B3">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{"citationItems":[{"id":"ITEM-1","itemData":{"DOI":"10.1111/1468-0009.12137","ISSN":"0887378X","author":[{"dropping-particle":"","family":"Stein","given":"BRADLEY D.","non-dropping-particle":"","parse-names":false,"suffix":""},{"dropping-particle":"","family":"Pacula","given":"ROSALIE LICCARDO","non-dropping-particle":"","parse-names":false,"suffix":""},{"dropping-particle":"","family":"Gordon","given":"ADAM J.","non-dropping-particle":"","parse-names":false,"suffix":""},{"dropping-particle":"","family":"Burns","given":"RACHEL M.","non-dropping-particle":"","parse-names":false,"suffix":""},{"dropping-particle":"","family":"Leslie","given":"DOUGLAS L.","non-dropping-particle":"","parse-names":false,"suffix":""},{"dropping-particle":"","family":"Sorbero","given":"MARK J.","non-dropping-particle":"","parse-names":false,"suffix":""},{"dropping-particle":"","family":"Bauhoff","given":"SEBASTIAN","non-dropping-particle":"","parse-names":false,"suffix":""},{"dropping-particle":"","family":"Mandell","given":"TODD W.","non-dropping-particle":"","parse-names":false,"suffix":""},{"dropping-particle":"","family":"Dick","given":"ANDREW W.","non-dropping-particle":"","parse-names":false,"suffix":""}],"container-title":"Milbank Quarterly","id":"ITEM-1","issue":"3","issued":{"date-parts":[["2015","9","1"]]},"page":"561-583","publisher":"Wiley/Blackwell (10.1111)","title":"Where Is Buprenorphine Dispensed to Treat Opioid Use Disorders? The Role of Private Offices, Opioid Treatment Programs, and Substance Abuse Treatment Facilities in Urban and Rural Counties","type":"article-journal","volume":"93"},"uris":["http://www.mendeley.com/documents/?uuid=06d8a484-63cd-45b8-acd7-9dadd2563d9a"]}],"mendeley":{"formattedCitation":"&lt;sup&gt;2&lt;/sup&gt;","plainTextFormattedCitation":"2","previouslyFormattedCitation":"&lt;sup&gt;2&lt;/sup&gt;"},"properties":{"noteIndex":0},"schema":"https://github.com/citation-style-language/schema/raw/master/csl-citation.json"}</w:instrText>
            </w:r>
            <w:r w:rsidR="00F525B3">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2</w:t>
            </w:r>
            <w:r w:rsidR="00F525B3">
              <w:rPr>
                <w:rFonts w:ascii="Arial" w:hAnsi="Arial" w:cs="Arial"/>
                <w:sz w:val="20"/>
                <w:szCs w:val="20"/>
                <w:lang w:val="en-GB"/>
              </w:rPr>
              <w:fldChar w:fldCharType="end"/>
            </w:r>
            <w:r>
              <w:rPr>
                <w:rFonts w:ascii="Arial" w:hAnsi="Arial" w:cs="Arial"/>
                <w:sz w:val="20"/>
                <w:szCs w:val="20"/>
                <w:lang w:val="en-GB"/>
              </w:rPr>
              <w:t xml:space="preserve"> and</w:t>
            </w:r>
            <w:r w:rsidR="00F525B3">
              <w:rPr>
                <w:rFonts w:ascii="Arial" w:hAnsi="Arial" w:cs="Arial"/>
                <w:sz w:val="20"/>
                <w:szCs w:val="20"/>
                <w:lang w:val="en-GB"/>
              </w:rPr>
              <w:t xml:space="preserve"> Jones et al. report 7,887</w:t>
            </w:r>
            <w:r w:rsidR="007626C5">
              <w:rPr>
                <w:rFonts w:ascii="Arial" w:hAnsi="Arial" w:cs="Arial"/>
                <w:sz w:val="20"/>
                <w:szCs w:val="20"/>
                <w:lang w:val="en-GB"/>
              </w:rPr>
              <w:t>.</w:t>
            </w:r>
            <w:r w:rsidR="00F525B3">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{"citationItems":[{"id":"ITEM-1","itemData":{"DOI":"10.2105/AJPH.2015.302664","ISSN":"0090-0036","author":[{"dropping-particle":"","family":"Jones","given":"Christopher M","non-dropping-particle":"","parse-names":false,"suffix":""},{"dropping-particle":"","family":"Campopiano","given":"Melinda","non-dropping-particle":"","parse-names":false,"suffix":""},{"dropping-particle":"","family":"Baldwin","given":"Grant","non-dropping-particle":"","parse-names":false,"suffix":""},{"dropping-particle":"","family":"McCance-Katz","given":"Elinore","non-dropping-particle":"","parse-names":false,"suffix":""}],"container-title":"American Journal of Public Health","id":"ITEM-1","issue":"8","issued":{"date-parts":[["2015","8"]]},"page":"e55-e63","title":"National and State Treatment Need and Capacity for Opioid Agonist Medication-Assisted Treatment","type":"article-journal","volume":"105"},"uris":["http://www.mendeley.com/documents/?uuid=7a24d085-21bb-48ff-a4db-7e07ba64eb55"]}],"mendeley":{"formattedCitation":"&lt;sup&gt;1&lt;/sup&gt;","plainTextFormattedCitation":"1","previouslyFormattedCitation":"&lt;sup&gt;1&lt;/sup&gt;"},"properties":{"noteIndex":0},"schema":"https://github.com/citation-style-language/schema/raw/master/csl-citation.json"}</w:instrText>
            </w:r>
            <w:r w:rsidR="00F525B3">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1</w:t>
            </w:r>
            <w:r w:rsidR="00F525B3">
              <w:rPr>
                <w:rFonts w:ascii="Arial" w:hAnsi="Arial" w:cs="Arial"/>
                <w:sz w:val="20"/>
                <w:szCs w:val="20"/>
                <w:lang w:val="en-GB"/>
              </w:rPr>
              <w:fldChar w:fldCharType="end"/>
            </w:r>
          </w:p>
        </w:tc>
      </w:tr>
      <w:tr w:rsidR="00F525B3" w:rsidRPr="002F020B" w14:paraId="080179DC" w14:textId="77777777" w:rsidTr="00BD6273">
        <w:trPr>
          <w:trHeight w:val="17"/>
        </w:trPr>
        <w:tc>
          <w:tcPr>
            <w:tcW w:w="489" w:type="pct"/>
            <w:tcBorders>
              <w:top w:val="single" w:sz="4" w:space="0" w:color="auto"/>
              <w:bottom w:val="single" w:sz="4" w:space="0" w:color="auto"/>
            </w:tcBorders>
            <w:vAlign w:val="center"/>
          </w:tcPr>
          <w:p w14:paraId="05EA05BA" w14:textId="2FA1F6DF" w:rsidR="00F525B3" w:rsidRPr="002F020B" w:rsidRDefault="00F525B3" w:rsidP="00BD6273">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2007</w:t>
            </w:r>
          </w:p>
        </w:tc>
        <w:tc>
          <w:tcPr>
            <w:tcW w:w="550" w:type="pct"/>
            <w:tcBorders>
              <w:top w:val="single" w:sz="4" w:space="0" w:color="auto"/>
              <w:bottom w:val="single" w:sz="4" w:space="0" w:color="auto"/>
            </w:tcBorders>
            <w:vAlign w:val="center"/>
          </w:tcPr>
          <w:p w14:paraId="667FAFFC" w14:textId="7351A33C" w:rsidR="00F525B3" w:rsidRPr="002F020B" w:rsidRDefault="00F525B3" w:rsidP="00BD6273">
            <w:pPr>
              <w:spacing w:before="0" w:line="240" w:lineRule="auto"/>
              <w:rPr>
                <w:rFonts w:ascii="Arial" w:hAnsi="Arial" w:cs="Arial"/>
                <w:sz w:val="20"/>
                <w:szCs w:val="20"/>
                <w:lang w:val="en-GB"/>
              </w:rPr>
            </w:pPr>
            <w:r>
              <w:rPr>
                <w:rFonts w:ascii="Arial" w:hAnsi="Arial" w:cs="Arial"/>
                <w:sz w:val="20"/>
                <w:szCs w:val="20"/>
                <w:lang w:val="en-GB"/>
              </w:rPr>
              <w:t>10,637</w:t>
            </w:r>
          </w:p>
        </w:tc>
        <w:tc>
          <w:tcPr>
            <w:tcW w:w="3961" w:type="pct"/>
            <w:tcBorders>
              <w:top w:val="single" w:sz="4" w:space="0" w:color="auto"/>
              <w:bottom w:val="single" w:sz="4" w:space="0" w:color="auto"/>
            </w:tcBorders>
            <w:vAlign w:val="center"/>
          </w:tcPr>
          <w:p w14:paraId="244F0F0F" w14:textId="7B76B716" w:rsidR="00F525B3" w:rsidRPr="002F020B" w:rsidRDefault="00D37E2B" w:rsidP="00BD6273">
            <w:pPr>
              <w:spacing w:before="0" w:line="240" w:lineRule="auto"/>
              <w:rPr>
                <w:rFonts w:ascii="Arial" w:hAnsi="Arial" w:cs="Arial"/>
                <w:sz w:val="20"/>
                <w:szCs w:val="20"/>
                <w:lang w:val="en-GB"/>
              </w:rPr>
            </w:pPr>
            <w:r>
              <w:rPr>
                <w:rFonts w:ascii="Arial" w:hAnsi="Arial" w:cs="Arial"/>
                <w:sz w:val="20"/>
                <w:szCs w:val="20"/>
                <w:lang w:val="en-GB"/>
              </w:rPr>
              <w:t xml:space="preserve">The average of the following was used: </w:t>
            </w:r>
            <w:r w:rsidR="001E1804">
              <w:rPr>
                <w:rFonts w:ascii="Arial" w:hAnsi="Arial" w:cs="Arial"/>
                <w:sz w:val="20"/>
                <w:szCs w:val="20"/>
                <w:lang w:val="en-GB"/>
              </w:rPr>
              <w:t>Jones et al. report 10,503</w:t>
            </w:r>
            <w:r w:rsidR="007626C5">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{"citationItems":[{"id":"ITEM-1","itemData":{"DOI":"10.2105/AJPH.2015.302664","ISSN":"0090-0036","author":[{"dropping-particle":"","family":"Jones","given":"Christopher M","non-dropping-particle":"","parse-names":false,"suffix":""},{"dropping-particle":"","family":"Campopiano","given":"Melinda","non-dropping-particle":"","parse-names":false,"suffix":""},{"dropping-particle":"","family":"Baldwin","given":"Grant","non-dropping-particle":"","parse-names":false,"suffix":""},{"dropping-particle":"","family":"McCance-Katz","given":"Elinore","non-dropping-particle":"","parse-names":false,"suffix":""}],"container-title":"American Journal of Public Health","id":"ITEM-1","issue":"8","issued":{"date-parts":[["2015","8"]]},"page":"e55-e63","title":"National and State Treatment Need and Capacity for Opioid Agonist Medication-Assisted Treatment","type":"article-journal","volume":"105"},"uris":["http://www.mendeley.com/documents/?uuid=7a24d085-21bb-48ff-a4db-7e07ba64eb55"]}],"mendeley":{"formattedCitation":"&lt;sup&gt;1&lt;/sup&gt;","plainTextFormattedCitation":"1","previouslyFormattedCitation":"&lt;sup&gt;1&lt;/sup&gt;"},"properties":{"noteIndex":0},"schema":"https://github.com/citation-style-language/schema/raw/master/csl-citation.json"}</w:instrText>
            </w:r>
            <w:r w:rsidR="007626C5">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1</w:t>
            </w:r>
            <w:r w:rsidR="007626C5">
              <w:rPr>
                <w:rFonts w:ascii="Arial" w:hAnsi="Arial" w:cs="Arial"/>
                <w:sz w:val="20"/>
                <w:szCs w:val="20"/>
                <w:lang w:val="en-GB"/>
              </w:rPr>
              <w:fldChar w:fldCharType="end"/>
            </w:r>
            <w:r w:rsidR="00A97B11">
              <w:rPr>
                <w:rFonts w:ascii="Arial" w:hAnsi="Arial" w:cs="Arial"/>
                <w:sz w:val="20"/>
                <w:szCs w:val="20"/>
                <w:lang w:val="en-GB"/>
              </w:rPr>
              <w:t xml:space="preserve"> and</w:t>
            </w:r>
            <w:r w:rsidR="001E1804">
              <w:rPr>
                <w:rFonts w:ascii="Arial" w:hAnsi="Arial" w:cs="Arial"/>
                <w:sz w:val="20"/>
                <w:szCs w:val="20"/>
                <w:lang w:val="en-GB"/>
              </w:rPr>
              <w:t xml:space="preserve"> </w:t>
            </w:r>
            <w:r w:rsidR="00872E78">
              <w:rPr>
                <w:rFonts w:ascii="Arial" w:hAnsi="Arial" w:cs="Arial"/>
                <w:sz w:val="20"/>
                <w:szCs w:val="20"/>
                <w:lang w:val="en-GB"/>
              </w:rPr>
              <w:t>Stein et al. report 10,771</w:t>
            </w:r>
            <w:r w:rsidR="00A97B11">
              <w:rPr>
                <w:rFonts w:ascii="Arial" w:hAnsi="Arial" w:cs="Arial"/>
                <w:sz w:val="20"/>
                <w:szCs w:val="20"/>
                <w:lang w:val="en-GB"/>
              </w:rPr>
              <w:t>.</w:t>
            </w:r>
            <w:r w:rsidR="00A97B11">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{"citationItems":[{"id":"ITEM-1","itemData":{"DOI":"10.1111/1468-0009.12137","ISSN":"0887378X","author":[{"dropping-particle":"","family":"Stein","given":"BRADLEY D.","non-dropping-particle":"","parse-names":false,"suffix":""},{"dropping-particle":"","family":"Pacula","given":"ROSALIE LICCARDO","non-dropping-particle":"","parse-names":false,"suffix":""},{"dropping-particle":"","family":"Gordon","given":"ADAM J.","non-dropping-particle":"","parse-names":false,"suffix":""},{"dropping-particle":"","family":"Burns","given":"RACHEL M.","non-dropping-particle":"","parse-names":false,"suffix":""},{"dropping-particle":"","family":"Leslie","given":"DOUGLAS L.","non-dropping-particle":"","parse-names":false,"suffix":""},{"dropping-particle":"","family":"Sorbero","given":"MARK J.","non-dropping-particle":"","parse-names":false,"suffix":""},{"dropping-particle":"","family":"Bauhoff","given":"SEBASTIAN","non-dropping-particle":"","parse-names":false,"suffix":""},{"dropping-particle":"","family":"Mandell","given":"TODD W.","non-dropping-particle":"","parse-names":false,"suffix":""},{"dropping-particle":"","family":"Dick","given":"ANDREW W.","non-dropping-particle":"","parse-names":false,"suffix":""}],"container-title":"Milbank Quarterly","id":"ITEM-1","issue":"3","issued":{"date-parts":[["2015","9","1"]]},"page":"561-583","publisher":"Wiley/Blackwell (10.1111)","title":"Where Is Buprenorphine Dispensed to Treat Opioid Use Disorders? The Role of Private Offices, Opioid Treatment Programs, and Substance Abuse Treatment Facilities in Urban and Rural Counties","type":"article-journal","volume":"93"},"uris":["http://www.mendeley.com/documents/?uuid=06d8a484-63cd-45b8-acd7-9dadd2563d9a"]}],"mendeley":{"formattedCitation":"&lt;sup&gt;2&lt;/sup&gt;","plainTextFormattedCitation":"2","previouslyFormattedCitation":"&lt;sup&gt;2&lt;/sup&gt;"},"properties":{"noteIndex":0},"schema":"https://github.com/citation-style-language/schema/raw/master/csl-citation.json"}</w:instrText>
            </w:r>
            <w:r w:rsidR="00A97B11">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2</w:t>
            </w:r>
            <w:r w:rsidR="00A97B11">
              <w:rPr>
                <w:rFonts w:ascii="Arial" w:hAnsi="Arial" w:cs="Arial"/>
                <w:sz w:val="20"/>
                <w:szCs w:val="20"/>
                <w:lang w:val="en-GB"/>
              </w:rPr>
              <w:fldChar w:fldCharType="end"/>
            </w:r>
            <w:r w:rsidR="001E1804">
              <w:rPr>
                <w:rFonts w:ascii="Arial" w:hAnsi="Arial" w:cs="Arial"/>
                <w:sz w:val="20"/>
                <w:szCs w:val="20"/>
                <w:lang w:val="en-GB"/>
              </w:rPr>
              <w:t xml:space="preserve"> </w:t>
            </w:r>
          </w:p>
        </w:tc>
      </w:tr>
      <w:tr w:rsidR="00F525B3" w:rsidRPr="002F020B" w14:paraId="5A4B5A77" w14:textId="77777777" w:rsidTr="00BD6273">
        <w:trPr>
          <w:trHeight w:val="17"/>
        </w:trPr>
        <w:tc>
          <w:tcPr>
            <w:tcW w:w="489" w:type="pct"/>
            <w:tcBorders>
              <w:top w:val="single" w:sz="4" w:space="0" w:color="auto"/>
              <w:bottom w:val="single" w:sz="4" w:space="0" w:color="auto"/>
            </w:tcBorders>
            <w:vAlign w:val="center"/>
          </w:tcPr>
          <w:p w14:paraId="08BAA858" w14:textId="6DD95C66" w:rsidR="00F525B3" w:rsidRPr="002F020B" w:rsidRDefault="00F525B3" w:rsidP="00BD6273">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2008</w:t>
            </w:r>
          </w:p>
        </w:tc>
        <w:tc>
          <w:tcPr>
            <w:tcW w:w="550" w:type="pct"/>
            <w:tcBorders>
              <w:top w:val="single" w:sz="4" w:space="0" w:color="auto"/>
              <w:bottom w:val="single" w:sz="4" w:space="0" w:color="auto"/>
            </w:tcBorders>
            <w:vAlign w:val="center"/>
          </w:tcPr>
          <w:p w14:paraId="37C10CE4" w14:textId="61E5ACE5" w:rsidR="00F525B3" w:rsidRPr="002F020B" w:rsidRDefault="00F525B3" w:rsidP="00BD6273">
            <w:pPr>
              <w:spacing w:before="0" w:line="240" w:lineRule="auto"/>
              <w:rPr>
                <w:rFonts w:ascii="Arial" w:hAnsi="Arial" w:cs="Arial"/>
                <w:sz w:val="20"/>
                <w:szCs w:val="20"/>
                <w:lang w:val="en-GB"/>
              </w:rPr>
            </w:pPr>
            <w:r>
              <w:rPr>
                <w:rFonts w:ascii="Arial" w:hAnsi="Arial" w:cs="Arial"/>
                <w:sz w:val="20"/>
                <w:szCs w:val="20"/>
                <w:lang w:val="en-GB"/>
              </w:rPr>
              <w:t>14,365</w:t>
            </w:r>
          </w:p>
        </w:tc>
        <w:tc>
          <w:tcPr>
            <w:tcW w:w="3961" w:type="pct"/>
            <w:tcBorders>
              <w:top w:val="single" w:sz="4" w:space="0" w:color="auto"/>
              <w:bottom w:val="single" w:sz="4" w:space="0" w:color="auto"/>
            </w:tcBorders>
            <w:vAlign w:val="center"/>
          </w:tcPr>
          <w:p w14:paraId="4A77357A" w14:textId="67371BDF" w:rsidR="00F525B3" w:rsidRPr="002F020B" w:rsidRDefault="003B5ACB" w:rsidP="00BD6273">
            <w:pPr>
              <w:spacing w:before="0" w:line="240" w:lineRule="auto"/>
              <w:rPr>
                <w:rFonts w:ascii="Arial" w:hAnsi="Arial" w:cs="Arial"/>
                <w:sz w:val="20"/>
                <w:szCs w:val="20"/>
                <w:lang w:val="en-GB"/>
              </w:rPr>
            </w:pPr>
            <w:r>
              <w:rPr>
                <w:rFonts w:ascii="Arial" w:hAnsi="Arial" w:cs="Arial"/>
                <w:sz w:val="20"/>
                <w:szCs w:val="20"/>
                <w:lang w:val="en-GB"/>
              </w:rPr>
              <w:t>The average of the following was used:</w:t>
            </w:r>
            <w:r w:rsidR="000F0367">
              <w:rPr>
                <w:rFonts w:ascii="Arial" w:hAnsi="Arial" w:cs="Arial"/>
                <w:sz w:val="20"/>
                <w:szCs w:val="20"/>
                <w:lang w:val="en-GB"/>
              </w:rPr>
              <w:t xml:space="preserve"> </w:t>
            </w:r>
            <w:proofErr w:type="spellStart"/>
            <w:r w:rsidR="000F0367">
              <w:rPr>
                <w:rFonts w:ascii="Arial" w:hAnsi="Arial" w:cs="Arial"/>
                <w:sz w:val="20"/>
                <w:szCs w:val="20"/>
                <w:lang w:val="en-GB"/>
              </w:rPr>
              <w:t>Arfken</w:t>
            </w:r>
            <w:proofErr w:type="spellEnd"/>
            <w:r w:rsidR="000F0367">
              <w:rPr>
                <w:rFonts w:ascii="Arial" w:hAnsi="Arial" w:cs="Arial"/>
                <w:sz w:val="20"/>
                <w:szCs w:val="20"/>
                <w:lang w:val="en-GB"/>
              </w:rPr>
              <w:t xml:space="preserve"> et al. report 15,662</w:t>
            </w:r>
            <w:r w:rsidR="007626C5">
              <w:rPr>
                <w:rFonts w:ascii="Arial" w:hAnsi="Arial" w:cs="Arial"/>
                <w:sz w:val="20"/>
                <w:szCs w:val="20"/>
                <w:lang w:val="en-GB"/>
              </w:rPr>
              <w:t>,</w:t>
            </w:r>
            <w:r w:rsidR="007626C5">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{"citationItems":[{"id":"ITEM-1","itemData":{"DOI":"10.1016/j.jsat.2010.05.004","ISSN":"0740-5472","author":[{"dropping-particle":"","family":"Arfken","given":"Cynthia L","non-dropping-particle":"","parse-names":false,"suffix":""},{"dropping-particle":"","family":"Ph","given":"D","non-dropping-particle":"","parse-names":false,"suffix":""},{"dropping-particle":"","family":"Johanson","given":"Chris-ellyn","non-dropping-particle":"","parse-names":false,"suffix":""},{"dropping-particle":"","family":"Ph","given":"D","non-dropping-particle":"","parse-names":false,"suffix":""},{"dropping-particle":"","family":"Menza","given":"Salvatore","non-dropping-particle":"","parse-names":false,"suffix":""},{"dropping-particle":"","family":"S","given":"M","non-dropping-particle":"","parse-names":false,"suffix":""},{"dropping-particle":"","family":"Schuster","given":"Charles Roberts","non-dropping-particle":"","parse-names":false,"suffix":""},{"dropping-particle":"","family":"Ph","given":"D","non-dropping-particle":"","parse-names":false,"suffix":""}],"container-title":"Journal of Substance Abuse Treatment","id":"ITEM-1","issue":"2","issued":{"date-parts":[["2010"]]},"page":"96-104","publisher":"Elsevier Inc.","title":"Expanding treatment capacity for opioid dependence with office-based treatment with buprenorphine : National surveys of physicians","type":"article-journal","volume":"39"},"uris":["http://www.mendeley.com/documents/?uuid=0d0a901c-ae97-4ce9-97e2-f83562c8bd11"]}],"mendeley":{"formattedCitation":"&lt;sup&gt;4&lt;/sup&gt;","plainTextFormattedCitation":"4","previouslyFormattedCitation":"&lt;sup&gt;4&lt;/sup&gt;"},"properties":{"noteIndex":0},"schema":"https://github.com/citation-style-language/schema/raw/master/csl-citation.json"}</w:instrText>
            </w:r>
            <w:r w:rsidR="007626C5">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4</w:t>
            </w:r>
            <w:r w:rsidR="007626C5">
              <w:rPr>
                <w:rFonts w:ascii="Arial" w:hAnsi="Arial" w:cs="Arial"/>
                <w:sz w:val="20"/>
                <w:szCs w:val="20"/>
                <w:lang w:val="en-GB"/>
              </w:rPr>
              <w:fldChar w:fldCharType="end"/>
            </w:r>
            <w:r w:rsidR="007626C5">
              <w:rPr>
                <w:rFonts w:ascii="Arial" w:hAnsi="Arial" w:cs="Arial"/>
                <w:sz w:val="20"/>
                <w:szCs w:val="20"/>
                <w:lang w:val="en-GB"/>
              </w:rPr>
              <w:t xml:space="preserve"> Jones et al. report 13,538,</w:t>
            </w:r>
            <w:r w:rsidR="007626C5">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{"citationItems":[{"id":"ITEM-1","itemData":{"DOI":"10.2105/AJPH.2015.302664","ISSN":"0090-0036","author":[{"dropping-particle":"","family":"Jones","given":"Christopher M","non-dropping-particle":"","parse-names":false,"suffix":""},{"dropping-particle":"","family":"Campopiano","given":"Melinda","non-dropping-particle":"","parse-names":false,"suffix":""},{"dropping-particle":"","family":"Baldwin","given":"Grant","non-dropping-particle":"","parse-names":false,"suffix":""},{"dropping-particle":"","family":"McCance-Katz","given":"Elinore","non-dropping-particle":"","parse-names":false,"suffix":""}],"container-title":"American Journal of Public Health","id":"ITEM-1","issue":"8","issued":{"date-parts":[["2015","8"]]},"page":"e55-e63","title":"National and State Treatment Need and Capacity for Opioid Agonist Medication-Assisted Treatment","type":"article-journal","volume":"105"},"uris":["http://www.mendeley.com/documents/?uuid=7a24d085-21bb-48ff-a4db-7e07ba64eb55"]}],"mendeley":{"formattedCitation":"&lt;sup&gt;1&lt;/sup&gt;","plainTextFormattedCitation":"1","previouslyFormattedCitation":"&lt;sup&gt;1&lt;/sup&gt;"},"properties":{"noteIndex":0},"schema":"https://github.com/citation-style-language/schema/raw/master/csl-citation.json"}</w:instrText>
            </w:r>
            <w:r w:rsidR="007626C5">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1</w:t>
            </w:r>
            <w:r w:rsidR="007626C5">
              <w:rPr>
                <w:rFonts w:ascii="Arial" w:hAnsi="Arial" w:cs="Arial"/>
                <w:sz w:val="20"/>
                <w:szCs w:val="20"/>
                <w:lang w:val="en-GB"/>
              </w:rPr>
              <w:fldChar w:fldCharType="end"/>
            </w:r>
            <w:r w:rsidR="007626C5">
              <w:rPr>
                <w:rFonts w:ascii="Arial" w:hAnsi="Arial" w:cs="Arial"/>
                <w:sz w:val="20"/>
                <w:szCs w:val="20"/>
                <w:lang w:val="en-GB"/>
              </w:rPr>
              <w:t xml:space="preserve"> Stein et al. report 13,896.</w:t>
            </w:r>
            <w:r w:rsidR="007626C5">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{"citationItems":[{"id":"ITEM-1","itemData":{"DOI":"10.1111/1468-0009.12137","ISSN":"0887378X","author":[{"dropping-particle":"","family":"Stein","given":"BRADLEY D.","non-dropping-particle":"","parse-names":false,"suffix":""},{"dropping-particle":"","family":"Pacula","given":"ROSALIE LICCARDO","non-dropping-particle":"","parse-names":false,"suffix":""},{"dropping-particle":"","family":"Gordon","given":"ADAM J.","non-dropping-particle":"","parse-names":false,"suffix":""},{"dropping-particle":"","family":"Burns","given":"RACHEL M.","non-dropping-particle":"","parse-names":false,"suffix":""},{"dropping-particle":"","family":"Leslie","given":"DOUGLAS L.","non-dropping-particle":"","parse-names":false,"suffix":""},{"dropping-particle":"","family":"Sorbero","given":"MARK J.","non-dropping-particle":"","parse-names":false,"suffix":""},{"dropping-particle":"","family":"Bauhoff","given":"SEBASTIAN","non-dropping-particle":"","parse-names":false,"suffix":""},{"dropping-particle":"","family":"Mandell","given":"TODD W.","non-dropping-particle":"","parse-names":false,"suffix":""},{"dropping-particle":"","family":"Dick","given":"ANDREW W.","non-dropping-particle":"","parse-names":false,"suffix":""}],"container-title":"Milbank Quarterly","id":"ITEM-1","issue":"3","issued":{"date-parts":[["2015","9","1"]]},"page":"561-583","publisher":"Wiley/Blackwell (10.1111)","title":"Where Is Buprenorphine Dispensed to Treat Opioid Use Disorders? The Role of Private Offices, Opioid Treatment Programs, and Substance Abuse Treatment Facilities in Urban and Rural Counties","type":"article-journal","volume":"93"},"uris":["http://www.mendeley.com/documents/?uuid=06d8a484-63cd-45b8-acd7-9dadd2563d9a"]}],"mendeley":{"formattedCitation":"&lt;sup&gt;2&lt;/sup&gt;","plainTextFormattedCitation":"2","previouslyFormattedCitation":"&lt;sup&gt;2&lt;/sup&gt;"},"properties":{"noteIndex":0},"schema":"https://github.com/citation-style-language/schema/raw/master/csl-citation.json"}</w:instrText>
            </w:r>
            <w:r w:rsidR="007626C5">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2</w:t>
            </w:r>
            <w:r w:rsidR="007626C5">
              <w:rPr>
                <w:rFonts w:ascii="Arial" w:hAnsi="Arial" w:cs="Arial"/>
                <w:sz w:val="20"/>
                <w:szCs w:val="20"/>
                <w:lang w:val="en-GB"/>
              </w:rPr>
              <w:fldChar w:fldCharType="end"/>
            </w:r>
          </w:p>
        </w:tc>
      </w:tr>
      <w:tr w:rsidR="00F525B3" w:rsidRPr="002F020B" w14:paraId="28245B6F" w14:textId="77777777" w:rsidTr="00BD6273">
        <w:trPr>
          <w:trHeight w:val="17"/>
        </w:trPr>
        <w:tc>
          <w:tcPr>
            <w:tcW w:w="489" w:type="pct"/>
            <w:tcBorders>
              <w:top w:val="single" w:sz="4" w:space="0" w:color="auto"/>
              <w:bottom w:val="single" w:sz="4" w:space="0" w:color="auto"/>
            </w:tcBorders>
            <w:vAlign w:val="center"/>
          </w:tcPr>
          <w:p w14:paraId="7D842B5D" w14:textId="59F4EE2C" w:rsidR="00F525B3" w:rsidRPr="002F020B" w:rsidRDefault="00F525B3" w:rsidP="00BD6273">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2009</w:t>
            </w:r>
          </w:p>
        </w:tc>
        <w:tc>
          <w:tcPr>
            <w:tcW w:w="550" w:type="pct"/>
            <w:tcBorders>
              <w:top w:val="single" w:sz="4" w:space="0" w:color="auto"/>
              <w:bottom w:val="single" w:sz="4" w:space="0" w:color="auto"/>
            </w:tcBorders>
            <w:vAlign w:val="center"/>
          </w:tcPr>
          <w:p w14:paraId="134616F9" w14:textId="000227DE" w:rsidR="00F525B3" w:rsidRPr="002F020B" w:rsidRDefault="00F525B3" w:rsidP="00BD6273">
            <w:pPr>
              <w:spacing w:before="0" w:line="240" w:lineRule="auto"/>
              <w:rPr>
                <w:rFonts w:ascii="Arial" w:hAnsi="Arial" w:cs="Arial"/>
                <w:sz w:val="20"/>
                <w:szCs w:val="20"/>
                <w:lang w:val="en-GB"/>
              </w:rPr>
            </w:pPr>
            <w:r>
              <w:rPr>
                <w:rFonts w:ascii="Arial" w:hAnsi="Arial" w:cs="Arial"/>
                <w:sz w:val="20"/>
                <w:szCs w:val="20"/>
                <w:lang w:val="en-GB"/>
              </w:rPr>
              <w:t>15,818</w:t>
            </w:r>
          </w:p>
        </w:tc>
        <w:tc>
          <w:tcPr>
            <w:tcW w:w="3961" w:type="pct"/>
            <w:tcBorders>
              <w:top w:val="single" w:sz="4" w:space="0" w:color="auto"/>
              <w:bottom w:val="single" w:sz="4" w:space="0" w:color="auto"/>
            </w:tcBorders>
            <w:vAlign w:val="center"/>
          </w:tcPr>
          <w:p w14:paraId="28A6F57C" w14:textId="23EA977A" w:rsidR="00F525B3" w:rsidRPr="002F020B" w:rsidRDefault="00845887" w:rsidP="00BD6273">
            <w:pPr>
              <w:spacing w:before="0" w:line="240" w:lineRule="auto"/>
              <w:rPr>
                <w:rFonts w:ascii="Arial" w:hAnsi="Arial" w:cs="Arial"/>
                <w:sz w:val="20"/>
                <w:szCs w:val="20"/>
                <w:lang w:val="en-GB"/>
              </w:rPr>
            </w:pPr>
            <w:r>
              <w:rPr>
                <w:rFonts w:ascii="Arial" w:hAnsi="Arial" w:cs="Arial"/>
                <w:sz w:val="20"/>
                <w:szCs w:val="20"/>
                <w:lang w:val="en-GB"/>
              </w:rPr>
              <w:t>The average of the following was used: Jones et al. report 15,608</w:t>
            </w:r>
            <w:r>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{"citationItems":[{"id":"ITEM-1","itemData":{"DOI":"10.2105/AJPH.2015.302664","ISSN":"0090-0036","author":[{"dropping-particle":"","family":"Jones","given":"Christopher M","non-dropping-particle":"","parse-names":false,"suffix":""},{"dropping-particle":"","family":"Campopiano","given":"Melinda","non-dropping-particle":"","parse-names":false,"suffix":""},{"dropping-particle":"","family":"Baldwin","given":"Grant","non-dropping-particle":"","parse-names":false,"suffix":""},{"dropping-particle":"","family":"McCance-Katz","given":"Elinore","non-dropping-particle":"","parse-names":false,"suffix":""}],"container-title":"American Journal of Public Health","id":"ITEM-1","issue":"8","issued":{"date-parts":[["2015","8"]]},"page":"e55-e63","title":"National and State Treatment Need and Capacity for Opioid Agonist Medication-Assisted Treatment","type":"article-journal","volume":"105"},"uris":["http://www.mendeley.com/documents/?uuid=7a24d085-21bb-48ff-a4db-7e07ba64eb55"]}],"mendeley":{"formattedCitation":"&lt;sup&gt;1&lt;/sup&gt;","plainTextFormattedCitation":"1","previouslyFormattedCitation":"&lt;sup&gt;1&lt;/sup&gt;"},"properties":{"noteIndex":0},"schema":"https://github.com/citation-style-language/schema/raw/master/csl-citation.json"}</w:instrText>
            </w:r>
            <w:r>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1</w:t>
            </w:r>
            <w:r>
              <w:rPr>
                <w:rFonts w:ascii="Arial" w:hAnsi="Arial" w:cs="Arial"/>
                <w:sz w:val="20"/>
                <w:szCs w:val="20"/>
                <w:lang w:val="en-GB"/>
              </w:rPr>
              <w:fldChar w:fldCharType="end"/>
            </w:r>
            <w:r>
              <w:rPr>
                <w:rFonts w:ascii="Arial" w:hAnsi="Arial" w:cs="Arial"/>
                <w:sz w:val="20"/>
                <w:szCs w:val="20"/>
                <w:lang w:val="en-GB"/>
              </w:rPr>
              <w:t xml:space="preserve"> and Stein et al. report </w:t>
            </w:r>
            <w:r w:rsidR="009278CF">
              <w:rPr>
                <w:rFonts w:ascii="Arial" w:hAnsi="Arial" w:cs="Arial"/>
                <w:sz w:val="20"/>
                <w:szCs w:val="20"/>
                <w:lang w:val="en-GB"/>
              </w:rPr>
              <w:t>16,0</w:t>
            </w:r>
            <w:r w:rsidR="00082B23">
              <w:rPr>
                <w:rFonts w:ascii="Arial" w:hAnsi="Arial" w:cs="Arial"/>
                <w:sz w:val="20"/>
                <w:szCs w:val="20"/>
                <w:lang w:val="en-GB"/>
              </w:rPr>
              <w:t>27</w:t>
            </w:r>
            <w:r>
              <w:rPr>
                <w:rFonts w:ascii="Arial" w:hAnsi="Arial" w:cs="Arial"/>
                <w:sz w:val="20"/>
                <w:szCs w:val="20"/>
                <w:lang w:val="en-GB"/>
              </w:rPr>
              <w:t>.</w:t>
            </w:r>
            <w:r>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{"citationItems":[{"id":"ITEM-1","itemData":{"DOI":"10.1111/1468-0009.12137","ISSN":"0887378X","author":[{"dropping-particle":"","family":"Stein","given":"BRADLEY D.","non-dropping-particle":"","parse-names":false,"suffix":""},{"dropping-particle":"","family":"Pacula","given":"ROSALIE LICCARDO","non-dropping-particle":"","parse-names":false,"suffix":""},{"dropping-particle":"","family":"Gordon","given":"ADAM J.","non-dropping-particle":"","parse-names":false,"suffix":""},{"dropping-particle":"","family":"Burns","given":"RACHEL M.","non-dropping-particle":"","parse-names":false,"suffix":""},{"dropping-particle":"","family":"Leslie","given":"DOUGLAS L.","non-dropping-particle":"","parse-names":false,"suffix":""},{"dropping-particle":"","family":"Sorbero","given":"MARK J.","non-dropping-particle":"","parse-names":false,"suffix":""},{"dropping-particle":"","family":"Bauhoff","given":"SEBASTIAN","non-dropping-particle":"","parse-names":false,"suffix":""},{"dropping-particle":"","family":"Mandell","given":"TODD W.","non-dropping-particle":"","parse-names":false,"suffix":""},{"dropping-particle":"","family":"Dick","given":"ANDREW W.","non-dropping-particle":"","parse-names":false,"suffix":""}],"container-title":"Milbank Quarterly","id":"ITEM-1","issue":"3","issued":{"date-parts":[["2015","9","1"]]},"page":"561-583","publisher":"Wiley/Blackwell (10.1111)","title":"Where Is Buprenorphine Dispensed to Treat Opioid Use Disorders? The Role of Private Offices, Opioid Treatment Programs, and Substance Abuse Treatment Facilities in Urban and Rural Counties","type":"article-journal","volume":"93"},"uris":["http://www.mendeley.com/documents/?uuid=06d8a484-63cd-45b8-acd7-9dadd2563d9a"]}],"mendeley":{"formattedCitation":"&lt;sup&gt;2&lt;/sup&gt;","plainTextFormattedCitation":"2","previouslyFormattedCitation":"&lt;sup&gt;2&lt;/sup&gt;"},"properties":{"noteIndex":0},"schema":"https://github.com/citation-style-language/schema/raw/master/csl-citation.json"}</w:instrText>
            </w:r>
            <w:r>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2</w:t>
            </w:r>
            <w:r>
              <w:rPr>
                <w:rFonts w:ascii="Arial" w:hAnsi="Arial" w:cs="Arial"/>
                <w:sz w:val="20"/>
                <w:szCs w:val="20"/>
                <w:lang w:val="en-GB"/>
              </w:rPr>
              <w:fldChar w:fldCharType="end"/>
            </w:r>
          </w:p>
        </w:tc>
      </w:tr>
      <w:tr w:rsidR="00F525B3" w:rsidRPr="002F020B" w14:paraId="00C9D3CE" w14:textId="77777777" w:rsidTr="00BD6273">
        <w:trPr>
          <w:trHeight w:val="17"/>
        </w:trPr>
        <w:tc>
          <w:tcPr>
            <w:tcW w:w="489" w:type="pct"/>
            <w:tcBorders>
              <w:top w:val="single" w:sz="4" w:space="0" w:color="auto"/>
              <w:bottom w:val="single" w:sz="4" w:space="0" w:color="auto"/>
            </w:tcBorders>
            <w:vAlign w:val="center"/>
          </w:tcPr>
          <w:p w14:paraId="3372504A" w14:textId="5D8A978D" w:rsidR="00F525B3" w:rsidRPr="002F020B" w:rsidRDefault="00F525B3" w:rsidP="00BD6273">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2010</w:t>
            </w:r>
          </w:p>
        </w:tc>
        <w:tc>
          <w:tcPr>
            <w:tcW w:w="550" w:type="pct"/>
            <w:tcBorders>
              <w:top w:val="single" w:sz="4" w:space="0" w:color="auto"/>
              <w:bottom w:val="single" w:sz="4" w:space="0" w:color="auto"/>
            </w:tcBorders>
            <w:vAlign w:val="center"/>
          </w:tcPr>
          <w:p w14:paraId="51BE78B2" w14:textId="0EA9DC3C" w:rsidR="00F525B3" w:rsidRPr="002F020B" w:rsidRDefault="00F525B3" w:rsidP="00BD6273">
            <w:pPr>
              <w:spacing w:before="0" w:line="240" w:lineRule="auto"/>
              <w:rPr>
                <w:rFonts w:ascii="Arial" w:hAnsi="Arial" w:cs="Arial"/>
                <w:sz w:val="20"/>
                <w:szCs w:val="20"/>
                <w:lang w:val="en-GB"/>
              </w:rPr>
            </w:pPr>
            <w:r>
              <w:rPr>
                <w:rFonts w:ascii="Arial" w:hAnsi="Arial" w:cs="Arial"/>
                <w:sz w:val="20"/>
                <w:szCs w:val="20"/>
                <w:lang w:val="en-GB"/>
              </w:rPr>
              <w:t>18,024</w:t>
            </w:r>
          </w:p>
        </w:tc>
        <w:tc>
          <w:tcPr>
            <w:tcW w:w="3961" w:type="pct"/>
            <w:tcBorders>
              <w:top w:val="single" w:sz="4" w:space="0" w:color="auto"/>
              <w:bottom w:val="single" w:sz="4" w:space="0" w:color="auto"/>
            </w:tcBorders>
            <w:vAlign w:val="center"/>
          </w:tcPr>
          <w:p w14:paraId="761E3AFC" w14:textId="3C8BAAFD" w:rsidR="00F525B3" w:rsidRPr="002F020B" w:rsidRDefault="007C081F" w:rsidP="00BD6273">
            <w:pPr>
              <w:spacing w:before="0" w:line="240" w:lineRule="auto"/>
              <w:rPr>
                <w:rFonts w:ascii="Arial" w:hAnsi="Arial" w:cs="Arial"/>
                <w:sz w:val="20"/>
                <w:szCs w:val="20"/>
                <w:lang w:val="en-GB"/>
              </w:rPr>
            </w:pPr>
            <w:r>
              <w:rPr>
                <w:rFonts w:ascii="Arial" w:hAnsi="Arial" w:cs="Arial"/>
                <w:sz w:val="20"/>
                <w:szCs w:val="20"/>
                <w:lang w:val="en-GB"/>
              </w:rPr>
              <w:t xml:space="preserve">The average of the following was used: Jones et al. report </w:t>
            </w:r>
            <w:r w:rsidR="00082B23">
              <w:rPr>
                <w:rFonts w:ascii="Arial" w:hAnsi="Arial" w:cs="Arial"/>
                <w:sz w:val="20"/>
                <w:szCs w:val="20"/>
                <w:lang w:val="en-GB"/>
              </w:rPr>
              <w:t>17,785</w:t>
            </w:r>
            <w:r>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{"citationItems":[{"id":"ITEM-1","itemData":{"DOI":"10.2105/AJPH.2015.302664","ISSN":"0090-0036","author":[{"dropping-particle":"","family":"Jones","given":"Christopher M","non-dropping-particle":"","parse-names":false,"suffix":""},{"dropping-particle":"","family":"Campopiano","given":"Melinda","non-dropping-particle":"","parse-names":false,"suffix":""},{"dropping-particle":"","family":"Baldwin","given":"Grant","non-dropping-particle":"","parse-names":false,"suffix":""},{"dropping-particle":"","family":"McCance-Katz","given":"Elinore","non-dropping-particle":"","parse-names":false,"suffix":""}],"container-title":"American Journal of Public Health","id":"ITEM-1","issue":"8","issued":{"date-parts":[["2015","8"]]},"page":"e55-e63","title":"National and State Treatment Need and Capacity for Opioid Agonist Medication-Assisted Treatment","type":"article-journal","volume":"105"},"uris":["http://www.mendeley.com/documents/?uuid=7a24d085-21bb-48ff-a4db-7e07ba64eb55"]}],"mendeley":{"formattedCitation":"&lt;sup&gt;1&lt;/sup&gt;","plainTextFormattedCitation":"1","previouslyFormattedCitation":"&lt;sup&gt;1&lt;/sup&gt;"},"properties":{"noteIndex":0},"schema":"https://github.com/citation-style-language/schema/raw/master/csl-citation.json"}</w:instrText>
            </w:r>
            <w:r>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1</w:t>
            </w:r>
            <w:r>
              <w:rPr>
                <w:rFonts w:ascii="Arial" w:hAnsi="Arial" w:cs="Arial"/>
                <w:sz w:val="20"/>
                <w:szCs w:val="20"/>
                <w:lang w:val="en-GB"/>
              </w:rPr>
              <w:fldChar w:fldCharType="end"/>
            </w:r>
            <w:r>
              <w:rPr>
                <w:rFonts w:ascii="Arial" w:hAnsi="Arial" w:cs="Arial"/>
                <w:sz w:val="20"/>
                <w:szCs w:val="20"/>
                <w:lang w:val="en-GB"/>
              </w:rPr>
              <w:t xml:space="preserve"> and Stein et al. report </w:t>
            </w:r>
            <w:r w:rsidR="00082B23">
              <w:rPr>
                <w:rFonts w:ascii="Arial" w:hAnsi="Arial" w:cs="Arial"/>
                <w:sz w:val="20"/>
                <w:szCs w:val="20"/>
                <w:lang w:val="en-GB"/>
              </w:rPr>
              <w:t>18,262</w:t>
            </w:r>
            <w:r>
              <w:rPr>
                <w:rFonts w:ascii="Arial" w:hAnsi="Arial" w:cs="Arial"/>
                <w:sz w:val="20"/>
                <w:szCs w:val="20"/>
                <w:lang w:val="en-GB"/>
              </w:rPr>
              <w:t>.</w:t>
            </w:r>
            <w:r>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{"citationItems":[{"id":"ITEM-1","itemData":{"DOI":"10.1111/1468-0009.12137","ISSN":"0887378X","author":[{"dropping-particle":"","family":"Stein","given":"BRADLEY D.","non-dropping-particle":"","parse-names":false,"suffix":""},{"dropping-particle":"","family":"Pacula","given":"ROSALIE LICCARDO","non-dropping-particle":"","parse-names":false,"suffix":""},{"dropping-particle":"","family":"Gordon","given":"ADAM J.","non-dropping-particle":"","parse-names":false,"suffix":""},{"dropping-particle":"","family":"Burns","given":"RACHEL M.","non-dropping-particle":"","parse-names":false,"suffix":""},{"dropping-particle":"","family":"Leslie","given":"DOUGLAS L.","non-dropping-particle":"","parse-names":false,"suffix":""},{"dropping-particle":"","family":"Sorbero","given":"MARK J.","non-dropping-particle":"","parse-names":false,"suffix":""},{"dropping-particle":"","family":"Bauhoff","given":"SEBASTIAN","non-dropping-particle":"","parse-names":false,"suffix":""},{"dropping-particle":"","family":"Mandell","given":"TODD W.","non-dropping-particle":"","parse-names":false,"suffix":""},{"dropping-particle":"","family":"Dick","given":"ANDREW W.","non-dropping-particle":"","parse-names":false,"suffix":""}],"container-title":"Milbank Quarterly","id":"ITEM-1","issue":"3","issued":{"date-parts":[["2015","9","1"]]},"page":"561-583","publisher":"Wiley/Blackwell (10.1111)","title":"Where Is Buprenorphine Dispensed to Treat Opioid Use Disorders? The Role of Private Offices, Opioid Treatment Programs, and Substance Abuse Treatment Facilities in Urban and Rural Counties","type":"article-journal","volume":"93"},"uris":["http://www.mendeley.com/documents/?uuid=06d8a484-63cd-45b8-acd7-9dadd2563d9a"]}],"mendeley":{"formattedCitation":"&lt;sup&gt;2&lt;/sup&gt;","plainTextFormattedCitation":"2","previouslyFormattedCitation":"&lt;sup&gt;2&lt;/sup&gt;"},"properties":{"noteIndex":0},"schema":"https://github.com/citation-style-language/schema/raw/master/csl-citation.json"}</w:instrText>
            </w:r>
            <w:r>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2</w:t>
            </w:r>
            <w:r>
              <w:rPr>
                <w:rFonts w:ascii="Arial" w:hAnsi="Arial" w:cs="Arial"/>
                <w:sz w:val="20"/>
                <w:szCs w:val="20"/>
                <w:lang w:val="en-GB"/>
              </w:rPr>
              <w:fldChar w:fldCharType="end"/>
            </w:r>
          </w:p>
        </w:tc>
      </w:tr>
      <w:tr w:rsidR="0022431B" w:rsidRPr="002F020B" w14:paraId="25189D96" w14:textId="77777777" w:rsidTr="00BD6273">
        <w:trPr>
          <w:trHeight w:val="17"/>
        </w:trPr>
        <w:tc>
          <w:tcPr>
            <w:tcW w:w="489" w:type="pct"/>
            <w:tcBorders>
              <w:top w:val="single" w:sz="4" w:space="0" w:color="auto"/>
              <w:bottom w:val="single" w:sz="4" w:space="0" w:color="auto"/>
            </w:tcBorders>
            <w:vAlign w:val="center"/>
          </w:tcPr>
          <w:p w14:paraId="6ACA4D44" w14:textId="3760F3B9" w:rsidR="0022431B" w:rsidRPr="002F020B" w:rsidRDefault="0022431B" w:rsidP="0022431B">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2011</w:t>
            </w:r>
          </w:p>
        </w:tc>
        <w:tc>
          <w:tcPr>
            <w:tcW w:w="550" w:type="pct"/>
            <w:tcBorders>
              <w:top w:val="single" w:sz="4" w:space="0" w:color="auto"/>
              <w:bottom w:val="single" w:sz="4" w:space="0" w:color="auto"/>
            </w:tcBorders>
            <w:vAlign w:val="center"/>
          </w:tcPr>
          <w:p w14:paraId="3CF37FC0" w14:textId="40C62825" w:rsidR="0022431B" w:rsidRPr="002F020B" w:rsidRDefault="0022431B" w:rsidP="0022431B">
            <w:pPr>
              <w:spacing w:before="0" w:line="240" w:lineRule="auto"/>
              <w:rPr>
                <w:rFonts w:ascii="Arial" w:hAnsi="Arial" w:cs="Arial"/>
                <w:sz w:val="20"/>
                <w:szCs w:val="20"/>
                <w:lang w:val="en-GB"/>
              </w:rPr>
            </w:pPr>
            <w:r>
              <w:rPr>
                <w:rFonts w:ascii="Arial" w:hAnsi="Arial" w:cs="Arial"/>
                <w:sz w:val="20"/>
                <w:szCs w:val="20"/>
                <w:lang w:val="en-GB"/>
              </w:rPr>
              <w:t>20,148</w:t>
            </w:r>
          </w:p>
        </w:tc>
        <w:tc>
          <w:tcPr>
            <w:tcW w:w="3961" w:type="pct"/>
            <w:tcBorders>
              <w:top w:val="single" w:sz="4" w:space="0" w:color="auto"/>
              <w:bottom w:val="single" w:sz="4" w:space="0" w:color="auto"/>
            </w:tcBorders>
            <w:vAlign w:val="center"/>
          </w:tcPr>
          <w:p w14:paraId="0ADB9610" w14:textId="1472FD41" w:rsidR="0022431B" w:rsidRPr="002F020B" w:rsidRDefault="0022431B" w:rsidP="0022431B">
            <w:pPr>
              <w:spacing w:before="0" w:line="240" w:lineRule="auto"/>
              <w:rPr>
                <w:rFonts w:ascii="Arial" w:hAnsi="Arial" w:cs="Arial"/>
                <w:sz w:val="20"/>
                <w:szCs w:val="20"/>
                <w:lang w:val="en-GB"/>
              </w:rPr>
            </w:pPr>
            <w:r>
              <w:rPr>
                <w:rFonts w:ascii="Arial" w:hAnsi="Arial" w:cs="Arial"/>
                <w:sz w:val="20"/>
                <w:szCs w:val="20"/>
                <w:lang w:val="en-GB"/>
              </w:rPr>
              <w:t xml:space="preserve">The average of the following was used: Jones et al. report </w:t>
            </w:r>
            <w:r w:rsidR="006D7516">
              <w:rPr>
                <w:rFonts w:ascii="Arial" w:hAnsi="Arial" w:cs="Arial"/>
                <w:sz w:val="20"/>
                <w:szCs w:val="20"/>
                <w:lang w:val="en-GB"/>
              </w:rPr>
              <w:t>19,886</w:t>
            </w:r>
            <w:r>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{"citationItems":[{"id":"ITEM-1","itemData":{"DOI":"10.2105/AJPH.2015.302664","ISSN":"0090-0036","author":[{"dropping-particle":"","family":"Jones","given":"Christopher M","non-dropping-particle":"","parse-names":false,"suffix":""},{"dropping-particle":"","family":"Campopiano","given":"Melinda","non-dropping-particle":"","parse-names":false,"suffix":""},{"dropping-particle":"","family":"Baldwin","given":"Grant","non-dropping-particle":"","parse-names":false,"suffix":""},{"dropping-particle":"","family":"McCance-Katz","given":"Elinore","non-dropping-particle":"","parse-names":false,"suffix":""}],"container-title":"American Journal of Public Health","id":"ITEM-1","issue":"8","issued":{"date-parts":[["2015","8"]]},"page":"e55-e63","title":"National and State Treatment Need and Capacity for Opioid Agonist Medication-Assisted Treatment","type":"article-journal","volume":"105"},"uris":["http://www.mendeley.com/documents/?uuid=7a24d085-21bb-48ff-a4db-7e07ba64eb55"]}],"mendeley":{"formattedCitation":"&lt;sup&gt;1&lt;/sup&gt;","plainTextFormattedCitation":"1","previouslyFormattedCitation":"&lt;sup&gt;1&lt;/sup&gt;"},"properties":{"noteIndex":0},"schema":"https://github.com/citation-style-language/schema/raw/master/csl-citation.json"}</w:instrText>
            </w:r>
            <w:r>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1</w:t>
            </w:r>
            <w:r>
              <w:rPr>
                <w:rFonts w:ascii="Arial" w:hAnsi="Arial" w:cs="Arial"/>
                <w:sz w:val="20"/>
                <w:szCs w:val="20"/>
                <w:lang w:val="en-GB"/>
              </w:rPr>
              <w:fldChar w:fldCharType="end"/>
            </w:r>
            <w:r>
              <w:rPr>
                <w:rFonts w:ascii="Arial" w:hAnsi="Arial" w:cs="Arial"/>
                <w:sz w:val="20"/>
                <w:szCs w:val="20"/>
                <w:lang w:val="en-GB"/>
              </w:rPr>
              <w:t xml:space="preserve"> and Stein et al. report </w:t>
            </w:r>
            <w:r w:rsidR="006D7516">
              <w:rPr>
                <w:rFonts w:ascii="Arial" w:hAnsi="Arial" w:cs="Arial"/>
                <w:sz w:val="20"/>
                <w:szCs w:val="20"/>
                <w:lang w:val="en-GB"/>
              </w:rPr>
              <w:t>20,410</w:t>
            </w:r>
            <w:r>
              <w:rPr>
                <w:rFonts w:ascii="Arial" w:hAnsi="Arial" w:cs="Arial"/>
                <w:sz w:val="20"/>
                <w:szCs w:val="20"/>
                <w:lang w:val="en-GB"/>
              </w:rPr>
              <w:t>.</w:t>
            </w:r>
            <w:r>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{"citationItems":[{"id":"ITEM-1","itemData":{"DOI":"10.1111/1468-0009.12137","ISSN":"0887378X","author":[{"dropping-particle":"","family":"Stein","given":"BRADLEY D.","non-dropping-particle":"","parse-names":false,"suffix":""},{"dropping-particle":"","family":"Pacula","given":"ROSALIE LICCARDO","non-dropping-particle":"","parse-names":false,"suffix":""},{"dropping-particle":"","family":"Gordon","given":"ADAM J.","non-dropping-particle":"","parse-names":false,"suffix":""},{"dropping-particle":"","family":"Burns","given":"RACHEL M.","non-dropping-particle":"","parse-names":false,"suffix":""},{"dropping-particle":"","family":"Leslie","given":"DOUGLAS L.","non-dropping-particle":"","parse-names":false,"suffix":""},{"dropping-particle":"","family":"Sorbero","given":"MARK J.","non-dropping-particle":"","parse-names":false,"suffix":""},{"dropping-particle":"","family":"Bauhoff","given":"SEBASTIAN","non-dropping-particle":"","parse-names":false,"suffix":""},{"dropping-particle":"","family":"Mandell","given":"TODD W.","non-dropping-particle":"","parse-names":false,"suffix":""},{"dropping-particle":"","family":"Dick","given":"ANDREW W.","non-dropping-particle":"","parse-names":false,"suffix":""}],"container-title":"Milbank Quarterly","id":"ITEM-1","issue":"3","issued":{"date-parts":[["2015","9","1"]]},"page":"561-583","publisher":"Wiley/Blackwell (10.1111)","title":"Where Is Buprenorphine Dispensed to Treat Opioid Use Disorders? The Role of Private Offices, Opioid Treatment Programs, and Substance Abuse Treatment Facilities in Urban and Rural Counties","type":"article-journal","volume":"93"},"uris":["http://www.mendeley.com/documents/?uuid=06d8a484-63cd-45b8-acd7-9dadd2563d9a"]}],"mendeley":{"formattedCitation":"&lt;sup&gt;2&lt;/sup&gt;","plainTextFormattedCitation":"2","previouslyFormattedCitation":"&lt;sup&gt;2&lt;/sup&gt;"},"properties":{"noteIndex":0},"schema":"https://github.com/citation-style-language/schema/raw/master/csl-citation.json"}</w:instrText>
            </w:r>
            <w:r>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2</w:t>
            </w:r>
            <w:r>
              <w:rPr>
                <w:rFonts w:ascii="Arial" w:hAnsi="Arial" w:cs="Arial"/>
                <w:sz w:val="20"/>
                <w:szCs w:val="20"/>
                <w:lang w:val="en-GB"/>
              </w:rPr>
              <w:fldChar w:fldCharType="end"/>
            </w:r>
          </w:p>
        </w:tc>
      </w:tr>
      <w:tr w:rsidR="0022431B" w:rsidRPr="002F020B" w14:paraId="1BCEE9C3" w14:textId="77777777" w:rsidTr="00BD6273">
        <w:trPr>
          <w:trHeight w:val="17"/>
        </w:trPr>
        <w:tc>
          <w:tcPr>
            <w:tcW w:w="489" w:type="pct"/>
            <w:tcBorders>
              <w:top w:val="single" w:sz="4" w:space="0" w:color="auto"/>
              <w:bottom w:val="single" w:sz="4" w:space="0" w:color="auto"/>
            </w:tcBorders>
            <w:vAlign w:val="center"/>
          </w:tcPr>
          <w:p w14:paraId="794D431B" w14:textId="0455F066" w:rsidR="0022431B" w:rsidRPr="002F020B" w:rsidRDefault="0022431B" w:rsidP="0022431B">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2012</w:t>
            </w:r>
          </w:p>
        </w:tc>
        <w:tc>
          <w:tcPr>
            <w:tcW w:w="550" w:type="pct"/>
            <w:tcBorders>
              <w:top w:val="single" w:sz="4" w:space="0" w:color="auto"/>
              <w:bottom w:val="single" w:sz="4" w:space="0" w:color="auto"/>
            </w:tcBorders>
            <w:vAlign w:val="center"/>
          </w:tcPr>
          <w:p w14:paraId="237D48AE" w14:textId="6C1C74CD" w:rsidR="0022431B" w:rsidRPr="002F020B" w:rsidRDefault="0022431B" w:rsidP="0022431B">
            <w:pPr>
              <w:spacing w:before="0" w:line="240" w:lineRule="auto"/>
              <w:rPr>
                <w:rFonts w:ascii="Arial" w:hAnsi="Arial" w:cs="Arial"/>
                <w:sz w:val="20"/>
                <w:szCs w:val="20"/>
                <w:lang w:val="en-GB"/>
              </w:rPr>
            </w:pPr>
            <w:r>
              <w:rPr>
                <w:rFonts w:ascii="Arial" w:hAnsi="Arial" w:cs="Arial"/>
                <w:sz w:val="20"/>
                <w:szCs w:val="20"/>
                <w:lang w:val="en-GB"/>
              </w:rPr>
              <w:t>22,198</w:t>
            </w:r>
          </w:p>
        </w:tc>
        <w:tc>
          <w:tcPr>
            <w:tcW w:w="3961" w:type="pct"/>
            <w:tcBorders>
              <w:top w:val="single" w:sz="4" w:space="0" w:color="auto"/>
              <w:bottom w:val="single" w:sz="4" w:space="0" w:color="auto"/>
            </w:tcBorders>
            <w:vAlign w:val="center"/>
          </w:tcPr>
          <w:p w14:paraId="3A66FB99" w14:textId="58CDDE27" w:rsidR="0022431B" w:rsidRPr="002F020B" w:rsidRDefault="00651A50" w:rsidP="0022431B">
            <w:pPr>
              <w:spacing w:before="0" w:line="240" w:lineRule="auto"/>
              <w:rPr>
                <w:rFonts w:ascii="Arial" w:hAnsi="Arial" w:cs="Arial"/>
                <w:sz w:val="20"/>
                <w:szCs w:val="20"/>
                <w:lang w:val="en-GB"/>
              </w:rPr>
            </w:pPr>
            <w:r>
              <w:rPr>
                <w:rFonts w:ascii="Arial" w:hAnsi="Arial" w:cs="Arial"/>
                <w:sz w:val="20"/>
                <w:szCs w:val="20"/>
                <w:lang w:val="en-GB"/>
              </w:rPr>
              <w:t>Jones et al</w:t>
            </w:r>
            <w:r w:rsidR="00423DF4">
              <w:rPr>
                <w:rFonts w:ascii="Arial" w:hAnsi="Arial" w:cs="Arial"/>
                <w:sz w:val="20"/>
                <w:szCs w:val="20"/>
                <w:lang w:val="en-GB"/>
              </w:rPr>
              <w:t>.</w:t>
            </w:r>
            <w:r w:rsidR="00423DF4">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{"citationItems":[{"id":"ITEM-1","itemData":{"DOI":"10.2105/AJPH.2015.302664","ISSN":"0090-0036","author":[{"dropping-particle":"","family":"Jones","given":"Christopher M","non-dropping-particle":"","parse-names":false,"suffix":""},{"dropping-particle":"","family":"Campopiano","given":"Melinda","non-dropping-particle":"","parse-names":false,"suffix":""},{"dropping-particle":"","family":"Baldwin","given":"Grant","non-dropping-particle":"","parse-names":false,"suffix":""},{"dropping-particle":"","family":"McCance-Katz","given":"Elinore","non-dropping-particle":"","parse-names":false,"suffix":""}],"container-title":"American Journal of Public Health","id":"ITEM-1","issue":"8","issued":{"date-parts":[["2015","8"]]},"page":"e55-e63","title":"National and State Treatment Need and Capacity for Opioid Agonist Medication-Assisted Treatment","type":"article-journal","volume":"105"},"uris":["http://www.mendeley.com/documents/?uuid=7a24d085-21bb-48ff-a4db-7e07ba64eb55"]}],"mendeley":{"formattedCitation":"&lt;sup&gt;1&lt;/sup&gt;","plainTextFormattedCitation":"1","previouslyFormattedCitation":"&lt;sup&gt;1&lt;/sup&gt;"},"properties":{"noteIndex":0},"schema":"https://github.com/citation-style-language/schema/raw/master/csl-citation.json"}</w:instrText>
            </w:r>
            <w:r w:rsidR="00423DF4">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1</w:t>
            </w:r>
            <w:r w:rsidR="00423DF4">
              <w:rPr>
                <w:rFonts w:ascii="Arial" w:hAnsi="Arial" w:cs="Arial"/>
                <w:sz w:val="20"/>
                <w:szCs w:val="20"/>
                <w:lang w:val="en-GB"/>
              </w:rPr>
              <w:fldChar w:fldCharType="end"/>
            </w:r>
          </w:p>
        </w:tc>
      </w:tr>
      <w:tr w:rsidR="0022431B" w:rsidRPr="002F020B" w14:paraId="749C9042" w14:textId="77777777" w:rsidTr="00BD6273">
        <w:trPr>
          <w:trHeight w:val="17"/>
        </w:trPr>
        <w:tc>
          <w:tcPr>
            <w:tcW w:w="489" w:type="pct"/>
            <w:tcBorders>
              <w:top w:val="single" w:sz="4" w:space="0" w:color="auto"/>
              <w:bottom w:val="single" w:sz="4" w:space="0" w:color="auto"/>
            </w:tcBorders>
            <w:vAlign w:val="center"/>
          </w:tcPr>
          <w:p w14:paraId="5CC2C382" w14:textId="7D53A5E5" w:rsidR="0022431B" w:rsidRPr="002F020B" w:rsidRDefault="0022431B" w:rsidP="0022431B">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2013</w:t>
            </w:r>
          </w:p>
        </w:tc>
        <w:tc>
          <w:tcPr>
            <w:tcW w:w="550" w:type="pct"/>
            <w:tcBorders>
              <w:top w:val="single" w:sz="4" w:space="0" w:color="auto"/>
              <w:bottom w:val="single" w:sz="4" w:space="0" w:color="auto"/>
            </w:tcBorders>
            <w:vAlign w:val="center"/>
          </w:tcPr>
          <w:p w14:paraId="3AAE1EA4" w14:textId="087F7CC8" w:rsidR="0022431B" w:rsidRPr="002F020B" w:rsidRDefault="0022431B" w:rsidP="0022431B">
            <w:pPr>
              <w:spacing w:before="0" w:line="240" w:lineRule="auto"/>
              <w:rPr>
                <w:rFonts w:ascii="Arial" w:hAnsi="Arial" w:cs="Arial"/>
                <w:sz w:val="20"/>
                <w:szCs w:val="20"/>
                <w:lang w:val="en-GB"/>
              </w:rPr>
            </w:pPr>
            <w:r>
              <w:rPr>
                <w:rFonts w:ascii="Arial" w:hAnsi="Arial" w:cs="Arial"/>
                <w:sz w:val="20"/>
                <w:szCs w:val="20"/>
                <w:lang w:val="en-GB"/>
              </w:rPr>
              <w:t>23,629</w:t>
            </w:r>
          </w:p>
        </w:tc>
        <w:tc>
          <w:tcPr>
            <w:tcW w:w="3961" w:type="pct"/>
            <w:tcBorders>
              <w:top w:val="single" w:sz="4" w:space="0" w:color="auto"/>
              <w:bottom w:val="single" w:sz="4" w:space="0" w:color="auto"/>
            </w:tcBorders>
            <w:vAlign w:val="center"/>
          </w:tcPr>
          <w:p w14:paraId="60A9FEB0" w14:textId="035A250B" w:rsidR="0022431B" w:rsidRPr="002F020B" w:rsidRDefault="0015386E" w:rsidP="0022431B">
            <w:pPr>
              <w:spacing w:before="0" w:line="240" w:lineRule="auto"/>
              <w:rPr>
                <w:rFonts w:ascii="Arial" w:hAnsi="Arial" w:cs="Arial"/>
                <w:sz w:val="20"/>
                <w:szCs w:val="20"/>
                <w:lang w:val="en-GB"/>
              </w:rPr>
            </w:pPr>
            <w:r>
              <w:rPr>
                <w:rFonts w:ascii="Arial" w:hAnsi="Arial" w:cs="Arial"/>
                <w:sz w:val="20"/>
                <w:szCs w:val="20"/>
                <w:lang w:val="en-GB"/>
              </w:rPr>
              <w:t>Knudsen et al.</w:t>
            </w:r>
            <w:r>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{"citationItems":[{"id":"ITEM-1","itemData":{"DOI":"10.15288/jsad.2015.76.644","ISSN":"19384114","PMID":"26098042","abstract":"Objective: The U.S. Food and Drug Administration’s approval of buprenorphine in 2002 expanded options for treating opioid use disorder (OUD). Physicians who intend to treat OUD patients with buprenorphine must seek a waiver to prescribe it, which may contribute to state-by-state variation in the supply of waivered physicians. Method: This study integrates data extracted from the U.S. Drug Enforcement Agency’s database of waivered physicians with state-level indicators of the macro environment, health-related resources, and treatment demand. Results: In December 2013, the average state had 8.0 waivered physicians per 100,000 residents (SD = 5.2). Large regional differences between states in the Northeast relative to states in the Midwest, South, and West were observed. The percentage of residents covered by Medicaid as well as the population-adjusted availability of opioid treatment programs and substance use disorder treatment facilities were positively associated with buprenorphine physician supply. Buprenorphine physician supply was positively correlated with states’ rates of overdose deaths, suggesting that physicians may seek the waiver in response to the magnitude of the opioid problem in their state. Conclusions: States with greater health-related resources, particularly in terms of the supply of opioid treatment programs and substance use disorder treatment programs, had more waivered physicians in 2013. The fi nding regarding Medicaid coverage suggests that states implementing Medicaid expansion under health reform may experience additional growth in buprenorphine physician supply. However, large regional disparities in the supply of waivered physicians may impede access to care for many Americans with OUD.","author":[{"dropping-particle":"","family":"Knudsen","given":"Hannah K.","non-dropping-particle":"","parse-names":false,"suffix":""}],"container-title":"Journal of Studies on Alcohol and Drugs","id":"ITEM-1","issue":"4","issued":{"date-parts":[["2015"]]},"page":"644-654","title":"The supply of physicians waivered to prescribe buprenorphine for opioid use disorders in the United States: A state-level analysis","type":"article-journal","volume":"76"},"uris":["http://www.mendeley.com/documents/?uuid=71636113-35fb-4121-90ee-7700e740fbd6"]}],"mendeley":{"formattedCitation":"&lt;sup&gt;5&lt;/sup&gt;","plainTextFormattedCitation":"5","previouslyFormattedCitation":"&lt;sup&gt;5&lt;/sup&gt;"},"properties":{"noteIndex":0},"schema":"https://github.com/citation-style-language/schema/raw/master/csl-citation.json"}</w:instrText>
            </w:r>
            <w:r>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5</w:t>
            </w:r>
            <w:r>
              <w:rPr>
                <w:rFonts w:ascii="Arial" w:hAnsi="Arial" w:cs="Arial"/>
                <w:sz w:val="20"/>
                <w:szCs w:val="20"/>
                <w:lang w:val="en-GB"/>
              </w:rPr>
              <w:fldChar w:fldCharType="end"/>
            </w:r>
            <w:r>
              <w:rPr>
                <w:rFonts w:ascii="Arial" w:hAnsi="Arial" w:cs="Arial"/>
                <w:sz w:val="20"/>
                <w:szCs w:val="20"/>
                <w:lang w:val="en-GB"/>
              </w:rPr>
              <w:t xml:space="preserve"> </w:t>
            </w:r>
          </w:p>
        </w:tc>
      </w:tr>
      <w:tr w:rsidR="0022431B" w:rsidRPr="002F020B" w14:paraId="1192D309" w14:textId="77777777" w:rsidTr="00361373">
        <w:trPr>
          <w:trHeight w:val="1169"/>
        </w:trPr>
        <w:tc>
          <w:tcPr>
            <w:tcW w:w="489" w:type="pct"/>
            <w:tcBorders>
              <w:top w:val="single" w:sz="4" w:space="0" w:color="auto"/>
              <w:bottom w:val="single" w:sz="4" w:space="0" w:color="auto"/>
            </w:tcBorders>
            <w:vAlign w:val="center"/>
          </w:tcPr>
          <w:p w14:paraId="5EA79A45" w14:textId="42ACBAAE" w:rsidR="0022431B" w:rsidRPr="002F020B" w:rsidRDefault="0022431B" w:rsidP="0022431B">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2014</w:t>
            </w:r>
          </w:p>
        </w:tc>
        <w:tc>
          <w:tcPr>
            <w:tcW w:w="550" w:type="pct"/>
            <w:tcBorders>
              <w:top w:val="single" w:sz="4" w:space="0" w:color="auto"/>
              <w:bottom w:val="single" w:sz="4" w:space="0" w:color="auto"/>
            </w:tcBorders>
            <w:vAlign w:val="center"/>
          </w:tcPr>
          <w:p w14:paraId="113344EF" w14:textId="4AA5563D" w:rsidR="0022431B" w:rsidRPr="002F020B" w:rsidRDefault="0022431B" w:rsidP="0022431B">
            <w:pPr>
              <w:spacing w:before="0" w:line="240" w:lineRule="auto"/>
              <w:rPr>
                <w:rFonts w:ascii="Arial" w:hAnsi="Arial" w:cs="Arial"/>
                <w:sz w:val="20"/>
                <w:szCs w:val="20"/>
                <w:lang w:val="en-GB"/>
              </w:rPr>
            </w:pPr>
            <w:r>
              <w:rPr>
                <w:rFonts w:ascii="Arial" w:hAnsi="Arial" w:cs="Arial"/>
                <w:sz w:val="20"/>
                <w:szCs w:val="20"/>
                <w:lang w:val="en-GB"/>
              </w:rPr>
              <w:t>26,441</w:t>
            </w:r>
          </w:p>
        </w:tc>
        <w:tc>
          <w:tcPr>
            <w:tcW w:w="3961" w:type="pct"/>
            <w:tcBorders>
              <w:top w:val="single" w:sz="4" w:space="0" w:color="auto"/>
              <w:bottom w:val="single" w:sz="4" w:space="0" w:color="auto"/>
            </w:tcBorders>
            <w:vAlign w:val="center"/>
          </w:tcPr>
          <w:p w14:paraId="5CF3D72D" w14:textId="552B8DEA" w:rsidR="0022431B" w:rsidRPr="002F020B" w:rsidRDefault="00B42EA9" w:rsidP="0022431B">
            <w:pPr>
              <w:spacing w:before="0" w:line="240" w:lineRule="auto"/>
              <w:rPr>
                <w:rFonts w:ascii="Arial" w:hAnsi="Arial" w:cs="Arial"/>
                <w:sz w:val="20"/>
                <w:szCs w:val="20"/>
                <w:lang w:val="en-GB"/>
              </w:rPr>
            </w:pPr>
            <w:r>
              <w:rPr>
                <w:rFonts w:ascii="Arial" w:hAnsi="Arial" w:cs="Arial"/>
                <w:sz w:val="20"/>
                <w:szCs w:val="20"/>
                <w:lang w:val="en-GB"/>
              </w:rPr>
              <w:t>2014 Buprenorphine summit</w:t>
            </w:r>
            <w:r w:rsidR="00DD1EAA">
              <w:rPr>
                <w:rFonts w:ascii="Arial" w:hAnsi="Arial" w:cs="Arial"/>
                <w:sz w:val="20"/>
                <w:szCs w:val="20"/>
                <w:lang w:val="en-GB"/>
              </w:rPr>
              <w:t xml:space="preserve"> report of proceedings</w:t>
            </w:r>
            <w:r w:rsidR="00117167">
              <w:rPr>
                <w:rFonts w:ascii="Arial" w:hAnsi="Arial" w:cs="Arial"/>
                <w:sz w:val="20"/>
                <w:szCs w:val="20"/>
                <w:lang w:val="en-GB"/>
              </w:rPr>
              <w:t xml:space="preserve"> states 25,738, which is partial-year data</w:t>
            </w:r>
            <w:r w:rsidR="73072393" w:rsidRPr="63967432">
              <w:rPr>
                <w:rFonts w:ascii="Arial" w:hAnsi="Arial" w:cs="Arial"/>
                <w:sz w:val="20"/>
                <w:szCs w:val="20"/>
                <w:lang w:val="en-GB"/>
              </w:rPr>
              <w:t xml:space="preserve"> </w:t>
            </w:r>
            <w:r w:rsidR="173E9093" w:rsidRPr="63967432">
              <w:rPr>
                <w:rFonts w:ascii="Arial" w:hAnsi="Arial" w:cs="Arial"/>
                <w:sz w:val="20"/>
                <w:szCs w:val="20"/>
                <w:lang w:val="en-GB"/>
              </w:rPr>
              <w:t xml:space="preserve">as of </w:t>
            </w:r>
            <w:r w:rsidR="73072393" w:rsidRPr="63967432">
              <w:rPr>
                <w:rFonts w:ascii="Arial" w:hAnsi="Arial" w:cs="Arial"/>
                <w:sz w:val="20"/>
                <w:szCs w:val="20"/>
                <w:lang w:val="en-GB"/>
              </w:rPr>
              <w:t>September 2014</w:t>
            </w:r>
            <w:r w:rsidR="00117167">
              <w:rPr>
                <w:rFonts w:ascii="Arial" w:hAnsi="Arial" w:cs="Arial"/>
                <w:sz w:val="20"/>
                <w:szCs w:val="20"/>
                <w:lang w:val="en-GB"/>
              </w:rPr>
              <w:t>.</w:t>
            </w:r>
            <w:r w:rsidR="00EC5AAC">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{"citationItems":[{"id":"ITEM-1","itemData":{"author":[{"dropping-particle":"","family":"Substance Abuse and Mental Health Services Administration","given":"","non-dropping-particle":"","parse-names":false,"suffix":""}],"id":"ITEM-1","issued":{"date-parts":[["2014"]]},"title":"2014 Buprenorphine Summit: Report of Proceedings","type":"paper-conference"},"uris":["http://www.mendeley.com/documents/?uuid=23e1c86b-4562-4dbe-b019-5606cb1afdf5"]}],"mendeley":{"formattedCitation":"&lt;sup&gt;6&lt;/sup&gt;","plainTextFormattedCitation":"6","previouslyFormattedCitation":"&lt;sup&gt;6&lt;/sup&gt;"},"properties":{"noteIndex":0},"schema":"https://github.com/citation-style-language/schema/raw/master/csl-citation.json"}</w:instrText>
            </w:r>
            <w:r w:rsidR="00EC5AAC">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6</w:t>
            </w:r>
            <w:r w:rsidR="00EC5AAC">
              <w:rPr>
                <w:rFonts w:ascii="Arial" w:hAnsi="Arial" w:cs="Arial"/>
                <w:sz w:val="20"/>
                <w:szCs w:val="20"/>
                <w:lang w:val="en-GB"/>
              </w:rPr>
              <w:fldChar w:fldCharType="end"/>
            </w:r>
            <w:r w:rsidR="00117167">
              <w:rPr>
                <w:rFonts w:ascii="Arial" w:hAnsi="Arial" w:cs="Arial"/>
                <w:sz w:val="20"/>
                <w:szCs w:val="20"/>
                <w:lang w:val="en-GB"/>
              </w:rPr>
              <w:t xml:space="preserve"> </w:t>
            </w:r>
            <w:r w:rsidR="00117167" w:rsidRPr="00117167">
              <w:rPr>
                <w:rFonts w:ascii="Arial" w:hAnsi="Arial" w:cs="Arial"/>
                <w:sz w:val="20"/>
                <w:szCs w:val="20"/>
                <w:lang w:val="en-GB"/>
              </w:rPr>
              <w:t>T</w:t>
            </w:r>
            <w:r w:rsidR="00C545C4">
              <w:rPr>
                <w:rFonts w:ascii="Arial" w:hAnsi="Arial" w:cs="Arial"/>
                <w:sz w:val="20"/>
                <w:szCs w:val="20"/>
                <w:lang w:val="en-GB"/>
              </w:rPr>
              <w:t>he t</w:t>
            </w:r>
            <w:r w:rsidR="00117167" w:rsidRPr="00117167">
              <w:rPr>
                <w:rFonts w:ascii="Arial" w:hAnsi="Arial" w:cs="Arial"/>
                <w:sz w:val="20"/>
                <w:szCs w:val="20"/>
                <w:lang w:val="en-GB"/>
              </w:rPr>
              <w:t>wo nearest time points</w:t>
            </w:r>
            <w:r w:rsidR="5B3791D1" w:rsidRPr="63967432">
              <w:rPr>
                <w:rFonts w:ascii="Arial" w:hAnsi="Arial" w:cs="Arial"/>
                <w:sz w:val="20"/>
                <w:szCs w:val="20"/>
                <w:lang w:val="en-GB"/>
              </w:rPr>
              <w:t xml:space="preserve">, </w:t>
            </w:r>
            <w:r w:rsidR="384D2B31" w:rsidRPr="63967432">
              <w:rPr>
                <w:rFonts w:ascii="Arial" w:hAnsi="Arial" w:cs="Arial"/>
                <w:sz w:val="20"/>
                <w:szCs w:val="20"/>
                <w:lang w:val="en-GB"/>
              </w:rPr>
              <w:t>end of 2013 and September 2014,</w:t>
            </w:r>
            <w:r w:rsidR="00117167" w:rsidRPr="00117167">
              <w:rPr>
                <w:rFonts w:ascii="Arial" w:hAnsi="Arial" w:cs="Arial"/>
                <w:sz w:val="20"/>
                <w:szCs w:val="20"/>
                <w:lang w:val="en-GB"/>
              </w:rPr>
              <w:t xml:space="preserve"> are selected to calculate the constant growth rate </w:t>
            </w:r>
            <w:r w:rsidR="23534E97" w:rsidRPr="63967432">
              <w:rPr>
                <w:rFonts w:ascii="Arial" w:hAnsi="Arial" w:cs="Arial"/>
                <w:sz w:val="20"/>
                <w:szCs w:val="20"/>
                <w:lang w:val="en-GB"/>
              </w:rPr>
              <w:t xml:space="preserve">for providers in total and at different limits </w:t>
            </w:r>
            <w:r w:rsidR="00117167" w:rsidRPr="00117167">
              <w:rPr>
                <w:rFonts w:ascii="Arial" w:hAnsi="Arial" w:cs="Arial"/>
                <w:sz w:val="20"/>
                <w:szCs w:val="20"/>
                <w:lang w:val="en-GB"/>
              </w:rPr>
              <w:t>per month</w:t>
            </w:r>
            <w:r w:rsidR="6D24BF51" w:rsidRPr="63967432">
              <w:rPr>
                <w:rFonts w:ascii="Arial" w:hAnsi="Arial" w:cs="Arial"/>
                <w:sz w:val="20"/>
                <w:szCs w:val="20"/>
                <w:lang w:val="en-GB"/>
              </w:rPr>
              <w:t xml:space="preserve"> in 2014</w:t>
            </w:r>
            <w:r w:rsidR="00117167" w:rsidRPr="00117167">
              <w:rPr>
                <w:rFonts w:ascii="Arial" w:hAnsi="Arial" w:cs="Arial"/>
                <w:sz w:val="20"/>
                <w:szCs w:val="20"/>
                <w:lang w:val="en-GB"/>
              </w:rPr>
              <w:t xml:space="preserve">, by using the difference between two time points divided by the </w:t>
            </w:r>
            <w:r w:rsidR="1E06342E" w:rsidRPr="63967432">
              <w:rPr>
                <w:rFonts w:ascii="Arial" w:hAnsi="Arial" w:cs="Arial"/>
                <w:sz w:val="20"/>
                <w:szCs w:val="20"/>
                <w:lang w:val="en-GB"/>
              </w:rPr>
              <w:t>9 months</w:t>
            </w:r>
            <w:r w:rsidR="00117167" w:rsidRPr="00117167">
              <w:rPr>
                <w:rFonts w:ascii="Arial" w:hAnsi="Arial" w:cs="Arial"/>
                <w:sz w:val="20"/>
                <w:szCs w:val="20"/>
                <w:lang w:val="en-GB"/>
              </w:rPr>
              <w:t xml:space="preserve"> in between. Then, </w:t>
            </w:r>
            <w:r w:rsidR="00586049">
              <w:rPr>
                <w:rFonts w:ascii="Arial" w:hAnsi="Arial" w:cs="Arial"/>
                <w:sz w:val="20"/>
                <w:szCs w:val="20"/>
                <w:lang w:val="en-GB"/>
              </w:rPr>
              <w:t xml:space="preserve">we </w:t>
            </w:r>
            <w:r w:rsidR="00117167" w:rsidRPr="00117167">
              <w:rPr>
                <w:rFonts w:ascii="Arial" w:hAnsi="Arial" w:cs="Arial"/>
                <w:sz w:val="20"/>
                <w:szCs w:val="20"/>
                <w:lang w:val="en-GB"/>
              </w:rPr>
              <w:t xml:space="preserve">assume the growth rate </w:t>
            </w:r>
            <w:r w:rsidR="00586049">
              <w:rPr>
                <w:rFonts w:ascii="Arial" w:hAnsi="Arial" w:cs="Arial"/>
                <w:sz w:val="20"/>
                <w:szCs w:val="20"/>
                <w:lang w:val="en-GB"/>
              </w:rPr>
              <w:t>until</w:t>
            </w:r>
            <w:r w:rsidR="00586049" w:rsidRPr="00117167">
              <w:rPr>
                <w:rFonts w:ascii="Arial" w:hAnsi="Arial" w:cs="Arial"/>
                <w:sz w:val="20"/>
                <w:szCs w:val="20"/>
                <w:lang w:val="en-GB"/>
              </w:rPr>
              <w:t xml:space="preserve"> </w:t>
            </w:r>
            <w:r w:rsidR="00117167" w:rsidRPr="00117167">
              <w:rPr>
                <w:rFonts w:ascii="Arial" w:hAnsi="Arial" w:cs="Arial"/>
                <w:sz w:val="20"/>
                <w:szCs w:val="20"/>
                <w:lang w:val="en-GB"/>
              </w:rPr>
              <w:t xml:space="preserve">the end of </w:t>
            </w:r>
            <w:r w:rsidR="2BC9A483" w:rsidRPr="63967432">
              <w:rPr>
                <w:rFonts w:ascii="Arial" w:hAnsi="Arial" w:cs="Arial"/>
                <w:sz w:val="20"/>
                <w:szCs w:val="20"/>
                <w:lang w:val="en-GB"/>
              </w:rPr>
              <w:t>2014</w:t>
            </w:r>
            <w:r w:rsidR="00117167" w:rsidRPr="00117167">
              <w:rPr>
                <w:rFonts w:ascii="Arial" w:hAnsi="Arial" w:cs="Arial"/>
                <w:sz w:val="20"/>
                <w:szCs w:val="20"/>
                <w:lang w:val="en-GB"/>
              </w:rPr>
              <w:t xml:space="preserve"> is constant to estimate the complete number</w:t>
            </w:r>
            <w:r w:rsidR="00D17BC4">
              <w:rPr>
                <w:rFonts w:ascii="Arial" w:hAnsi="Arial" w:cs="Arial"/>
                <w:sz w:val="20"/>
                <w:szCs w:val="20"/>
                <w:lang w:val="en-GB"/>
              </w:rPr>
              <w:t>,</w:t>
            </w:r>
            <w:r w:rsidR="00117167" w:rsidRPr="00117167">
              <w:rPr>
                <w:rFonts w:ascii="Arial" w:hAnsi="Arial" w:cs="Arial"/>
                <w:sz w:val="20"/>
                <w:szCs w:val="20"/>
                <w:lang w:val="en-GB"/>
              </w:rPr>
              <w:t xml:space="preserve"> by </w:t>
            </w:r>
            <w:r w:rsidR="3E79358D" w:rsidRPr="63967432">
              <w:rPr>
                <w:rFonts w:ascii="Arial" w:hAnsi="Arial" w:cs="Arial"/>
                <w:sz w:val="20"/>
                <w:szCs w:val="20"/>
                <w:lang w:val="en-GB"/>
              </w:rPr>
              <w:t>multiplying the constant growth rate by 12</w:t>
            </w:r>
            <w:r w:rsidR="5609F6F3" w:rsidRPr="63967432">
              <w:rPr>
                <w:rFonts w:ascii="Arial" w:hAnsi="Arial" w:cs="Arial"/>
                <w:sz w:val="20"/>
                <w:szCs w:val="20"/>
                <w:lang w:val="en-GB"/>
              </w:rPr>
              <w:t xml:space="preserve"> months</w:t>
            </w:r>
            <w:r w:rsidR="20FF5D40" w:rsidRPr="63967432">
              <w:rPr>
                <w:rFonts w:ascii="Arial" w:hAnsi="Arial" w:cs="Arial"/>
                <w:sz w:val="20"/>
                <w:szCs w:val="20"/>
                <w:lang w:val="en-GB"/>
              </w:rPr>
              <w:t xml:space="preserve"> and adding to the number by the end of 2013</w:t>
            </w:r>
            <w:r w:rsidR="00117167" w:rsidRPr="00117167">
              <w:rPr>
                <w:rFonts w:ascii="Arial" w:hAnsi="Arial" w:cs="Arial"/>
                <w:sz w:val="20"/>
                <w:szCs w:val="20"/>
                <w:lang w:val="en-GB"/>
              </w:rPr>
              <w:t>.</w:t>
            </w:r>
          </w:p>
        </w:tc>
      </w:tr>
      <w:tr w:rsidR="0022431B" w:rsidRPr="002F020B" w14:paraId="754DA488" w14:textId="77777777" w:rsidTr="00BD6273">
        <w:trPr>
          <w:trHeight w:val="17"/>
        </w:trPr>
        <w:tc>
          <w:tcPr>
            <w:tcW w:w="489" w:type="pct"/>
            <w:tcBorders>
              <w:top w:val="single" w:sz="4" w:space="0" w:color="auto"/>
              <w:bottom w:val="single" w:sz="4" w:space="0" w:color="auto"/>
            </w:tcBorders>
            <w:vAlign w:val="center"/>
          </w:tcPr>
          <w:p w14:paraId="7E3674B4" w14:textId="0DB87842" w:rsidR="0022431B" w:rsidRPr="002F020B" w:rsidRDefault="0022431B" w:rsidP="0022431B">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2015</w:t>
            </w:r>
          </w:p>
        </w:tc>
        <w:tc>
          <w:tcPr>
            <w:tcW w:w="550" w:type="pct"/>
            <w:tcBorders>
              <w:top w:val="single" w:sz="4" w:space="0" w:color="auto"/>
              <w:bottom w:val="single" w:sz="4" w:space="0" w:color="auto"/>
            </w:tcBorders>
            <w:vAlign w:val="center"/>
          </w:tcPr>
          <w:p w14:paraId="56D650D4" w14:textId="55838EC7" w:rsidR="0022431B" w:rsidRPr="002F020B" w:rsidRDefault="0022431B" w:rsidP="0022431B">
            <w:pPr>
              <w:spacing w:before="0" w:line="240" w:lineRule="auto"/>
              <w:rPr>
                <w:rFonts w:ascii="Arial" w:hAnsi="Arial" w:cs="Arial"/>
                <w:sz w:val="20"/>
                <w:szCs w:val="20"/>
                <w:lang w:val="en-GB"/>
              </w:rPr>
            </w:pPr>
            <w:r>
              <w:rPr>
                <w:rFonts w:ascii="Arial" w:hAnsi="Arial" w:cs="Arial"/>
                <w:sz w:val="20"/>
                <w:szCs w:val="20"/>
                <w:lang w:val="en-GB"/>
              </w:rPr>
              <w:t>30,987</w:t>
            </w:r>
          </w:p>
        </w:tc>
        <w:tc>
          <w:tcPr>
            <w:tcW w:w="3961" w:type="pct"/>
            <w:tcBorders>
              <w:top w:val="single" w:sz="4" w:space="0" w:color="auto"/>
              <w:bottom w:val="single" w:sz="4" w:space="0" w:color="auto"/>
            </w:tcBorders>
            <w:vAlign w:val="center"/>
          </w:tcPr>
          <w:p w14:paraId="422089A7" w14:textId="16AD0A5F" w:rsidR="0022431B" w:rsidRPr="002F020B" w:rsidRDefault="002A41DF" w:rsidP="0022431B">
            <w:pPr>
              <w:spacing w:before="0" w:line="240" w:lineRule="auto"/>
              <w:rPr>
                <w:rFonts w:ascii="Arial" w:hAnsi="Arial" w:cs="Arial"/>
                <w:sz w:val="20"/>
                <w:szCs w:val="20"/>
                <w:lang w:val="en-GB"/>
              </w:rPr>
            </w:pPr>
            <w:r>
              <w:rPr>
                <w:rFonts w:ascii="Arial" w:hAnsi="Arial" w:cs="Arial"/>
                <w:sz w:val="20"/>
                <w:szCs w:val="20"/>
                <w:lang w:val="en-GB"/>
              </w:rPr>
              <w:t xml:space="preserve">The Department of Health and Human Services </w:t>
            </w:r>
            <w:r w:rsidR="00767E7A">
              <w:rPr>
                <w:rFonts w:ascii="Arial" w:hAnsi="Arial" w:cs="Arial"/>
                <w:sz w:val="20"/>
                <w:szCs w:val="20"/>
                <w:lang w:val="en-GB"/>
              </w:rPr>
              <w:t xml:space="preserve">reported </w:t>
            </w:r>
            <w:r w:rsidR="00361373">
              <w:rPr>
                <w:rFonts w:ascii="Arial" w:hAnsi="Arial" w:cs="Arial"/>
                <w:sz w:val="20"/>
                <w:szCs w:val="20"/>
                <w:lang w:val="en-GB"/>
              </w:rPr>
              <w:t>32,213 practitioners</w:t>
            </w:r>
            <w:r w:rsidR="00767E7A">
              <w:rPr>
                <w:rFonts w:ascii="Arial" w:hAnsi="Arial" w:cs="Arial"/>
                <w:sz w:val="20"/>
                <w:szCs w:val="20"/>
                <w:lang w:val="en-GB"/>
              </w:rPr>
              <w:t xml:space="preserve"> as of </w:t>
            </w:r>
            <w:r w:rsidR="00361373">
              <w:rPr>
                <w:rFonts w:ascii="Arial" w:hAnsi="Arial" w:cs="Arial"/>
                <w:sz w:val="20"/>
                <w:szCs w:val="20"/>
                <w:lang w:val="en-GB"/>
              </w:rPr>
              <w:t>M</w:t>
            </w:r>
            <w:r w:rsidR="00767E7A">
              <w:rPr>
                <w:rFonts w:ascii="Arial" w:hAnsi="Arial" w:cs="Arial"/>
                <w:sz w:val="20"/>
                <w:szCs w:val="20"/>
                <w:lang w:val="en-GB"/>
              </w:rPr>
              <w:t>arch 2016.</w:t>
            </w:r>
            <w:r w:rsidR="0067697A">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{"citationItems":[{"id":"ITEM-1","itemData":{"author":[{"dropping-particle":"","family":"Health and Human Services Department","given":"","non-dropping-particle":"","parse-names":false,"suffix":""}],"id":"ITEM-1","issued":{"date-parts":[["2016"]]},"title":"Medication Assisted Treatment for Opioid Use Disorders","type":"article"},"uris":["http://www.mendeley.com/documents/?uuid=e6a5d88a-ba9d-3bd3-bd23-4db9e82d24cf"]}],"mendeley":{"formattedCitation":"&lt;sup&gt;7&lt;/sup&gt;","plainTextFormattedCitation":"7","previouslyFormattedCitation":"&lt;sup&gt;7&lt;/sup&gt;"},"properties":{"noteIndex":0},"schema":"https://github.com/citation-style-language/schema/raw/master/csl-citation.json"}</w:instrText>
            </w:r>
            <w:r w:rsidR="0067697A">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7</w:t>
            </w:r>
            <w:r w:rsidR="0067697A">
              <w:rPr>
                <w:rFonts w:ascii="Arial" w:hAnsi="Arial" w:cs="Arial"/>
                <w:sz w:val="20"/>
                <w:szCs w:val="20"/>
                <w:lang w:val="en-GB"/>
              </w:rPr>
              <w:fldChar w:fldCharType="end"/>
            </w:r>
            <w:r w:rsidR="00767E7A">
              <w:rPr>
                <w:rFonts w:ascii="Arial" w:hAnsi="Arial" w:cs="Arial"/>
                <w:sz w:val="20"/>
                <w:szCs w:val="20"/>
                <w:lang w:val="en-GB"/>
              </w:rPr>
              <w:t xml:space="preserve"> </w:t>
            </w:r>
            <w:r w:rsidR="00767E7A" w:rsidRPr="00767E7A">
              <w:rPr>
                <w:rFonts w:ascii="Arial" w:hAnsi="Arial" w:cs="Arial"/>
                <w:sz w:val="20"/>
                <w:szCs w:val="20"/>
                <w:lang w:val="en-GB"/>
              </w:rPr>
              <w:t xml:space="preserve">The overall 2015 number is predicted by using </w:t>
            </w:r>
            <w:r w:rsidR="00767E7A">
              <w:rPr>
                <w:rFonts w:ascii="Arial" w:hAnsi="Arial" w:cs="Arial"/>
                <w:sz w:val="20"/>
                <w:szCs w:val="20"/>
                <w:lang w:val="en-GB"/>
              </w:rPr>
              <w:t>numbers</w:t>
            </w:r>
            <w:r w:rsidR="00767E7A" w:rsidRPr="00767E7A">
              <w:rPr>
                <w:rFonts w:ascii="Arial" w:hAnsi="Arial" w:cs="Arial"/>
                <w:sz w:val="20"/>
                <w:szCs w:val="20"/>
                <w:lang w:val="en-GB"/>
              </w:rPr>
              <w:t xml:space="preserve"> by the end of 2014 and March 2016. </w:t>
            </w:r>
            <w:r w:rsidR="004A7323">
              <w:rPr>
                <w:rFonts w:ascii="Arial" w:hAnsi="Arial" w:cs="Arial"/>
                <w:sz w:val="20"/>
                <w:szCs w:val="20"/>
                <w:lang w:val="en-GB"/>
              </w:rPr>
              <w:t>A constant</w:t>
            </w:r>
            <w:r w:rsidR="00767E7A" w:rsidRPr="00767E7A">
              <w:rPr>
                <w:rFonts w:ascii="Arial" w:hAnsi="Arial" w:cs="Arial"/>
                <w:sz w:val="20"/>
                <w:szCs w:val="20"/>
                <w:lang w:val="en-GB"/>
              </w:rPr>
              <w:t xml:space="preserve"> growth rate is calculated to </w:t>
            </w:r>
            <w:r w:rsidR="004A7323">
              <w:rPr>
                <w:rFonts w:ascii="Arial" w:hAnsi="Arial" w:cs="Arial"/>
                <w:sz w:val="20"/>
                <w:szCs w:val="20"/>
                <w:lang w:val="en-GB"/>
              </w:rPr>
              <w:t>predict</w:t>
            </w:r>
            <w:r w:rsidR="00767E7A" w:rsidRPr="00ED3242">
              <w:rPr>
                <w:rFonts w:ascii="Arial" w:hAnsi="Arial" w:cs="Arial"/>
                <w:sz w:val="20"/>
                <w:szCs w:val="20"/>
                <w:lang w:val="en-GB"/>
              </w:rPr>
              <w:t>.</w:t>
            </w:r>
            <w:r w:rsidR="00ED3242" w:rsidRPr="00ED3242">
              <w:rPr>
                <w:rFonts w:ascii="Arial" w:hAnsi="Arial" w:cs="Arial"/>
                <w:sz w:val="20"/>
                <w:szCs w:val="20"/>
              </w:rPr>
              <w:t xml:space="preserve"> For providers at different limits, </w:t>
            </w:r>
            <w:r w:rsidR="28C94332" w:rsidRPr="63967432">
              <w:rPr>
                <w:rFonts w:ascii="Arial" w:hAnsi="Arial" w:cs="Arial"/>
                <w:sz w:val="20"/>
                <w:szCs w:val="20"/>
                <w:lang w:val="en-GB"/>
              </w:rPr>
              <w:t>the average</w:t>
            </w:r>
            <w:r w:rsidR="1CD309F2" w:rsidRPr="63967432">
              <w:rPr>
                <w:rFonts w:ascii="Arial" w:hAnsi="Arial" w:cs="Arial"/>
                <w:sz w:val="20"/>
                <w:szCs w:val="20"/>
                <w:lang w:val="en-GB"/>
              </w:rPr>
              <w:t xml:space="preserve"> fraction</w:t>
            </w:r>
            <w:r w:rsidR="59D0EED1" w:rsidRPr="63967432">
              <w:rPr>
                <w:rFonts w:ascii="Arial" w:hAnsi="Arial" w:cs="Arial"/>
                <w:sz w:val="20"/>
                <w:szCs w:val="20"/>
                <w:lang w:val="en-GB"/>
              </w:rPr>
              <w:t>s</w:t>
            </w:r>
            <w:r w:rsidR="00ED3242" w:rsidRPr="00ED3242">
              <w:rPr>
                <w:rFonts w:ascii="Arial" w:hAnsi="Arial" w:cs="Arial"/>
                <w:sz w:val="20"/>
                <w:szCs w:val="20"/>
                <w:lang w:val="en-GB"/>
              </w:rPr>
              <w:t xml:space="preserve"> </w:t>
            </w:r>
            <w:r w:rsidR="027CEC85" w:rsidRPr="63967432">
              <w:rPr>
                <w:rFonts w:ascii="Arial" w:hAnsi="Arial" w:cs="Arial"/>
                <w:sz w:val="20"/>
                <w:szCs w:val="20"/>
                <w:lang w:val="en-GB"/>
              </w:rPr>
              <w:t>of</w:t>
            </w:r>
            <w:r w:rsidR="00ED3242" w:rsidRPr="00ED3242">
              <w:rPr>
                <w:rFonts w:ascii="Arial" w:hAnsi="Arial" w:cs="Arial"/>
                <w:sz w:val="20"/>
                <w:szCs w:val="20"/>
                <w:lang w:val="en-GB"/>
              </w:rPr>
              <w:t xml:space="preserve"> 2013 and 2014 </w:t>
            </w:r>
            <w:r w:rsidR="6A6462BB" w:rsidRPr="63967432">
              <w:rPr>
                <w:rFonts w:ascii="Arial" w:hAnsi="Arial" w:cs="Arial"/>
                <w:sz w:val="20"/>
                <w:szCs w:val="20"/>
                <w:lang w:val="en-GB"/>
              </w:rPr>
              <w:t xml:space="preserve">are calculated </w:t>
            </w:r>
            <w:r w:rsidR="3A2551D3" w:rsidRPr="63967432">
              <w:rPr>
                <w:rFonts w:ascii="Arial" w:hAnsi="Arial" w:cs="Arial"/>
                <w:sz w:val="20"/>
                <w:szCs w:val="20"/>
                <w:lang w:val="en-GB"/>
              </w:rPr>
              <w:t xml:space="preserve">as the fraction of 2015 </w:t>
            </w:r>
            <w:r w:rsidR="00ED3242" w:rsidRPr="00ED3242">
              <w:rPr>
                <w:rFonts w:ascii="Arial" w:hAnsi="Arial" w:cs="Arial"/>
                <w:sz w:val="20"/>
                <w:szCs w:val="20"/>
                <w:lang w:val="en-GB"/>
              </w:rPr>
              <w:t>to predict as 2013-2015 only have providers waivered at 30 and 100 limits.</w:t>
            </w:r>
          </w:p>
        </w:tc>
      </w:tr>
      <w:tr w:rsidR="0022431B" w:rsidRPr="002F020B" w14:paraId="7AFC59F9" w14:textId="77777777" w:rsidTr="00BD6273">
        <w:trPr>
          <w:trHeight w:val="17"/>
        </w:trPr>
        <w:tc>
          <w:tcPr>
            <w:tcW w:w="489" w:type="pct"/>
            <w:tcBorders>
              <w:top w:val="single" w:sz="4" w:space="0" w:color="auto"/>
              <w:bottom w:val="single" w:sz="4" w:space="0" w:color="auto"/>
            </w:tcBorders>
            <w:vAlign w:val="center"/>
          </w:tcPr>
          <w:p w14:paraId="5BAB35EC" w14:textId="18A65E82" w:rsidR="0022431B" w:rsidRPr="002F020B" w:rsidRDefault="0022431B" w:rsidP="0022431B">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2016</w:t>
            </w:r>
          </w:p>
        </w:tc>
        <w:tc>
          <w:tcPr>
            <w:tcW w:w="550" w:type="pct"/>
            <w:tcBorders>
              <w:top w:val="single" w:sz="4" w:space="0" w:color="auto"/>
              <w:bottom w:val="single" w:sz="4" w:space="0" w:color="auto"/>
            </w:tcBorders>
            <w:vAlign w:val="center"/>
          </w:tcPr>
          <w:p w14:paraId="1A7266E9" w14:textId="56E5AEAD" w:rsidR="0022431B" w:rsidRPr="002F020B" w:rsidRDefault="0022431B" w:rsidP="0022431B">
            <w:pPr>
              <w:spacing w:before="0" w:line="240" w:lineRule="auto"/>
              <w:rPr>
                <w:rFonts w:ascii="Arial" w:hAnsi="Arial" w:cs="Arial"/>
                <w:sz w:val="20"/>
                <w:szCs w:val="20"/>
                <w:lang w:val="en-GB"/>
              </w:rPr>
            </w:pPr>
            <w:r>
              <w:rPr>
                <w:rFonts w:ascii="Arial" w:hAnsi="Arial" w:cs="Arial"/>
                <w:sz w:val="20"/>
                <w:szCs w:val="20"/>
                <w:lang w:val="en-GB"/>
              </w:rPr>
              <w:t>35,531</w:t>
            </w:r>
          </w:p>
        </w:tc>
        <w:tc>
          <w:tcPr>
            <w:tcW w:w="3961" w:type="pct"/>
            <w:tcBorders>
              <w:top w:val="single" w:sz="4" w:space="0" w:color="auto"/>
              <w:bottom w:val="single" w:sz="4" w:space="0" w:color="auto"/>
            </w:tcBorders>
            <w:vAlign w:val="center"/>
          </w:tcPr>
          <w:p w14:paraId="11FEE74E" w14:textId="078D2F05" w:rsidR="0022431B" w:rsidRPr="002F020B" w:rsidRDefault="003C220E" w:rsidP="0022431B">
            <w:pPr>
              <w:spacing w:before="0" w:line="240" w:lineRule="auto"/>
              <w:rPr>
                <w:rFonts w:ascii="Arial" w:hAnsi="Arial" w:cs="Arial"/>
                <w:sz w:val="20"/>
                <w:szCs w:val="20"/>
                <w:lang w:val="en-GB"/>
              </w:rPr>
            </w:pPr>
            <w:r>
              <w:rPr>
                <w:rFonts w:ascii="Arial" w:hAnsi="Arial" w:cs="Arial"/>
                <w:sz w:val="20"/>
                <w:szCs w:val="20"/>
                <w:lang w:val="en-GB"/>
              </w:rPr>
              <w:t>The Department of Health and Human Services reported 32,213 practitioners as of March 2016.</w:t>
            </w:r>
            <w:r>
              <w:rPr>
                <w:rFonts w:ascii="Arial" w:hAnsi="Arial" w:cs="Arial"/>
                <w:sz w:val="20"/>
                <w:szCs w:val="20"/>
                <w:lang w:val="en-GB"/>
              </w:rPr>
              <w:fldChar w:fldCharType="begin" w:fldLock="1"/>
            </w:r>
            <w:r w:rsidR="003F3666">
              <w:rPr>
                <w:rFonts w:ascii="Arial" w:hAnsi="Arial" w:cs="Arial"/>
                <w:sz w:val="20"/>
                <w:szCs w:val="20"/>
                <w:lang w:val="en-GB"/>
              </w:rPr>
              <w:instrText>ADDIN CSL_CITATION {"citationItems":[{"id":"ITEM-1","itemData":{"author":[{"dropping-particle":"","family":"Health and Human Services Department","given":"","non-dropping-particle":"","parse-names":false,"suffix":""}],"id":"ITEM-1","issued":{"date-parts":[["2016"]]},"title":"Medication Assisted Treatment for Opioid Use Disorders","type":"article"},"uris":["http://www.mendeley.com/documents/?uuid=e6a5d88a-ba9d-3bd3-bd23-4db9e82d24cf"]}],"mendeley":{"formattedCitation":"&lt;sup&gt;7&lt;/sup&gt;","plainTextFormattedCitation":"7","previouslyFormattedCitation":"&lt;sup&gt;7&lt;/sup&gt;"},"properties":{"noteIndex":0},"schema":"https://github.com/citation-style-language/schema/raw/master/csl-citation.json"}</w:instrText>
            </w:r>
            <w:r>
              <w:rPr>
                <w:rFonts w:ascii="Arial" w:hAnsi="Arial" w:cs="Arial"/>
                <w:sz w:val="20"/>
                <w:szCs w:val="20"/>
                <w:lang w:val="en-GB"/>
              </w:rPr>
              <w:fldChar w:fldCharType="separate"/>
            </w:r>
            <w:r w:rsidR="00DF085C" w:rsidRPr="00DF085C">
              <w:rPr>
                <w:rFonts w:ascii="Arial" w:hAnsi="Arial" w:cs="Arial"/>
                <w:noProof/>
                <w:sz w:val="20"/>
                <w:szCs w:val="20"/>
                <w:vertAlign w:val="superscript"/>
                <w:lang w:val="en-GB"/>
              </w:rPr>
              <w:t>7</w:t>
            </w:r>
            <w:r>
              <w:rPr>
                <w:rFonts w:ascii="Arial" w:hAnsi="Arial" w:cs="Arial"/>
                <w:sz w:val="20"/>
                <w:szCs w:val="20"/>
                <w:lang w:val="en-GB"/>
              </w:rPr>
              <w:fldChar w:fldCharType="end"/>
            </w:r>
            <w:r>
              <w:rPr>
                <w:rFonts w:ascii="Arial" w:hAnsi="Arial" w:cs="Arial"/>
                <w:sz w:val="20"/>
                <w:szCs w:val="20"/>
                <w:lang w:val="en-GB"/>
              </w:rPr>
              <w:t xml:space="preserve"> </w:t>
            </w:r>
            <w:r w:rsidR="001E5C2F" w:rsidRPr="00117167">
              <w:rPr>
                <w:rFonts w:ascii="Arial" w:hAnsi="Arial" w:cs="Arial"/>
                <w:sz w:val="20"/>
                <w:szCs w:val="20"/>
                <w:lang w:val="en-GB"/>
              </w:rPr>
              <w:t xml:space="preserve">Partial numbers </w:t>
            </w:r>
            <w:r w:rsidR="001E5C2F">
              <w:rPr>
                <w:rFonts w:ascii="Arial" w:hAnsi="Arial" w:cs="Arial"/>
                <w:sz w:val="20"/>
                <w:szCs w:val="20"/>
                <w:lang w:val="en-GB"/>
              </w:rPr>
              <w:t>were</w:t>
            </w:r>
            <w:r w:rsidR="001E5C2F" w:rsidRPr="00117167">
              <w:rPr>
                <w:rFonts w:ascii="Arial" w:hAnsi="Arial" w:cs="Arial"/>
                <w:sz w:val="20"/>
                <w:szCs w:val="20"/>
                <w:lang w:val="en-GB"/>
              </w:rPr>
              <w:t xml:space="preserve"> used to predict the complete data. </w:t>
            </w:r>
            <w:r w:rsidR="3E83AE6C" w:rsidRPr="63967432">
              <w:rPr>
                <w:rFonts w:ascii="Arial" w:hAnsi="Arial" w:cs="Arial"/>
                <w:sz w:val="20"/>
                <w:szCs w:val="20"/>
                <w:lang w:val="en-GB"/>
              </w:rPr>
              <w:t>The predicted number by the end of 2015 and March 2016</w:t>
            </w:r>
            <w:r w:rsidR="001E5C2F" w:rsidRPr="00117167">
              <w:rPr>
                <w:rFonts w:ascii="Arial" w:hAnsi="Arial" w:cs="Arial"/>
                <w:sz w:val="20"/>
                <w:szCs w:val="20"/>
                <w:lang w:val="en-GB"/>
              </w:rPr>
              <w:t xml:space="preserve"> are selected to calculate the constant growth rate per month, by using the difference between </w:t>
            </w:r>
            <w:r w:rsidR="00B14D42">
              <w:rPr>
                <w:rFonts w:ascii="Arial" w:hAnsi="Arial" w:cs="Arial"/>
                <w:sz w:val="20"/>
                <w:szCs w:val="20"/>
                <w:lang w:val="en-GB"/>
              </w:rPr>
              <w:t xml:space="preserve">these </w:t>
            </w:r>
            <w:r w:rsidR="001E5C2F" w:rsidRPr="00117167">
              <w:rPr>
                <w:rFonts w:ascii="Arial" w:hAnsi="Arial" w:cs="Arial"/>
                <w:sz w:val="20"/>
                <w:szCs w:val="20"/>
                <w:lang w:val="en-GB"/>
              </w:rPr>
              <w:t>two time points divided by the</w:t>
            </w:r>
            <w:r w:rsidR="00B14D42">
              <w:rPr>
                <w:rFonts w:ascii="Arial" w:hAnsi="Arial" w:cs="Arial"/>
                <w:sz w:val="20"/>
                <w:szCs w:val="20"/>
                <w:lang w:val="en-GB"/>
              </w:rPr>
              <w:t xml:space="preserve"> </w:t>
            </w:r>
            <w:r w:rsidR="6F00143A" w:rsidRPr="63967432">
              <w:rPr>
                <w:rFonts w:ascii="Arial" w:hAnsi="Arial" w:cs="Arial"/>
                <w:sz w:val="20"/>
                <w:szCs w:val="20"/>
                <w:lang w:val="en-GB"/>
              </w:rPr>
              <w:t>3</w:t>
            </w:r>
            <w:r w:rsidR="001E5C2F" w:rsidRPr="00117167">
              <w:rPr>
                <w:rFonts w:ascii="Arial" w:hAnsi="Arial" w:cs="Arial"/>
                <w:sz w:val="20"/>
                <w:szCs w:val="20"/>
                <w:lang w:val="en-GB"/>
              </w:rPr>
              <w:t xml:space="preserve"> months in between. Then, </w:t>
            </w:r>
            <w:r w:rsidR="00232AB4">
              <w:rPr>
                <w:rFonts w:ascii="Arial" w:hAnsi="Arial" w:cs="Arial"/>
                <w:sz w:val="20"/>
                <w:szCs w:val="20"/>
                <w:lang w:val="en-GB"/>
              </w:rPr>
              <w:t xml:space="preserve">we </w:t>
            </w:r>
            <w:r w:rsidR="001E5C2F" w:rsidRPr="00117167">
              <w:rPr>
                <w:rFonts w:ascii="Arial" w:hAnsi="Arial" w:cs="Arial"/>
                <w:sz w:val="20"/>
                <w:szCs w:val="20"/>
                <w:lang w:val="en-GB"/>
              </w:rPr>
              <w:t xml:space="preserve">assume the growth rate </w:t>
            </w:r>
            <w:r w:rsidR="00232AB4">
              <w:rPr>
                <w:rFonts w:ascii="Arial" w:hAnsi="Arial" w:cs="Arial"/>
                <w:sz w:val="20"/>
                <w:szCs w:val="20"/>
                <w:lang w:val="en-GB"/>
              </w:rPr>
              <w:t>until</w:t>
            </w:r>
            <w:r w:rsidR="001E5C2F" w:rsidRPr="00117167">
              <w:rPr>
                <w:rFonts w:ascii="Arial" w:hAnsi="Arial" w:cs="Arial"/>
                <w:sz w:val="20"/>
                <w:szCs w:val="20"/>
                <w:lang w:val="en-GB"/>
              </w:rPr>
              <w:t xml:space="preserve"> the end of the year is constant to estimate the complete number by the end of </w:t>
            </w:r>
            <w:r w:rsidR="0EAC6DBC" w:rsidRPr="63967432">
              <w:rPr>
                <w:rFonts w:ascii="Arial" w:hAnsi="Arial" w:cs="Arial"/>
                <w:sz w:val="20"/>
                <w:szCs w:val="20"/>
                <w:lang w:val="en-GB"/>
              </w:rPr>
              <w:t>2016</w:t>
            </w:r>
            <w:r w:rsidR="7EDE49D8" w:rsidRPr="63967432">
              <w:rPr>
                <w:rFonts w:ascii="Arial" w:hAnsi="Arial" w:cs="Arial"/>
                <w:sz w:val="20"/>
                <w:szCs w:val="20"/>
                <w:lang w:val="en-GB"/>
              </w:rPr>
              <w:t>.</w:t>
            </w:r>
            <w:r w:rsidR="001E5C2F">
              <w:rPr>
                <w:rFonts w:ascii="Arial" w:hAnsi="Arial" w:cs="Arial"/>
                <w:sz w:val="20"/>
                <w:szCs w:val="20"/>
                <w:lang w:val="en-GB"/>
              </w:rPr>
              <w:t xml:space="preserve"> </w:t>
            </w:r>
            <w:r>
              <w:rPr>
                <w:rFonts w:ascii="Arial" w:hAnsi="Arial" w:cs="Arial"/>
                <w:sz w:val="20"/>
                <w:szCs w:val="20"/>
                <w:lang w:val="en-GB"/>
              </w:rPr>
              <w:t>T</w:t>
            </w:r>
            <w:r w:rsidRPr="003C220E">
              <w:rPr>
                <w:rFonts w:ascii="Arial" w:hAnsi="Arial" w:cs="Arial"/>
                <w:sz w:val="20"/>
                <w:szCs w:val="20"/>
                <w:lang w:val="en-GB"/>
              </w:rPr>
              <w:t>here</w:t>
            </w:r>
            <w:r>
              <w:rPr>
                <w:rFonts w:ascii="Arial" w:hAnsi="Arial" w:cs="Arial"/>
                <w:sz w:val="20"/>
                <w:szCs w:val="20"/>
                <w:lang w:val="en-GB"/>
              </w:rPr>
              <w:t xml:space="preserve"> i</w:t>
            </w:r>
            <w:r w:rsidRPr="003C220E">
              <w:rPr>
                <w:rFonts w:ascii="Arial" w:hAnsi="Arial" w:cs="Arial"/>
                <w:sz w:val="20"/>
                <w:szCs w:val="20"/>
                <w:lang w:val="en-GB"/>
              </w:rPr>
              <w:t xml:space="preserve">s only </w:t>
            </w:r>
            <w:r>
              <w:rPr>
                <w:rFonts w:ascii="Arial" w:hAnsi="Arial" w:cs="Arial"/>
                <w:sz w:val="20"/>
                <w:szCs w:val="20"/>
                <w:lang w:val="en-GB"/>
              </w:rPr>
              <w:t>this</w:t>
            </w:r>
            <w:r w:rsidR="70B515F1" w:rsidRPr="63967432">
              <w:rPr>
                <w:rFonts w:ascii="Arial" w:hAnsi="Arial" w:cs="Arial"/>
                <w:sz w:val="20"/>
                <w:szCs w:val="20"/>
                <w:lang w:val="en-GB"/>
              </w:rPr>
              <w:t xml:space="preserve"> </w:t>
            </w:r>
            <w:r w:rsidR="7CFB9BA6" w:rsidRPr="63967432">
              <w:rPr>
                <w:rFonts w:ascii="Arial" w:hAnsi="Arial" w:cs="Arial"/>
                <w:sz w:val="20"/>
                <w:szCs w:val="20"/>
                <w:lang w:val="en-GB"/>
              </w:rPr>
              <w:t>predicted</w:t>
            </w:r>
            <w:r>
              <w:rPr>
                <w:rFonts w:ascii="Arial" w:hAnsi="Arial" w:cs="Arial"/>
                <w:sz w:val="20"/>
                <w:szCs w:val="20"/>
                <w:lang w:val="en-GB"/>
              </w:rPr>
              <w:t xml:space="preserve"> </w:t>
            </w:r>
            <w:r w:rsidRPr="003C220E">
              <w:rPr>
                <w:rFonts w:ascii="Arial" w:hAnsi="Arial" w:cs="Arial"/>
                <w:sz w:val="20"/>
                <w:szCs w:val="20"/>
                <w:lang w:val="en-GB"/>
              </w:rPr>
              <w:t xml:space="preserve">total number from the source for 2016, so the method using constant rate could not be used to predict </w:t>
            </w:r>
            <w:r w:rsidR="00A71E93">
              <w:rPr>
                <w:rFonts w:ascii="Arial" w:hAnsi="Arial" w:cs="Arial"/>
                <w:sz w:val="20"/>
                <w:szCs w:val="20"/>
                <w:lang w:val="en-GB"/>
              </w:rPr>
              <w:t xml:space="preserve">the </w:t>
            </w:r>
            <w:r w:rsidRPr="003C220E">
              <w:rPr>
                <w:rFonts w:ascii="Arial" w:hAnsi="Arial" w:cs="Arial"/>
                <w:sz w:val="20"/>
                <w:szCs w:val="20"/>
                <w:lang w:val="en-GB"/>
              </w:rPr>
              <w:t xml:space="preserve">number at each limit level. Since the 275-limit started in August 2016, </w:t>
            </w:r>
            <w:proofErr w:type="gramStart"/>
            <w:r w:rsidRPr="003C220E">
              <w:rPr>
                <w:rFonts w:ascii="Arial" w:hAnsi="Arial" w:cs="Arial"/>
                <w:sz w:val="20"/>
                <w:szCs w:val="20"/>
                <w:lang w:val="en-GB"/>
              </w:rPr>
              <w:t>2016</w:t>
            </w:r>
            <w:proofErr w:type="gramEnd"/>
            <w:r w:rsidRPr="003C220E">
              <w:rPr>
                <w:rFonts w:ascii="Arial" w:hAnsi="Arial" w:cs="Arial"/>
                <w:sz w:val="20"/>
                <w:szCs w:val="20"/>
                <w:lang w:val="en-GB"/>
              </w:rPr>
              <w:t xml:space="preserve"> would be the first year having providers waivered at 275-limit. Therefore, an average fraction calculated using proportions of limit at each level from 2017 and 2018 is used to predict limit numbers for 2016.</w:t>
            </w:r>
          </w:p>
        </w:tc>
      </w:tr>
      <w:tr w:rsidR="0022431B" w:rsidRPr="002F020B" w14:paraId="6BC126CE" w14:textId="77777777" w:rsidTr="00BD6273">
        <w:trPr>
          <w:trHeight w:val="17"/>
        </w:trPr>
        <w:tc>
          <w:tcPr>
            <w:tcW w:w="489" w:type="pct"/>
            <w:tcBorders>
              <w:top w:val="single" w:sz="4" w:space="0" w:color="auto"/>
              <w:bottom w:val="single" w:sz="4" w:space="0" w:color="auto"/>
            </w:tcBorders>
            <w:vAlign w:val="center"/>
          </w:tcPr>
          <w:p w14:paraId="17EA1A62" w14:textId="1334576F" w:rsidR="0022431B" w:rsidRPr="002F020B" w:rsidRDefault="0022431B" w:rsidP="0022431B">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2017</w:t>
            </w:r>
          </w:p>
        </w:tc>
        <w:tc>
          <w:tcPr>
            <w:tcW w:w="550" w:type="pct"/>
            <w:tcBorders>
              <w:top w:val="single" w:sz="4" w:space="0" w:color="auto"/>
              <w:bottom w:val="single" w:sz="4" w:space="0" w:color="auto"/>
            </w:tcBorders>
            <w:vAlign w:val="center"/>
          </w:tcPr>
          <w:p w14:paraId="5457F8CC" w14:textId="3FADB5A4" w:rsidR="0022431B" w:rsidRPr="002F020B" w:rsidRDefault="005D3EEF" w:rsidP="0022431B">
            <w:pPr>
              <w:spacing w:before="0" w:line="240" w:lineRule="auto"/>
              <w:rPr>
                <w:rFonts w:ascii="Arial" w:hAnsi="Arial" w:cs="Arial"/>
                <w:sz w:val="20"/>
                <w:szCs w:val="20"/>
                <w:lang w:val="en-GB"/>
              </w:rPr>
            </w:pPr>
            <w:r>
              <w:rPr>
                <w:rFonts w:ascii="Arial" w:hAnsi="Arial" w:cs="Arial"/>
                <w:sz w:val="20"/>
                <w:szCs w:val="20"/>
                <w:lang w:val="en-GB"/>
              </w:rPr>
              <w:t>44,183</w:t>
            </w:r>
          </w:p>
        </w:tc>
        <w:tc>
          <w:tcPr>
            <w:tcW w:w="3961" w:type="pct"/>
            <w:tcBorders>
              <w:top w:val="single" w:sz="4" w:space="0" w:color="auto"/>
              <w:bottom w:val="single" w:sz="4" w:space="0" w:color="auto"/>
            </w:tcBorders>
            <w:vAlign w:val="center"/>
          </w:tcPr>
          <w:p w14:paraId="0A4748D1" w14:textId="54FA66B5" w:rsidR="0022431B" w:rsidRPr="002F020B" w:rsidRDefault="003F3666" w:rsidP="0022431B">
            <w:pPr>
              <w:spacing w:before="0" w:line="240" w:lineRule="auto"/>
              <w:rPr>
                <w:rFonts w:ascii="Arial" w:hAnsi="Arial" w:cs="Arial"/>
                <w:sz w:val="20"/>
                <w:szCs w:val="20"/>
                <w:lang w:val="en-GB"/>
              </w:rPr>
            </w:pPr>
            <w:r>
              <w:rPr>
                <w:rFonts w:ascii="Arial" w:hAnsi="Arial" w:cs="Arial"/>
                <w:sz w:val="20"/>
                <w:szCs w:val="20"/>
                <w:lang w:val="en-GB"/>
              </w:rPr>
              <w:t>Drug Enforcement Administration</w:t>
            </w:r>
            <w:r>
              <w:rPr>
                <w:rFonts w:ascii="Arial" w:hAnsi="Arial" w:cs="Arial"/>
                <w:sz w:val="20"/>
                <w:szCs w:val="20"/>
                <w:lang w:val="en-GB"/>
              </w:rPr>
              <w:fldChar w:fldCharType="begin" w:fldLock="1"/>
            </w:r>
            <w:r w:rsidR="00FC467E">
              <w:rPr>
                <w:rFonts w:ascii="Arial" w:hAnsi="Arial" w:cs="Arial"/>
                <w:sz w:val="20"/>
                <w:szCs w:val="20"/>
                <w:lang w:val="en-GB"/>
              </w:rPr>
              <w:instrText>ADDIN CSL_CITATION {"citationItems":[{"id":"ITEM-1","itemData":{"URL":"https://apps.deadiversion.usdoj.gov/RAPR/raprRegistrantPopulationByBusinessActivity.xhtml?jfwid=NCfboB71AH6pTbonosE69q-RY-riTP0dA2Xo0s0R:2#no-back-button","accessed":{"date-parts":[["2022","11","7"]]},"author":[{"dropping-particle":"","family":"U.S. Drug Enforcement Administration Diversion Control Division","given":"","non-dropping-particle":"","parse-names":false,"suffix":""}],"id":"ITEM-1","issued":{"date-parts":[["0"]]},"title":"DEA - Qualifying Practitioners by State","type":"webpage"},"uris":["http://www.mendeley.com/documents/?uuid=fb507642-6bb9-38a4-a7e0-2a34119a4b54"]}],"mendeley":{"formattedCitation":"&lt;sup&gt;8&lt;/sup&gt;","plainTextFormattedCitation":"8","previouslyFormattedCitation":"&lt;sup&gt;8&lt;/sup&gt;"},"properties":{"noteIndex":0},"schema":"https://github.com/citation-style-language/schema/raw/master/csl-citation.json"}</w:instrText>
            </w:r>
            <w:r>
              <w:rPr>
                <w:rFonts w:ascii="Arial" w:hAnsi="Arial" w:cs="Arial"/>
                <w:sz w:val="20"/>
                <w:szCs w:val="20"/>
                <w:lang w:val="en-GB"/>
              </w:rPr>
              <w:fldChar w:fldCharType="separate"/>
            </w:r>
            <w:r w:rsidRPr="003F3666">
              <w:rPr>
                <w:rFonts w:ascii="Arial" w:hAnsi="Arial" w:cs="Arial"/>
                <w:noProof/>
                <w:sz w:val="20"/>
                <w:szCs w:val="20"/>
                <w:vertAlign w:val="superscript"/>
                <w:lang w:val="en-GB"/>
              </w:rPr>
              <w:t>8</w:t>
            </w:r>
            <w:r>
              <w:rPr>
                <w:rFonts w:ascii="Arial" w:hAnsi="Arial" w:cs="Arial"/>
                <w:sz w:val="20"/>
                <w:szCs w:val="20"/>
                <w:lang w:val="en-GB"/>
              </w:rPr>
              <w:fldChar w:fldCharType="end"/>
            </w:r>
          </w:p>
        </w:tc>
      </w:tr>
      <w:tr w:rsidR="0022431B" w:rsidRPr="002F020B" w14:paraId="26E54F75" w14:textId="77777777" w:rsidTr="00BD6273">
        <w:trPr>
          <w:trHeight w:val="17"/>
        </w:trPr>
        <w:tc>
          <w:tcPr>
            <w:tcW w:w="489" w:type="pct"/>
            <w:tcBorders>
              <w:top w:val="single" w:sz="4" w:space="0" w:color="auto"/>
              <w:bottom w:val="single" w:sz="4" w:space="0" w:color="auto"/>
            </w:tcBorders>
            <w:vAlign w:val="center"/>
          </w:tcPr>
          <w:p w14:paraId="6FF47BF7" w14:textId="63BAF268" w:rsidR="0022431B" w:rsidRPr="002F020B" w:rsidRDefault="0022431B" w:rsidP="0022431B">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2018</w:t>
            </w:r>
          </w:p>
        </w:tc>
        <w:tc>
          <w:tcPr>
            <w:tcW w:w="550" w:type="pct"/>
            <w:tcBorders>
              <w:top w:val="single" w:sz="4" w:space="0" w:color="auto"/>
              <w:bottom w:val="single" w:sz="4" w:space="0" w:color="auto"/>
            </w:tcBorders>
            <w:vAlign w:val="center"/>
          </w:tcPr>
          <w:p w14:paraId="6311AF6B" w14:textId="061E2727" w:rsidR="0022431B" w:rsidRPr="002F020B" w:rsidRDefault="005D3EEF" w:rsidP="0022431B">
            <w:pPr>
              <w:spacing w:before="0" w:line="240" w:lineRule="auto"/>
              <w:rPr>
                <w:rFonts w:ascii="Arial" w:hAnsi="Arial" w:cs="Arial"/>
                <w:sz w:val="20"/>
                <w:szCs w:val="20"/>
                <w:lang w:val="en-GB"/>
              </w:rPr>
            </w:pPr>
            <w:r>
              <w:rPr>
                <w:rFonts w:ascii="Arial" w:hAnsi="Arial" w:cs="Arial"/>
                <w:sz w:val="20"/>
                <w:szCs w:val="20"/>
                <w:lang w:val="en-GB"/>
              </w:rPr>
              <w:t>56,638</w:t>
            </w:r>
          </w:p>
        </w:tc>
        <w:tc>
          <w:tcPr>
            <w:tcW w:w="3961" w:type="pct"/>
            <w:tcBorders>
              <w:top w:val="single" w:sz="4" w:space="0" w:color="auto"/>
              <w:bottom w:val="single" w:sz="4" w:space="0" w:color="auto"/>
            </w:tcBorders>
            <w:vAlign w:val="center"/>
          </w:tcPr>
          <w:p w14:paraId="1288D879" w14:textId="2C5CBCDB" w:rsidR="0022431B" w:rsidRPr="002F020B" w:rsidRDefault="003F3666" w:rsidP="0022431B">
            <w:pPr>
              <w:spacing w:before="0" w:line="240" w:lineRule="auto"/>
              <w:rPr>
                <w:rFonts w:ascii="Arial" w:hAnsi="Arial" w:cs="Arial"/>
                <w:sz w:val="20"/>
                <w:szCs w:val="20"/>
                <w:lang w:val="en-GB"/>
              </w:rPr>
            </w:pPr>
            <w:r>
              <w:rPr>
                <w:rFonts w:ascii="Arial" w:hAnsi="Arial" w:cs="Arial"/>
                <w:sz w:val="20"/>
                <w:szCs w:val="20"/>
                <w:lang w:val="en-GB"/>
              </w:rPr>
              <w:t>Drug Enforcement Administration</w:t>
            </w:r>
            <w:r>
              <w:rPr>
                <w:rFonts w:ascii="Arial" w:hAnsi="Arial" w:cs="Arial"/>
                <w:sz w:val="20"/>
                <w:szCs w:val="20"/>
                <w:lang w:val="en-GB"/>
              </w:rPr>
              <w:fldChar w:fldCharType="begin" w:fldLock="1"/>
            </w:r>
            <w:r w:rsidR="00FC467E">
              <w:rPr>
                <w:rFonts w:ascii="Arial" w:hAnsi="Arial" w:cs="Arial"/>
                <w:sz w:val="20"/>
                <w:szCs w:val="20"/>
                <w:lang w:val="en-GB"/>
              </w:rPr>
              <w:instrText>ADDIN CSL_CITATION {"citationItems":[{"id":"ITEM-1","itemData":{"URL":"https://apps.deadiversion.usdoj.gov/RAPR/raprRegistrantPopulationByBusinessActivity.xhtml?jfwid=NCfboB71AH6pTbonosE69q-RY-riTP0dA2Xo0s0R:2#no-back-button","accessed":{"date-parts":[["2022","11","7"]]},"author":[{"dropping-particle":"","family":"U.S. Drug Enforcement Administration Diversion Control Division","given":"","non-dropping-particle":"","parse-names":false,"suffix":""}],"id":"ITEM-1","issued":{"date-parts":[["0"]]},"title":"DEA - Qualifying Practitioners by State","type":"webpage"},"uris":["http://www.mendeley.com/documents/?uuid=fb507642-6bb9-38a4-a7e0-2a34119a4b54"]}],"mendeley":{"formattedCitation":"&lt;sup&gt;8&lt;/sup&gt;","plainTextFormattedCitation":"8","previouslyFormattedCitation":"&lt;sup&gt;8&lt;/sup&gt;"},"properties":{"noteIndex":0},"schema":"https://github.com/citation-style-language/schema/raw/master/csl-citation.json"}</w:instrText>
            </w:r>
            <w:r>
              <w:rPr>
                <w:rFonts w:ascii="Arial" w:hAnsi="Arial" w:cs="Arial"/>
                <w:sz w:val="20"/>
                <w:szCs w:val="20"/>
                <w:lang w:val="en-GB"/>
              </w:rPr>
              <w:fldChar w:fldCharType="separate"/>
            </w:r>
            <w:r w:rsidRPr="003F3666">
              <w:rPr>
                <w:rFonts w:ascii="Arial" w:hAnsi="Arial" w:cs="Arial"/>
                <w:noProof/>
                <w:sz w:val="20"/>
                <w:szCs w:val="20"/>
                <w:vertAlign w:val="superscript"/>
                <w:lang w:val="en-GB"/>
              </w:rPr>
              <w:t>8</w:t>
            </w:r>
            <w:r>
              <w:rPr>
                <w:rFonts w:ascii="Arial" w:hAnsi="Arial" w:cs="Arial"/>
                <w:sz w:val="20"/>
                <w:szCs w:val="20"/>
                <w:lang w:val="en-GB"/>
              </w:rPr>
              <w:fldChar w:fldCharType="end"/>
            </w:r>
          </w:p>
        </w:tc>
      </w:tr>
      <w:tr w:rsidR="0022431B" w:rsidRPr="002F020B" w14:paraId="36CC0570" w14:textId="77777777" w:rsidTr="00BD6273">
        <w:trPr>
          <w:trHeight w:val="17"/>
        </w:trPr>
        <w:tc>
          <w:tcPr>
            <w:tcW w:w="489" w:type="pct"/>
            <w:tcBorders>
              <w:top w:val="single" w:sz="4" w:space="0" w:color="auto"/>
              <w:bottom w:val="single" w:sz="4" w:space="0" w:color="auto"/>
            </w:tcBorders>
            <w:vAlign w:val="center"/>
          </w:tcPr>
          <w:p w14:paraId="2406E649" w14:textId="3FAE7897" w:rsidR="0022431B" w:rsidRPr="002F020B" w:rsidRDefault="0022431B" w:rsidP="0022431B">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2019</w:t>
            </w:r>
          </w:p>
        </w:tc>
        <w:tc>
          <w:tcPr>
            <w:tcW w:w="550" w:type="pct"/>
            <w:tcBorders>
              <w:top w:val="single" w:sz="4" w:space="0" w:color="auto"/>
              <w:bottom w:val="single" w:sz="4" w:space="0" w:color="auto"/>
            </w:tcBorders>
            <w:vAlign w:val="center"/>
          </w:tcPr>
          <w:p w14:paraId="4941E8D2" w14:textId="4DD0BD16" w:rsidR="0022431B" w:rsidRPr="002F020B" w:rsidRDefault="005D3EEF" w:rsidP="0022431B">
            <w:pPr>
              <w:spacing w:before="0" w:line="240" w:lineRule="auto"/>
              <w:rPr>
                <w:rFonts w:ascii="Arial" w:hAnsi="Arial" w:cs="Arial"/>
                <w:sz w:val="20"/>
                <w:szCs w:val="20"/>
                <w:lang w:val="en-GB"/>
              </w:rPr>
            </w:pPr>
            <w:r>
              <w:rPr>
                <w:rFonts w:ascii="Arial" w:hAnsi="Arial" w:cs="Arial"/>
                <w:sz w:val="20"/>
                <w:szCs w:val="20"/>
                <w:lang w:val="en-GB"/>
              </w:rPr>
              <w:t>74,344</w:t>
            </w:r>
          </w:p>
        </w:tc>
        <w:tc>
          <w:tcPr>
            <w:tcW w:w="3961" w:type="pct"/>
            <w:tcBorders>
              <w:top w:val="single" w:sz="4" w:space="0" w:color="auto"/>
              <w:bottom w:val="single" w:sz="4" w:space="0" w:color="auto"/>
            </w:tcBorders>
            <w:vAlign w:val="center"/>
          </w:tcPr>
          <w:p w14:paraId="70FD0C41" w14:textId="080CD95E" w:rsidR="0022431B" w:rsidRPr="002F020B" w:rsidRDefault="003F3666" w:rsidP="0022431B">
            <w:pPr>
              <w:spacing w:before="0" w:line="240" w:lineRule="auto"/>
              <w:rPr>
                <w:rFonts w:ascii="Arial" w:hAnsi="Arial" w:cs="Arial"/>
                <w:sz w:val="20"/>
                <w:szCs w:val="20"/>
                <w:lang w:val="en-GB"/>
              </w:rPr>
            </w:pPr>
            <w:r>
              <w:rPr>
                <w:rFonts w:ascii="Arial" w:hAnsi="Arial" w:cs="Arial"/>
                <w:sz w:val="20"/>
                <w:szCs w:val="20"/>
                <w:lang w:val="en-GB"/>
              </w:rPr>
              <w:t>Drug Enforcement Administration</w:t>
            </w:r>
            <w:r>
              <w:rPr>
                <w:rFonts w:ascii="Arial" w:hAnsi="Arial" w:cs="Arial"/>
                <w:sz w:val="20"/>
                <w:szCs w:val="20"/>
                <w:lang w:val="en-GB"/>
              </w:rPr>
              <w:fldChar w:fldCharType="begin" w:fldLock="1"/>
            </w:r>
            <w:r w:rsidR="00FC467E">
              <w:rPr>
                <w:rFonts w:ascii="Arial" w:hAnsi="Arial" w:cs="Arial"/>
                <w:sz w:val="20"/>
                <w:szCs w:val="20"/>
                <w:lang w:val="en-GB"/>
              </w:rPr>
              <w:instrText>ADDIN CSL_CITATION {"citationItems":[{"id":"ITEM-1","itemData":{"URL":"https://apps.deadiversion.usdoj.gov/RAPR/raprRegistrantPopulationByBusinessActivity.xhtml?jfwid=NCfboB71AH6pTbonosE69q-RY-riTP0dA2Xo0s0R:2#no-back-button","accessed":{"date-parts":[["2022","11","7"]]},"author":[{"dropping-particle":"","family":"U.S. Drug Enforcement Administration Diversion Control Division","given":"","non-dropping-particle":"","parse-names":false,"suffix":""}],"id":"ITEM-1","issued":{"date-parts":[["0"]]},"title":"DEA - Qualifying Practitioners by State","type":"webpage"},"uris":["http://www.mendeley.com/documents/?uuid=fb507642-6bb9-38a4-a7e0-2a34119a4b54"]}],"mendeley":{"formattedCitation":"&lt;sup&gt;8&lt;/sup&gt;","plainTextFormattedCitation":"8","previouslyFormattedCitation":"&lt;sup&gt;8&lt;/sup&gt;"},"properties":{"noteIndex":0},"schema":"https://github.com/citation-style-language/schema/raw/master/csl-citation.json"}</w:instrText>
            </w:r>
            <w:r>
              <w:rPr>
                <w:rFonts w:ascii="Arial" w:hAnsi="Arial" w:cs="Arial"/>
                <w:sz w:val="20"/>
                <w:szCs w:val="20"/>
                <w:lang w:val="en-GB"/>
              </w:rPr>
              <w:fldChar w:fldCharType="separate"/>
            </w:r>
            <w:r w:rsidRPr="003F3666">
              <w:rPr>
                <w:rFonts w:ascii="Arial" w:hAnsi="Arial" w:cs="Arial"/>
                <w:noProof/>
                <w:sz w:val="20"/>
                <w:szCs w:val="20"/>
                <w:vertAlign w:val="superscript"/>
                <w:lang w:val="en-GB"/>
              </w:rPr>
              <w:t>8</w:t>
            </w:r>
            <w:r>
              <w:rPr>
                <w:rFonts w:ascii="Arial" w:hAnsi="Arial" w:cs="Arial"/>
                <w:sz w:val="20"/>
                <w:szCs w:val="20"/>
                <w:lang w:val="en-GB"/>
              </w:rPr>
              <w:fldChar w:fldCharType="end"/>
            </w:r>
          </w:p>
        </w:tc>
      </w:tr>
      <w:tr w:rsidR="0022431B" w:rsidRPr="002F020B" w14:paraId="7092CF9E" w14:textId="77777777" w:rsidTr="00BD6273">
        <w:trPr>
          <w:trHeight w:val="17"/>
        </w:trPr>
        <w:tc>
          <w:tcPr>
            <w:tcW w:w="489" w:type="pct"/>
            <w:tcBorders>
              <w:top w:val="single" w:sz="4" w:space="0" w:color="auto"/>
              <w:bottom w:val="single" w:sz="4" w:space="0" w:color="auto"/>
            </w:tcBorders>
            <w:vAlign w:val="center"/>
          </w:tcPr>
          <w:p w14:paraId="2E5FF52A" w14:textId="6A482B87" w:rsidR="0022431B" w:rsidRPr="002F020B" w:rsidRDefault="0022431B" w:rsidP="0022431B">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2020</w:t>
            </w:r>
          </w:p>
        </w:tc>
        <w:tc>
          <w:tcPr>
            <w:tcW w:w="550" w:type="pct"/>
            <w:tcBorders>
              <w:top w:val="single" w:sz="4" w:space="0" w:color="auto"/>
              <w:bottom w:val="single" w:sz="4" w:space="0" w:color="auto"/>
            </w:tcBorders>
            <w:vAlign w:val="center"/>
          </w:tcPr>
          <w:p w14:paraId="6DBE2858" w14:textId="57AB59F5" w:rsidR="0022431B" w:rsidRPr="002F020B" w:rsidRDefault="0022431B" w:rsidP="0022431B">
            <w:pPr>
              <w:spacing w:before="0" w:line="240" w:lineRule="auto"/>
              <w:rPr>
                <w:rFonts w:ascii="Arial" w:hAnsi="Arial" w:cs="Arial"/>
                <w:sz w:val="20"/>
                <w:szCs w:val="20"/>
                <w:lang w:val="en-GB"/>
              </w:rPr>
            </w:pPr>
            <w:r>
              <w:rPr>
                <w:rFonts w:ascii="Arial" w:hAnsi="Arial" w:cs="Arial"/>
                <w:sz w:val="20"/>
                <w:szCs w:val="20"/>
                <w:lang w:val="en-GB"/>
              </w:rPr>
              <w:t>94,223</w:t>
            </w:r>
          </w:p>
        </w:tc>
        <w:tc>
          <w:tcPr>
            <w:tcW w:w="3961" w:type="pct"/>
            <w:tcBorders>
              <w:top w:val="single" w:sz="4" w:space="0" w:color="auto"/>
              <w:bottom w:val="single" w:sz="4" w:space="0" w:color="auto"/>
            </w:tcBorders>
            <w:vAlign w:val="center"/>
          </w:tcPr>
          <w:p w14:paraId="52AA768D" w14:textId="33836E16" w:rsidR="0022431B" w:rsidRPr="002F020B" w:rsidRDefault="00376C22" w:rsidP="0022431B">
            <w:pPr>
              <w:spacing w:before="0" w:line="240" w:lineRule="auto"/>
              <w:rPr>
                <w:rFonts w:ascii="Arial" w:hAnsi="Arial" w:cs="Arial"/>
                <w:sz w:val="20"/>
                <w:szCs w:val="20"/>
                <w:lang w:val="en-GB"/>
              </w:rPr>
            </w:pPr>
            <w:r>
              <w:rPr>
                <w:rFonts w:ascii="Arial" w:hAnsi="Arial" w:cs="Arial"/>
                <w:sz w:val="20"/>
                <w:szCs w:val="20"/>
                <w:lang w:val="en-GB"/>
              </w:rPr>
              <w:t>Substance Abuse and Mental Health Services Administration Practitioner and Program Data website as of Dec 30, 2020</w:t>
            </w:r>
            <w:r w:rsidR="001875B9">
              <w:rPr>
                <w:rFonts w:ascii="Arial" w:hAnsi="Arial" w:cs="Arial"/>
                <w:sz w:val="20"/>
                <w:szCs w:val="20"/>
                <w:lang w:val="en-GB"/>
              </w:rPr>
              <w:t>.</w:t>
            </w:r>
            <w:r w:rsidR="001875B9">
              <w:rPr>
                <w:rFonts w:ascii="Arial" w:hAnsi="Arial" w:cs="Arial"/>
                <w:sz w:val="20"/>
                <w:szCs w:val="20"/>
                <w:lang w:val="en-GB"/>
              </w:rPr>
              <w:fldChar w:fldCharType="begin" w:fldLock="1"/>
            </w:r>
            <w:r w:rsidR="00FC467E">
              <w:rPr>
                <w:rFonts w:ascii="Arial" w:hAnsi="Arial" w:cs="Arial"/>
                <w:sz w:val="20"/>
                <w:szCs w:val="20"/>
                <w:lang w:val="en-GB"/>
              </w:rPr>
              <w:instrText>ADDIN CSL_CITATION {"citationItems":[{"id":"ITEM-1","itemData":{"URL":"https://www.samhsa.gov/medication-assisted-treatment/practitioner-resources/data-program-data","accessed":{"date-parts":[["2022","8","24"]]},"author":[{"dropping-particle":"","family":"Substance Abuse and Mental Health Services Administration","given":"","non-dropping-particle":"","parse-names":false,"suffix":""}],"id":"ITEM-1","issued":{"date-parts":[["2022"]]},"title":"Practitioner and Program Data","type":"webpage"},"uris":["http://www.mendeley.com/documents/?uuid=a170a3df-e73f-49a6-9af3-b2f114373f7e"]}],"mendeley":{"formattedCitation":"&lt;sup&gt;9&lt;/sup&gt;","plainTextFormattedCitation":"9","previouslyFormattedCitation":"&lt;sup&gt;11&lt;/sup&gt;"},"properties":{"noteIndex":0},"schema":"https://github.com/citation-style-language/schema/raw/master/csl-citation.json"}</w:instrText>
            </w:r>
            <w:r w:rsidR="001875B9">
              <w:rPr>
                <w:rFonts w:ascii="Arial" w:hAnsi="Arial" w:cs="Arial"/>
                <w:sz w:val="20"/>
                <w:szCs w:val="20"/>
                <w:lang w:val="en-GB"/>
              </w:rPr>
              <w:fldChar w:fldCharType="separate"/>
            </w:r>
            <w:r w:rsidR="00FC467E" w:rsidRPr="00FC467E">
              <w:rPr>
                <w:rFonts w:ascii="Arial" w:hAnsi="Arial" w:cs="Arial"/>
                <w:noProof/>
                <w:sz w:val="20"/>
                <w:szCs w:val="20"/>
                <w:vertAlign w:val="superscript"/>
                <w:lang w:val="en-GB"/>
              </w:rPr>
              <w:t>9</w:t>
            </w:r>
            <w:r w:rsidR="001875B9">
              <w:rPr>
                <w:rFonts w:ascii="Arial" w:hAnsi="Arial" w:cs="Arial"/>
                <w:sz w:val="20"/>
                <w:szCs w:val="20"/>
                <w:lang w:val="en-GB"/>
              </w:rPr>
              <w:fldChar w:fldCharType="end"/>
            </w:r>
            <w:r w:rsidR="001875B9">
              <w:rPr>
                <w:rFonts w:ascii="Arial" w:hAnsi="Arial" w:cs="Arial"/>
                <w:sz w:val="20"/>
                <w:szCs w:val="20"/>
                <w:lang w:val="en-GB"/>
              </w:rPr>
              <w:t xml:space="preserve"> </w:t>
            </w:r>
          </w:p>
        </w:tc>
      </w:tr>
      <w:tr w:rsidR="0022431B" w:rsidRPr="002F020B" w14:paraId="34D9CBAE" w14:textId="77777777" w:rsidTr="00BD6273">
        <w:trPr>
          <w:trHeight w:val="17"/>
        </w:trPr>
        <w:tc>
          <w:tcPr>
            <w:tcW w:w="489" w:type="pct"/>
            <w:tcBorders>
              <w:top w:val="single" w:sz="4" w:space="0" w:color="auto"/>
              <w:bottom w:val="single" w:sz="4" w:space="0" w:color="auto"/>
            </w:tcBorders>
            <w:vAlign w:val="center"/>
          </w:tcPr>
          <w:p w14:paraId="48B31871" w14:textId="596B865C" w:rsidR="0022431B" w:rsidRPr="002F020B" w:rsidRDefault="0022431B" w:rsidP="0022431B">
            <w:pPr>
              <w:tabs>
                <w:tab w:val="left" w:pos="3367"/>
              </w:tabs>
              <w:spacing w:before="0" w:line="240" w:lineRule="auto"/>
              <w:rPr>
                <w:rFonts w:ascii="Arial" w:hAnsi="Arial" w:cs="Arial"/>
                <w:sz w:val="20"/>
                <w:szCs w:val="20"/>
                <w:lang w:val="en-GB"/>
              </w:rPr>
            </w:pPr>
            <w:r w:rsidRPr="002F020B">
              <w:rPr>
                <w:rFonts w:ascii="Arial" w:hAnsi="Arial" w:cs="Arial"/>
                <w:sz w:val="20"/>
                <w:szCs w:val="20"/>
                <w:lang w:val="en-GB"/>
              </w:rPr>
              <w:t>2021</w:t>
            </w:r>
          </w:p>
        </w:tc>
        <w:tc>
          <w:tcPr>
            <w:tcW w:w="550" w:type="pct"/>
            <w:tcBorders>
              <w:top w:val="single" w:sz="4" w:space="0" w:color="auto"/>
              <w:bottom w:val="single" w:sz="4" w:space="0" w:color="auto"/>
            </w:tcBorders>
            <w:vAlign w:val="center"/>
          </w:tcPr>
          <w:p w14:paraId="1740EC42" w14:textId="7D4CDEF1" w:rsidR="0022431B" w:rsidRPr="002F020B" w:rsidRDefault="0022431B" w:rsidP="0022431B">
            <w:pPr>
              <w:spacing w:before="0" w:line="240" w:lineRule="auto"/>
              <w:rPr>
                <w:rFonts w:ascii="Arial" w:hAnsi="Arial" w:cs="Arial"/>
                <w:sz w:val="20"/>
                <w:szCs w:val="20"/>
                <w:lang w:val="en-GB"/>
              </w:rPr>
            </w:pPr>
            <w:r>
              <w:rPr>
                <w:rFonts w:ascii="Arial" w:hAnsi="Arial" w:cs="Arial"/>
                <w:sz w:val="20"/>
                <w:szCs w:val="20"/>
                <w:lang w:val="en-GB"/>
              </w:rPr>
              <w:t>114,376</w:t>
            </w:r>
          </w:p>
        </w:tc>
        <w:tc>
          <w:tcPr>
            <w:tcW w:w="3961" w:type="pct"/>
            <w:tcBorders>
              <w:top w:val="single" w:sz="4" w:space="0" w:color="auto"/>
              <w:bottom w:val="single" w:sz="4" w:space="0" w:color="auto"/>
            </w:tcBorders>
            <w:vAlign w:val="center"/>
          </w:tcPr>
          <w:p w14:paraId="18EC1B23" w14:textId="15122707" w:rsidR="0022431B" w:rsidRPr="002F020B" w:rsidRDefault="001875B9" w:rsidP="0022431B">
            <w:pPr>
              <w:spacing w:before="0" w:line="240" w:lineRule="auto"/>
              <w:rPr>
                <w:rFonts w:ascii="Arial" w:hAnsi="Arial" w:cs="Arial"/>
                <w:sz w:val="20"/>
                <w:szCs w:val="20"/>
                <w:lang w:val="en-GB"/>
              </w:rPr>
            </w:pPr>
            <w:r>
              <w:rPr>
                <w:rFonts w:ascii="Arial" w:hAnsi="Arial" w:cs="Arial"/>
                <w:sz w:val="20"/>
                <w:szCs w:val="20"/>
                <w:lang w:val="en-GB"/>
              </w:rPr>
              <w:t>Substance Abuse and Mental Health Services Administration Practitioner and Program Data website as of Jan 3, 2022.</w:t>
            </w:r>
            <w:r>
              <w:rPr>
                <w:rFonts w:ascii="Arial" w:hAnsi="Arial" w:cs="Arial"/>
                <w:sz w:val="20"/>
                <w:szCs w:val="20"/>
                <w:lang w:val="en-GB"/>
              </w:rPr>
              <w:fldChar w:fldCharType="begin" w:fldLock="1"/>
            </w:r>
            <w:r w:rsidR="00FC467E">
              <w:rPr>
                <w:rFonts w:ascii="Arial" w:hAnsi="Arial" w:cs="Arial"/>
                <w:sz w:val="20"/>
                <w:szCs w:val="20"/>
                <w:lang w:val="en-GB"/>
              </w:rPr>
              <w:instrText>ADDIN CSL_CITATION {"citationItems":[{"id":"ITEM-1","itemData":{"URL":"https://www.samhsa.gov/medication-assisted-treatment/practitioner-resources/data-program-data","accessed":{"date-parts":[["2022","8","24"]]},"author":[{"dropping-particle":"","family":"Substance Abuse and Mental Health Services Administration","given":"","non-dropping-particle":"","parse-names":false,"suffix":""}],"id":"ITEM-1","issued":{"date-parts":[["2022"]]},"title":"Practitioner and Program Data","type":"webpage"},"uris":["http://www.mendeley.com/documents/?uuid=66d3e00f-c71a-4368-aa03-288d0e69f33c"]}],"mendeley":{"formattedCitation":"&lt;sup&gt;9&lt;/sup&gt;","plainTextFormattedCitation":"9","previouslyFormattedCitation":"&lt;sup&gt;11&lt;/sup&gt;"},"properties":{"noteIndex":0},"schema":"https://github.com/citation-style-language/schema/raw/master/csl-citation.json"}</w:instrText>
            </w:r>
            <w:r>
              <w:rPr>
                <w:rFonts w:ascii="Arial" w:hAnsi="Arial" w:cs="Arial"/>
                <w:sz w:val="20"/>
                <w:szCs w:val="20"/>
                <w:lang w:val="en-GB"/>
              </w:rPr>
              <w:fldChar w:fldCharType="separate"/>
            </w:r>
            <w:r w:rsidR="00FC467E" w:rsidRPr="00FC467E">
              <w:rPr>
                <w:rFonts w:ascii="Arial" w:hAnsi="Arial" w:cs="Arial"/>
                <w:noProof/>
                <w:sz w:val="20"/>
                <w:szCs w:val="20"/>
                <w:vertAlign w:val="superscript"/>
                <w:lang w:val="en-GB"/>
              </w:rPr>
              <w:t>9</w:t>
            </w:r>
            <w:r>
              <w:rPr>
                <w:rFonts w:ascii="Arial" w:hAnsi="Arial" w:cs="Arial"/>
                <w:sz w:val="20"/>
                <w:szCs w:val="20"/>
                <w:lang w:val="en-GB"/>
              </w:rPr>
              <w:fldChar w:fldCharType="end"/>
            </w:r>
            <w:r>
              <w:rPr>
                <w:rFonts w:ascii="Arial" w:hAnsi="Arial" w:cs="Arial"/>
                <w:sz w:val="20"/>
                <w:szCs w:val="20"/>
                <w:lang w:val="en-GB"/>
              </w:rPr>
              <w:t xml:space="preserve"> </w:t>
            </w:r>
          </w:p>
        </w:tc>
      </w:tr>
    </w:tbl>
    <w:p w14:paraId="0C346046" w14:textId="254491D0" w:rsidR="00847903" w:rsidRDefault="00847903" w:rsidP="00B20CB7">
      <w:pPr>
        <w:spacing w:before="0" w:line="240" w:lineRule="auto"/>
        <w:rPr>
          <w:sz w:val="20"/>
          <w:szCs w:val="20"/>
        </w:rPr>
      </w:pPr>
    </w:p>
    <w:p w14:paraId="320AADA4" w14:textId="77777777" w:rsidR="00847903" w:rsidRDefault="00847903">
      <w:pPr>
        <w:spacing w:before="0" w:after="160" w:line="259" w:lineRule="auto"/>
        <w:rPr>
          <w:sz w:val="20"/>
          <w:szCs w:val="20"/>
        </w:rPr>
      </w:pPr>
      <w:r>
        <w:rPr>
          <w:sz w:val="20"/>
          <w:szCs w:val="20"/>
        </w:rPr>
        <w:br w:type="page"/>
      </w:r>
    </w:p>
    <w:p w14:paraId="35BEB545" w14:textId="19DBD443" w:rsidR="00847903" w:rsidRDefault="00C13DEE" w:rsidP="00B20CB7">
      <w:pPr>
        <w:spacing w:before="0" w:line="240" w:lineRule="auto"/>
        <w:rPr>
          <w:b/>
          <w:bCs/>
        </w:rPr>
      </w:pPr>
      <w:r>
        <w:rPr>
          <w:b/>
          <w:bCs/>
        </w:rPr>
        <w:lastRenderedPageBreak/>
        <w:t xml:space="preserve">References: </w:t>
      </w:r>
    </w:p>
    <w:p w14:paraId="5F2263CC" w14:textId="261C413C" w:rsidR="00FC467E" w:rsidRPr="00FC467E" w:rsidRDefault="00E26F7E" w:rsidP="00FC467E">
      <w:pPr>
        <w:widowControl w:val="0"/>
        <w:autoSpaceDE w:val="0"/>
        <w:autoSpaceDN w:val="0"/>
        <w:adjustRightInd w:val="0"/>
        <w:spacing w:before="0" w:line="240" w:lineRule="auto"/>
        <w:ind w:left="640" w:hanging="640"/>
        <w:rPr>
          <w:noProof/>
          <w:sz w:val="20"/>
        </w:rPr>
      </w:pPr>
      <w:r w:rsidRPr="00B20CB7">
        <w:rPr>
          <w:sz w:val="20"/>
          <w:szCs w:val="20"/>
        </w:rPr>
        <w:fldChar w:fldCharType="begin" w:fldLock="1"/>
      </w:r>
      <w:r w:rsidRPr="00B20CB7">
        <w:rPr>
          <w:sz w:val="20"/>
          <w:szCs w:val="20"/>
        </w:rPr>
        <w:instrText xml:space="preserve">ADDIN Mendeley Bibliography CSL_BIBLIOGRAPHY </w:instrText>
      </w:r>
      <w:r w:rsidRPr="00B20CB7">
        <w:rPr>
          <w:sz w:val="20"/>
          <w:szCs w:val="20"/>
        </w:rPr>
        <w:fldChar w:fldCharType="separate"/>
      </w:r>
      <w:r w:rsidR="00FC467E" w:rsidRPr="00FC467E">
        <w:rPr>
          <w:noProof/>
          <w:sz w:val="20"/>
        </w:rPr>
        <w:t xml:space="preserve">1. </w:t>
      </w:r>
      <w:r w:rsidR="00FC467E" w:rsidRPr="00FC467E">
        <w:rPr>
          <w:noProof/>
          <w:sz w:val="20"/>
        </w:rPr>
        <w:tab/>
        <w:t xml:space="preserve">Jones CM, Campopiano M, Baldwin G, McCance-Katz E. National and State Treatment Need and Capacity for Opioid Agonist Medication-Assisted Treatment. </w:t>
      </w:r>
      <w:r w:rsidR="00FC467E" w:rsidRPr="00FC467E">
        <w:rPr>
          <w:i/>
          <w:iCs/>
          <w:noProof/>
          <w:sz w:val="20"/>
        </w:rPr>
        <w:t>Am J Public Health</w:t>
      </w:r>
      <w:r w:rsidR="00FC467E" w:rsidRPr="00FC467E">
        <w:rPr>
          <w:noProof/>
          <w:sz w:val="20"/>
        </w:rPr>
        <w:t>. 2015;105(8):e55-e63. doi:10.2105/AJPH.2015.302664</w:t>
      </w:r>
    </w:p>
    <w:p w14:paraId="455B6A24" w14:textId="77777777" w:rsidR="00FC467E" w:rsidRPr="00FC467E" w:rsidRDefault="00FC467E" w:rsidP="00FC467E">
      <w:pPr>
        <w:widowControl w:val="0"/>
        <w:autoSpaceDE w:val="0"/>
        <w:autoSpaceDN w:val="0"/>
        <w:adjustRightInd w:val="0"/>
        <w:spacing w:before="0" w:line="240" w:lineRule="auto"/>
        <w:ind w:left="640" w:hanging="640"/>
        <w:rPr>
          <w:noProof/>
          <w:sz w:val="20"/>
        </w:rPr>
      </w:pPr>
      <w:r w:rsidRPr="00FC467E">
        <w:rPr>
          <w:noProof/>
          <w:sz w:val="20"/>
        </w:rPr>
        <w:t xml:space="preserve">2. </w:t>
      </w:r>
      <w:r w:rsidRPr="00FC467E">
        <w:rPr>
          <w:noProof/>
          <w:sz w:val="20"/>
        </w:rPr>
        <w:tab/>
        <w:t xml:space="preserve">Stein BD, Pacula RL, Gordon AJ, et al. Where Is Buprenorphine Dispensed to Treat Opioid Use Disorders? The Role of Private Offices, Opioid Treatment Programs, and Substance Abuse Treatment Facilities in Urban and Rural Counties. </w:t>
      </w:r>
      <w:r w:rsidRPr="00FC467E">
        <w:rPr>
          <w:i/>
          <w:iCs/>
          <w:noProof/>
          <w:sz w:val="20"/>
        </w:rPr>
        <w:t>Milbank Q</w:t>
      </w:r>
      <w:r w:rsidRPr="00FC467E">
        <w:rPr>
          <w:noProof/>
          <w:sz w:val="20"/>
        </w:rPr>
        <w:t>. 2015;93(3):561-583. doi:10.1111/1468-0009.12137</w:t>
      </w:r>
    </w:p>
    <w:p w14:paraId="5F03C988" w14:textId="77777777" w:rsidR="00FC467E" w:rsidRPr="00FC467E" w:rsidRDefault="00FC467E" w:rsidP="00FC467E">
      <w:pPr>
        <w:widowControl w:val="0"/>
        <w:autoSpaceDE w:val="0"/>
        <w:autoSpaceDN w:val="0"/>
        <w:adjustRightInd w:val="0"/>
        <w:spacing w:before="0" w:line="240" w:lineRule="auto"/>
        <w:ind w:left="640" w:hanging="640"/>
        <w:rPr>
          <w:noProof/>
          <w:sz w:val="20"/>
        </w:rPr>
      </w:pPr>
      <w:r w:rsidRPr="00FC467E">
        <w:rPr>
          <w:noProof/>
          <w:sz w:val="20"/>
        </w:rPr>
        <w:t xml:space="preserve">3. </w:t>
      </w:r>
      <w:r w:rsidRPr="00FC467E">
        <w:rPr>
          <w:noProof/>
          <w:sz w:val="20"/>
        </w:rPr>
        <w:tab/>
        <w:t xml:space="preserve">Fiellin DA. The First Three Years of Buprenorphine in the United States: Experience to Date and Future Directions. </w:t>
      </w:r>
      <w:r w:rsidRPr="00FC467E">
        <w:rPr>
          <w:i/>
          <w:iCs/>
          <w:noProof/>
          <w:sz w:val="20"/>
        </w:rPr>
        <w:t>J Addict Med</w:t>
      </w:r>
      <w:r w:rsidRPr="00FC467E">
        <w:rPr>
          <w:noProof/>
          <w:sz w:val="20"/>
        </w:rPr>
        <w:t>. 2007;1(2):62-67. doi:10.1097/ADM.0b013e3180473c11</w:t>
      </w:r>
    </w:p>
    <w:p w14:paraId="2F575A2C" w14:textId="77777777" w:rsidR="00FC467E" w:rsidRPr="00FC467E" w:rsidRDefault="00FC467E" w:rsidP="00FC467E">
      <w:pPr>
        <w:widowControl w:val="0"/>
        <w:autoSpaceDE w:val="0"/>
        <w:autoSpaceDN w:val="0"/>
        <w:adjustRightInd w:val="0"/>
        <w:spacing w:before="0" w:line="240" w:lineRule="auto"/>
        <w:ind w:left="640" w:hanging="640"/>
        <w:rPr>
          <w:noProof/>
          <w:sz w:val="20"/>
        </w:rPr>
      </w:pPr>
      <w:r w:rsidRPr="00FC467E">
        <w:rPr>
          <w:noProof/>
          <w:sz w:val="20"/>
        </w:rPr>
        <w:t xml:space="preserve">4. </w:t>
      </w:r>
      <w:r w:rsidRPr="00FC467E">
        <w:rPr>
          <w:noProof/>
          <w:sz w:val="20"/>
        </w:rPr>
        <w:tab/>
        <w:t xml:space="preserve">Arfken CL, Ph D, Johanson C, et al. Expanding treatment capacity for opioid dependence with office-based treatment with buprenorphine : National surveys of physicians. </w:t>
      </w:r>
      <w:r w:rsidRPr="00FC467E">
        <w:rPr>
          <w:i/>
          <w:iCs/>
          <w:noProof/>
          <w:sz w:val="20"/>
        </w:rPr>
        <w:t>J Subst Abuse Treat</w:t>
      </w:r>
      <w:r w:rsidRPr="00FC467E">
        <w:rPr>
          <w:noProof/>
          <w:sz w:val="20"/>
        </w:rPr>
        <w:t>. 2010;39(2):96-104. doi:10.1016/j.jsat.2010.05.004</w:t>
      </w:r>
    </w:p>
    <w:p w14:paraId="452B15D0" w14:textId="77777777" w:rsidR="00FC467E" w:rsidRPr="00FC467E" w:rsidRDefault="00FC467E" w:rsidP="00FC467E">
      <w:pPr>
        <w:widowControl w:val="0"/>
        <w:autoSpaceDE w:val="0"/>
        <w:autoSpaceDN w:val="0"/>
        <w:adjustRightInd w:val="0"/>
        <w:spacing w:before="0" w:line="240" w:lineRule="auto"/>
        <w:ind w:left="640" w:hanging="640"/>
        <w:rPr>
          <w:noProof/>
          <w:sz w:val="20"/>
        </w:rPr>
      </w:pPr>
      <w:r w:rsidRPr="00FC467E">
        <w:rPr>
          <w:noProof/>
          <w:sz w:val="20"/>
        </w:rPr>
        <w:t xml:space="preserve">5. </w:t>
      </w:r>
      <w:r w:rsidRPr="00FC467E">
        <w:rPr>
          <w:noProof/>
          <w:sz w:val="20"/>
        </w:rPr>
        <w:tab/>
        <w:t xml:space="preserve">Knudsen HK. The supply of physicians waivered to prescribe buprenorphine for opioid use disorders in the United States: A state-level analysis. </w:t>
      </w:r>
      <w:r w:rsidRPr="00FC467E">
        <w:rPr>
          <w:i/>
          <w:iCs/>
          <w:noProof/>
          <w:sz w:val="20"/>
        </w:rPr>
        <w:t>J Stud Alcohol Drugs</w:t>
      </w:r>
      <w:r w:rsidRPr="00FC467E">
        <w:rPr>
          <w:noProof/>
          <w:sz w:val="20"/>
        </w:rPr>
        <w:t>. 2015;76(4):644-654. doi:10.15288/jsad.2015.76.644</w:t>
      </w:r>
    </w:p>
    <w:p w14:paraId="20F09F83" w14:textId="77777777" w:rsidR="00FC467E" w:rsidRPr="00FC467E" w:rsidRDefault="00FC467E" w:rsidP="00FC467E">
      <w:pPr>
        <w:widowControl w:val="0"/>
        <w:autoSpaceDE w:val="0"/>
        <w:autoSpaceDN w:val="0"/>
        <w:adjustRightInd w:val="0"/>
        <w:spacing w:before="0" w:line="240" w:lineRule="auto"/>
        <w:ind w:left="640" w:hanging="640"/>
        <w:rPr>
          <w:noProof/>
          <w:sz w:val="20"/>
        </w:rPr>
      </w:pPr>
      <w:r w:rsidRPr="00FC467E">
        <w:rPr>
          <w:noProof/>
          <w:sz w:val="20"/>
        </w:rPr>
        <w:t xml:space="preserve">6. </w:t>
      </w:r>
      <w:r w:rsidRPr="00FC467E">
        <w:rPr>
          <w:noProof/>
          <w:sz w:val="20"/>
        </w:rPr>
        <w:tab/>
        <w:t>Substance Abuse and Mental Health Services Administration. 2014 Buprenorphine Summit: Report of Proceedings. In: ; 2014. https://www.samhsa.gov/sites/default/files/proceedings_of_2014_buprenorphine_summit_030915_508.pdf. Accessed April 22, 2022.</w:t>
      </w:r>
    </w:p>
    <w:p w14:paraId="4A241AFD" w14:textId="77777777" w:rsidR="00FC467E" w:rsidRPr="00FC467E" w:rsidRDefault="00FC467E" w:rsidP="00FC467E">
      <w:pPr>
        <w:widowControl w:val="0"/>
        <w:autoSpaceDE w:val="0"/>
        <w:autoSpaceDN w:val="0"/>
        <w:adjustRightInd w:val="0"/>
        <w:spacing w:before="0" w:line="240" w:lineRule="auto"/>
        <w:ind w:left="640" w:hanging="640"/>
        <w:rPr>
          <w:noProof/>
          <w:sz w:val="20"/>
        </w:rPr>
      </w:pPr>
      <w:r w:rsidRPr="00FC467E">
        <w:rPr>
          <w:noProof/>
          <w:sz w:val="20"/>
        </w:rPr>
        <w:t xml:space="preserve">7. </w:t>
      </w:r>
      <w:r w:rsidRPr="00FC467E">
        <w:rPr>
          <w:noProof/>
          <w:sz w:val="20"/>
        </w:rPr>
        <w:tab/>
        <w:t>Health and Human Services Department. Medication Assisted Treatment for Opioid Use Disorders. 2016. https://www.federalregister.gov/documents/2016/03/30/2016-07128/medication-assisted-treatment-for-opioid-use-disorders. Accessed August 31, 2022.</w:t>
      </w:r>
    </w:p>
    <w:p w14:paraId="662C30CD" w14:textId="77777777" w:rsidR="00FC467E" w:rsidRPr="00FC467E" w:rsidRDefault="00FC467E" w:rsidP="00FC467E">
      <w:pPr>
        <w:widowControl w:val="0"/>
        <w:autoSpaceDE w:val="0"/>
        <w:autoSpaceDN w:val="0"/>
        <w:adjustRightInd w:val="0"/>
        <w:spacing w:before="0" w:line="240" w:lineRule="auto"/>
        <w:ind w:left="640" w:hanging="640"/>
        <w:rPr>
          <w:noProof/>
          <w:sz w:val="20"/>
        </w:rPr>
      </w:pPr>
      <w:r w:rsidRPr="00FC467E">
        <w:rPr>
          <w:noProof/>
          <w:sz w:val="20"/>
        </w:rPr>
        <w:t xml:space="preserve">8. </w:t>
      </w:r>
      <w:r w:rsidRPr="00FC467E">
        <w:rPr>
          <w:noProof/>
          <w:sz w:val="20"/>
        </w:rPr>
        <w:tab/>
        <w:t>U.S. Drug Enforcement Administration Diversion Control Division. DEA - Qualifying Practitioners by State. https://apps.deadiversion.usdoj.gov/RAPR/raprRegistrantPopulationByBusinessActivity.xhtml?jfwid=NCfboB71AH6pTbonosE69q-RY-riTP0dA2Xo0s0R:2#no-back-button. Accessed November 7, 2022.</w:t>
      </w:r>
    </w:p>
    <w:p w14:paraId="485920F5" w14:textId="77777777" w:rsidR="00FC467E" w:rsidRPr="00FC467E" w:rsidRDefault="00FC467E" w:rsidP="00FC467E">
      <w:pPr>
        <w:widowControl w:val="0"/>
        <w:autoSpaceDE w:val="0"/>
        <w:autoSpaceDN w:val="0"/>
        <w:adjustRightInd w:val="0"/>
        <w:spacing w:before="0" w:line="240" w:lineRule="auto"/>
        <w:ind w:left="640" w:hanging="640"/>
        <w:rPr>
          <w:noProof/>
          <w:sz w:val="20"/>
        </w:rPr>
      </w:pPr>
      <w:r w:rsidRPr="00FC467E">
        <w:rPr>
          <w:noProof/>
          <w:sz w:val="20"/>
        </w:rPr>
        <w:t xml:space="preserve">9. </w:t>
      </w:r>
      <w:r w:rsidRPr="00FC467E">
        <w:rPr>
          <w:noProof/>
          <w:sz w:val="20"/>
        </w:rPr>
        <w:tab/>
        <w:t>Substance Abuse and Mental Health Services Administration. Practitioner and Program Data. https://www.samhsa.gov/medication-assisted-treatment/practitioner-resources/data-program-data. Published 2022. Accessed August 24, 2022.</w:t>
      </w:r>
    </w:p>
    <w:p w14:paraId="7A5E660A" w14:textId="12684656" w:rsidR="00E26F7E" w:rsidRPr="00E26F7E" w:rsidRDefault="00E26F7E" w:rsidP="00E26F7E">
      <w:pPr>
        <w:spacing w:before="0" w:line="240" w:lineRule="auto"/>
        <w:rPr>
          <w:b/>
        </w:rPr>
      </w:pPr>
      <w:r w:rsidRPr="00B20CB7">
        <w:rPr>
          <w:sz w:val="20"/>
          <w:szCs w:val="20"/>
        </w:rPr>
        <w:fldChar w:fldCharType="end"/>
      </w:r>
    </w:p>
    <w:sectPr w:rsidR="00E26F7E" w:rsidRPr="00E26F7E" w:rsidSect="00DD028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LUwMTQ3sjQzMTG2NDVW0lEKTi0uzszPAykwrgUAvhBefSwAAAA="/>
  </w:docVars>
  <w:rsids>
    <w:rsidRoot w:val="00776138"/>
    <w:rsid w:val="00036070"/>
    <w:rsid w:val="00041F6C"/>
    <w:rsid w:val="00065151"/>
    <w:rsid w:val="000719AC"/>
    <w:rsid w:val="00082B23"/>
    <w:rsid w:val="000E179F"/>
    <w:rsid w:val="000E180E"/>
    <w:rsid w:val="000E4E11"/>
    <w:rsid w:val="000E5338"/>
    <w:rsid w:val="000F0367"/>
    <w:rsid w:val="00117167"/>
    <w:rsid w:val="0015386E"/>
    <w:rsid w:val="00162C0F"/>
    <w:rsid w:val="00164691"/>
    <w:rsid w:val="0017031F"/>
    <w:rsid w:val="00170C8E"/>
    <w:rsid w:val="0017449F"/>
    <w:rsid w:val="001875B9"/>
    <w:rsid w:val="001A3840"/>
    <w:rsid w:val="001B6C3D"/>
    <w:rsid w:val="001E1804"/>
    <w:rsid w:val="001E5C2F"/>
    <w:rsid w:val="001E75B7"/>
    <w:rsid w:val="001F205D"/>
    <w:rsid w:val="001F78F1"/>
    <w:rsid w:val="00203AF6"/>
    <w:rsid w:val="00216CC9"/>
    <w:rsid w:val="0022431B"/>
    <w:rsid w:val="00232AB4"/>
    <w:rsid w:val="00260B19"/>
    <w:rsid w:val="00290A48"/>
    <w:rsid w:val="002A41DF"/>
    <w:rsid w:val="002D7048"/>
    <w:rsid w:val="002F020B"/>
    <w:rsid w:val="00307CD0"/>
    <w:rsid w:val="00351DC0"/>
    <w:rsid w:val="00361373"/>
    <w:rsid w:val="00376C22"/>
    <w:rsid w:val="00376C6C"/>
    <w:rsid w:val="00393F82"/>
    <w:rsid w:val="003B5ACB"/>
    <w:rsid w:val="003C220E"/>
    <w:rsid w:val="003E7331"/>
    <w:rsid w:val="003F3666"/>
    <w:rsid w:val="00423DF4"/>
    <w:rsid w:val="00484319"/>
    <w:rsid w:val="004A7323"/>
    <w:rsid w:val="00526C60"/>
    <w:rsid w:val="005332FD"/>
    <w:rsid w:val="00553275"/>
    <w:rsid w:val="0055701D"/>
    <w:rsid w:val="00586049"/>
    <w:rsid w:val="005918B6"/>
    <w:rsid w:val="005B1D46"/>
    <w:rsid w:val="005D3EEF"/>
    <w:rsid w:val="00645D06"/>
    <w:rsid w:val="00651A50"/>
    <w:rsid w:val="0067697A"/>
    <w:rsid w:val="006B5BA6"/>
    <w:rsid w:val="006C4370"/>
    <w:rsid w:val="006D427E"/>
    <w:rsid w:val="006D64A9"/>
    <w:rsid w:val="006D7516"/>
    <w:rsid w:val="00716AC9"/>
    <w:rsid w:val="007226B8"/>
    <w:rsid w:val="00757B97"/>
    <w:rsid w:val="007626C5"/>
    <w:rsid w:val="00767E7A"/>
    <w:rsid w:val="0077573F"/>
    <w:rsid w:val="00776138"/>
    <w:rsid w:val="00796725"/>
    <w:rsid w:val="007971F1"/>
    <w:rsid w:val="007C081F"/>
    <w:rsid w:val="007C0CBF"/>
    <w:rsid w:val="007F7FD9"/>
    <w:rsid w:val="00836BBF"/>
    <w:rsid w:val="0084336A"/>
    <w:rsid w:val="00845887"/>
    <w:rsid w:val="00847903"/>
    <w:rsid w:val="00872E78"/>
    <w:rsid w:val="0088650F"/>
    <w:rsid w:val="008A1D5E"/>
    <w:rsid w:val="008C1E39"/>
    <w:rsid w:val="008E1825"/>
    <w:rsid w:val="008E3DB5"/>
    <w:rsid w:val="008E6AF1"/>
    <w:rsid w:val="009278CF"/>
    <w:rsid w:val="00946F96"/>
    <w:rsid w:val="00965787"/>
    <w:rsid w:val="009B7098"/>
    <w:rsid w:val="009C45D8"/>
    <w:rsid w:val="009E37D9"/>
    <w:rsid w:val="009F301F"/>
    <w:rsid w:val="00A24C3C"/>
    <w:rsid w:val="00A42C97"/>
    <w:rsid w:val="00A71E93"/>
    <w:rsid w:val="00A97B11"/>
    <w:rsid w:val="00AE5139"/>
    <w:rsid w:val="00B14D42"/>
    <w:rsid w:val="00B1583E"/>
    <w:rsid w:val="00B20CB7"/>
    <w:rsid w:val="00B21047"/>
    <w:rsid w:val="00B32A30"/>
    <w:rsid w:val="00B42EA9"/>
    <w:rsid w:val="00B8113C"/>
    <w:rsid w:val="00B92165"/>
    <w:rsid w:val="00BA2CDA"/>
    <w:rsid w:val="00BA5043"/>
    <w:rsid w:val="00BB0C41"/>
    <w:rsid w:val="00BD3FBC"/>
    <w:rsid w:val="00BD6273"/>
    <w:rsid w:val="00BD7FDD"/>
    <w:rsid w:val="00BF6260"/>
    <w:rsid w:val="00C048B6"/>
    <w:rsid w:val="00C13DEE"/>
    <w:rsid w:val="00C328C3"/>
    <w:rsid w:val="00C545C4"/>
    <w:rsid w:val="00C55D1F"/>
    <w:rsid w:val="00CC24F2"/>
    <w:rsid w:val="00CC2E07"/>
    <w:rsid w:val="00CF217A"/>
    <w:rsid w:val="00D159A3"/>
    <w:rsid w:val="00D17BC4"/>
    <w:rsid w:val="00D37E2B"/>
    <w:rsid w:val="00D56425"/>
    <w:rsid w:val="00DB2DAE"/>
    <w:rsid w:val="00DB4152"/>
    <w:rsid w:val="00DD0283"/>
    <w:rsid w:val="00DD1EAA"/>
    <w:rsid w:val="00DF085C"/>
    <w:rsid w:val="00E145E9"/>
    <w:rsid w:val="00E21CAE"/>
    <w:rsid w:val="00E26F7E"/>
    <w:rsid w:val="00E56C2C"/>
    <w:rsid w:val="00E932EE"/>
    <w:rsid w:val="00E9333B"/>
    <w:rsid w:val="00E96473"/>
    <w:rsid w:val="00EA233F"/>
    <w:rsid w:val="00EA61AE"/>
    <w:rsid w:val="00EC3594"/>
    <w:rsid w:val="00EC5AAC"/>
    <w:rsid w:val="00ED3242"/>
    <w:rsid w:val="00ED6B8D"/>
    <w:rsid w:val="00F048A1"/>
    <w:rsid w:val="00F11D12"/>
    <w:rsid w:val="00F12E78"/>
    <w:rsid w:val="00F525B3"/>
    <w:rsid w:val="00F53ED3"/>
    <w:rsid w:val="00FC2F59"/>
    <w:rsid w:val="00FC42C3"/>
    <w:rsid w:val="00FC467E"/>
    <w:rsid w:val="01455C6B"/>
    <w:rsid w:val="027CEC85"/>
    <w:rsid w:val="040B5F28"/>
    <w:rsid w:val="0445A338"/>
    <w:rsid w:val="05958109"/>
    <w:rsid w:val="0E669762"/>
    <w:rsid w:val="0E8FB1F1"/>
    <w:rsid w:val="0EAC6DBC"/>
    <w:rsid w:val="0F718B62"/>
    <w:rsid w:val="10D7635F"/>
    <w:rsid w:val="12A92C24"/>
    <w:rsid w:val="13D9AE9B"/>
    <w:rsid w:val="173E9093"/>
    <w:rsid w:val="17BE8C26"/>
    <w:rsid w:val="186C2AB5"/>
    <w:rsid w:val="18DCF7D6"/>
    <w:rsid w:val="1AD2F60C"/>
    <w:rsid w:val="1CD309F2"/>
    <w:rsid w:val="1DEF96CC"/>
    <w:rsid w:val="1E06342E"/>
    <w:rsid w:val="1F89094D"/>
    <w:rsid w:val="20FF5D40"/>
    <w:rsid w:val="22C73D74"/>
    <w:rsid w:val="23534E97"/>
    <w:rsid w:val="2389FF36"/>
    <w:rsid w:val="2565C31F"/>
    <w:rsid w:val="25FEDE36"/>
    <w:rsid w:val="28C94332"/>
    <w:rsid w:val="29E41C0C"/>
    <w:rsid w:val="2BC9A483"/>
    <w:rsid w:val="37019A16"/>
    <w:rsid w:val="384D2B31"/>
    <w:rsid w:val="394FC250"/>
    <w:rsid w:val="3A2551D3"/>
    <w:rsid w:val="3DC0C6C9"/>
    <w:rsid w:val="3E79358D"/>
    <w:rsid w:val="3E835595"/>
    <w:rsid w:val="3E83AE6C"/>
    <w:rsid w:val="3EB3C195"/>
    <w:rsid w:val="3F0FAE49"/>
    <w:rsid w:val="41CBAA3C"/>
    <w:rsid w:val="42324F3D"/>
    <w:rsid w:val="43CE1F9E"/>
    <w:rsid w:val="4DC96ACF"/>
    <w:rsid w:val="519FBE93"/>
    <w:rsid w:val="51D907A7"/>
    <w:rsid w:val="55500843"/>
    <w:rsid w:val="5609F6F3"/>
    <w:rsid w:val="566F09BF"/>
    <w:rsid w:val="56AC78CA"/>
    <w:rsid w:val="570415EE"/>
    <w:rsid w:val="589CC32E"/>
    <w:rsid w:val="58BE10B7"/>
    <w:rsid w:val="591AF63B"/>
    <w:rsid w:val="59D0EED1"/>
    <w:rsid w:val="5AEB0E7D"/>
    <w:rsid w:val="5B3791D1"/>
    <w:rsid w:val="5DD2750C"/>
    <w:rsid w:val="63967432"/>
    <w:rsid w:val="68149010"/>
    <w:rsid w:val="6A6462BB"/>
    <w:rsid w:val="6D24BF51"/>
    <w:rsid w:val="6E8173B4"/>
    <w:rsid w:val="6F00143A"/>
    <w:rsid w:val="701D4415"/>
    <w:rsid w:val="70B515F1"/>
    <w:rsid w:val="73072393"/>
    <w:rsid w:val="7A4A108A"/>
    <w:rsid w:val="7CDC3B38"/>
    <w:rsid w:val="7CFB9BA6"/>
    <w:rsid w:val="7E38DBE5"/>
    <w:rsid w:val="7EDE49D8"/>
    <w:rsid w:val="7FD450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C942C7"/>
  <w15:chartTrackingRefBased/>
  <w15:docId w15:val="{AFBC2E76-5EAE-4C90-8776-3C4705723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E11"/>
    <w:pPr>
      <w:spacing w:before="120" w:after="0" w:line="48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4E11"/>
    <w:pPr>
      <w:spacing w:after="0" w:line="240" w:lineRule="auto"/>
    </w:pPr>
    <w:rPr>
      <w:rFonts w:ascii="Times New Roman" w:eastAsia="Calibri" w:hAnsi="Times New Roman"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A61AE"/>
    <w:pPr>
      <w:spacing w:before="0" w:after="200" w:line="240" w:lineRule="auto"/>
    </w:pPr>
    <w:rPr>
      <w:i/>
      <w:iCs/>
      <w:color w:val="44546A" w:themeColor="text2"/>
      <w:sz w:val="18"/>
      <w:szCs w:val="18"/>
    </w:rPr>
  </w:style>
  <w:style w:type="paragraph" w:styleId="CommentText">
    <w:name w:val="annotation text"/>
    <w:basedOn w:val="Normal"/>
    <w:link w:val="CommentTextChar"/>
    <w:uiPriority w:val="99"/>
    <w:semiHidden/>
    <w:unhideWhenUsed/>
    <w:rsid w:val="001F78F1"/>
    <w:pPr>
      <w:spacing w:line="240" w:lineRule="auto"/>
    </w:pPr>
    <w:rPr>
      <w:sz w:val="20"/>
      <w:szCs w:val="20"/>
    </w:rPr>
  </w:style>
  <w:style w:type="character" w:customStyle="1" w:styleId="CommentTextChar">
    <w:name w:val="Comment Text Char"/>
    <w:basedOn w:val="DefaultParagraphFont"/>
    <w:link w:val="CommentText"/>
    <w:uiPriority w:val="99"/>
    <w:semiHidden/>
    <w:rsid w:val="001F78F1"/>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1F78F1"/>
    <w:rPr>
      <w:sz w:val="16"/>
      <w:szCs w:val="16"/>
    </w:rPr>
  </w:style>
  <w:style w:type="paragraph" w:styleId="CommentSubject">
    <w:name w:val="annotation subject"/>
    <w:basedOn w:val="CommentText"/>
    <w:next w:val="CommentText"/>
    <w:link w:val="CommentSubjectChar"/>
    <w:uiPriority w:val="99"/>
    <w:semiHidden/>
    <w:unhideWhenUsed/>
    <w:rsid w:val="00A24C3C"/>
    <w:rPr>
      <w:b/>
      <w:bCs/>
    </w:rPr>
  </w:style>
  <w:style w:type="character" w:customStyle="1" w:styleId="CommentSubjectChar">
    <w:name w:val="Comment Subject Char"/>
    <w:basedOn w:val="CommentTextChar"/>
    <w:link w:val="CommentSubject"/>
    <w:uiPriority w:val="99"/>
    <w:semiHidden/>
    <w:rsid w:val="00A24C3C"/>
    <w:rPr>
      <w:rFonts w:ascii="Times New Roman" w:eastAsia="Times New Roman" w:hAnsi="Times New Roman" w:cs="Times New Roman"/>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8810">
      <w:bodyDiv w:val="1"/>
      <w:marLeft w:val="0"/>
      <w:marRight w:val="0"/>
      <w:marTop w:val="0"/>
      <w:marBottom w:val="0"/>
      <w:divBdr>
        <w:top w:val="none" w:sz="0" w:space="0" w:color="auto"/>
        <w:left w:val="none" w:sz="0" w:space="0" w:color="auto"/>
        <w:bottom w:val="none" w:sz="0" w:space="0" w:color="auto"/>
        <w:right w:val="none" w:sz="0" w:space="0" w:color="auto"/>
      </w:divBdr>
    </w:div>
    <w:div w:id="453209178">
      <w:bodyDiv w:val="1"/>
      <w:marLeft w:val="0"/>
      <w:marRight w:val="0"/>
      <w:marTop w:val="0"/>
      <w:marBottom w:val="0"/>
      <w:divBdr>
        <w:top w:val="none" w:sz="0" w:space="0" w:color="auto"/>
        <w:left w:val="none" w:sz="0" w:space="0" w:color="auto"/>
        <w:bottom w:val="none" w:sz="0" w:space="0" w:color="auto"/>
        <w:right w:val="none" w:sz="0" w:space="0" w:color="auto"/>
      </w:divBdr>
    </w:div>
    <w:div w:id="1550720906">
      <w:bodyDiv w:val="1"/>
      <w:marLeft w:val="0"/>
      <w:marRight w:val="0"/>
      <w:marTop w:val="0"/>
      <w:marBottom w:val="0"/>
      <w:divBdr>
        <w:top w:val="none" w:sz="0" w:space="0" w:color="auto"/>
        <w:left w:val="none" w:sz="0" w:space="0" w:color="auto"/>
        <w:bottom w:val="none" w:sz="0" w:space="0" w:color="auto"/>
        <w:right w:val="none" w:sz="0" w:space="0" w:color="auto"/>
      </w:divBdr>
    </w:div>
    <w:div w:id="1807434796">
      <w:bodyDiv w:val="1"/>
      <w:marLeft w:val="0"/>
      <w:marRight w:val="0"/>
      <w:marTop w:val="0"/>
      <w:marBottom w:val="0"/>
      <w:divBdr>
        <w:top w:val="none" w:sz="0" w:space="0" w:color="auto"/>
        <w:left w:val="none" w:sz="0" w:space="0" w:color="auto"/>
        <w:bottom w:val="none" w:sz="0" w:space="0" w:color="auto"/>
        <w:right w:val="none" w:sz="0" w:space="0" w:color="auto"/>
      </w:divBdr>
    </w:div>
    <w:div w:id="1873377553">
      <w:bodyDiv w:val="1"/>
      <w:marLeft w:val="0"/>
      <w:marRight w:val="0"/>
      <w:marTop w:val="0"/>
      <w:marBottom w:val="0"/>
      <w:divBdr>
        <w:top w:val="none" w:sz="0" w:space="0" w:color="auto"/>
        <w:left w:val="none" w:sz="0" w:space="0" w:color="auto"/>
        <w:bottom w:val="none" w:sz="0" w:space="0" w:color="auto"/>
        <w:right w:val="none" w:sz="0" w:space="0" w:color="auto"/>
      </w:divBdr>
    </w:div>
    <w:div w:id="206112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83296C2D9DE541958AD9D9A6E59D08" ma:contentTypeVersion="15" ma:contentTypeDescription="Create a new document." ma:contentTypeScope="" ma:versionID="8480ddd47ffc29e30036334b38ac108d">
  <xsd:schema xmlns:xsd="http://www.w3.org/2001/XMLSchema" xmlns:xs="http://www.w3.org/2001/XMLSchema" xmlns:p="http://schemas.microsoft.com/office/2006/metadata/properties" xmlns:ns2="12e73323-2992-4b61-9f89-f2ff99442528" xmlns:ns3="60bd3312-76b2-43ff-ab1e-17ba520e0d12" xmlns:ns4="d1680238-2266-4ab1-9ebd-8eb4f05a8cbc" targetNamespace="http://schemas.microsoft.com/office/2006/metadata/properties" ma:root="true" ma:fieldsID="36f2b6a034dbe630af55d1d5f818da0a" ns2:_="" ns3:_="" ns4:_="">
    <xsd:import namespace="12e73323-2992-4b61-9f89-f2ff99442528"/>
    <xsd:import namespace="60bd3312-76b2-43ff-ab1e-17ba520e0d12"/>
    <xsd:import namespace="d1680238-2266-4ab1-9ebd-8eb4f05a8cb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e73323-2992-4b61-9f89-f2ff994425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60c9a04-0a06-4c47-89e2-9dbcedd85f4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0bd3312-76b2-43ff-ab1e-17ba520e0d1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680238-2266-4ab1-9ebd-8eb4f05a8cbc"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69fc1adc-ec05-491f-a4fb-630c532ad9bc}" ma:internalName="TaxCatchAll" ma:showField="CatchAllData" ma:web="60bd3312-76b2-43ff-ab1e-17ba520e0d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1680238-2266-4ab1-9ebd-8eb4f05a8cbc" xsi:nil="true"/>
    <lcf76f155ced4ddcb4097134ff3c332f xmlns="12e73323-2992-4b61-9f89-f2ff99442528">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B6839E-0382-4A9B-BBFD-226D432EBD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e73323-2992-4b61-9f89-f2ff99442528"/>
    <ds:schemaRef ds:uri="60bd3312-76b2-43ff-ab1e-17ba520e0d12"/>
    <ds:schemaRef ds:uri="d1680238-2266-4ab1-9ebd-8eb4f05a8c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07C6F8-69DB-4A05-BB8B-7A97B0957EFB}">
  <ds:schemaRefs>
    <ds:schemaRef ds:uri="http://schemas.microsoft.com/office/2006/metadata/properties"/>
    <ds:schemaRef ds:uri="http://schemas.microsoft.com/office/infopath/2007/PartnerControls"/>
    <ds:schemaRef ds:uri="d1680238-2266-4ab1-9ebd-8eb4f05a8cbc"/>
    <ds:schemaRef ds:uri="12e73323-2992-4b61-9f89-f2ff99442528"/>
  </ds:schemaRefs>
</ds:datastoreItem>
</file>

<file path=customXml/itemProps3.xml><?xml version="1.0" encoding="utf-8"?>
<ds:datastoreItem xmlns:ds="http://schemas.openxmlformats.org/officeDocument/2006/customXml" ds:itemID="{D654F270-0204-4A1B-AC32-86D23E287A94}">
  <ds:schemaRefs>
    <ds:schemaRef ds:uri="http://schemas.openxmlformats.org/officeDocument/2006/bibliography"/>
  </ds:schemaRefs>
</ds:datastoreItem>
</file>

<file path=customXml/itemProps4.xml><?xml version="1.0" encoding="utf-8"?>
<ds:datastoreItem xmlns:ds="http://schemas.openxmlformats.org/officeDocument/2006/customXml" ds:itemID="{3EB2B500-108C-451F-A8BB-248C5B6D60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2</Pages>
  <Words>7248</Words>
  <Characters>41314</Characters>
  <Application>Microsoft Office Word</Application>
  <DocSecurity>0</DocSecurity>
  <Lines>344</Lines>
  <Paragraphs>96</Paragraphs>
  <ScaleCrop>false</ScaleCrop>
  <Company/>
  <LinksUpToDate>false</LinksUpToDate>
  <CharactersWithSpaces>48466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Stringfellow, Erin J.,PHD</dc:creator>
  <cp:keywords/>
  <dc:description/>
  <cp:lastModifiedBy>Stringfellow, Erin J.,PhD</cp:lastModifiedBy>
  <cp:revision>129</cp:revision>
  <dcterms:created xsi:type="dcterms:W3CDTF">2022-08-24T19:08:00Z</dcterms:created>
  <dcterms:modified xsi:type="dcterms:W3CDTF">2022-12-09T16:59:00Z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http://www.zotero.org/styles/harvard1</vt:lpwstr>
  </property>
  <property fmtid="{D5CDD505-2E9C-101B-9397-08002B2CF9AE}" pid="7" name="Mendeley Recent Style Name 2_1">
    <vt:lpwstr>Harvard reference format 1 (deprecated)</vt:lpwstr>
  </property>
  <property fmtid="{D5CDD505-2E9C-101B-9397-08002B2CF9AE}" pid="8" name="Mendeley Recent Style Id 3_1">
    <vt:lpwstr>http://www.zotero.org/styles/jama</vt:lpwstr>
  </property>
  <property fmtid="{D5CDD505-2E9C-101B-9397-08002B2CF9AE}" pid="9" name="Mendeley Recent Style Name 3_1">
    <vt:lpwstr>JAMA (The Journal of the American Medical Association)</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http://www.zotero.org/styles/pnas</vt:lpwstr>
  </property>
  <property fmtid="{D5CDD505-2E9C-101B-9397-08002B2CF9AE}" pid="13" name="Mendeley Recent Style Name 5_1">
    <vt:lpwstr>Proceedings of the National Academy of Sciences of the United States of America</vt:lpwstr>
  </property>
  <property fmtid="{D5CDD505-2E9C-101B-9397-08002B2CF9AE}" pid="14" name="Mendeley Recent Style Id 6_1">
    <vt:lpwstr>http://www.zotero.org/styles/science</vt:lpwstr>
  </property>
  <property fmtid="{D5CDD505-2E9C-101B-9397-08002B2CF9AE}" pid="15" name="Mendeley Recent Style Name 6_1">
    <vt:lpwstr>Science</vt:lpwstr>
  </property>
  <property fmtid="{D5CDD505-2E9C-101B-9397-08002B2CF9AE}" pid="16" name="Mendeley Recent Style Id 7_1">
    <vt:lpwstr>http://www.zotero.org/styles/the-lancet</vt:lpwstr>
  </property>
  <property fmtid="{D5CDD505-2E9C-101B-9397-08002B2CF9AE}" pid="17" name="Mendeley Recent Style Name 7_1">
    <vt:lpwstr>The Lancet</vt:lpwstr>
  </property>
  <property fmtid="{D5CDD505-2E9C-101B-9397-08002B2CF9AE}" pid="18" name="Mendeley Recent Style Id 8_1">
    <vt:lpwstr>http://www.zotero.org/styles/vancouver</vt:lpwstr>
  </property>
  <property fmtid="{D5CDD505-2E9C-101B-9397-08002B2CF9AE}" pid="19" name="Mendeley Recent Style Name 8_1">
    <vt:lpwstr>Vancouver</vt:lpwstr>
  </property>
  <property fmtid="{D5CDD505-2E9C-101B-9397-08002B2CF9AE}" pid="20" name="Mendeley Recent Style Id 9_1">
    <vt:lpwstr>http://www.zotero.org/styles/vancouver-superscript</vt:lpwstr>
  </property>
  <property fmtid="{D5CDD505-2E9C-101B-9397-08002B2CF9AE}" pid="21" name="Mendeley Recent Style Name 9_1">
    <vt:lpwstr>Vancouver (superscript)</vt:lpwstr>
  </property>
  <property fmtid="{D5CDD505-2E9C-101B-9397-08002B2CF9AE}" pid="22" name="Mendeley Document_1">
    <vt:lpwstr>True</vt:lpwstr>
  </property>
  <property fmtid="{D5CDD505-2E9C-101B-9397-08002B2CF9AE}" pid="23" name="Mendeley Unique User Id_1">
    <vt:lpwstr>987f96b0-2db6-3e0f-8992-5fa895728fbe</vt:lpwstr>
  </property>
  <property fmtid="{D5CDD505-2E9C-101B-9397-08002B2CF9AE}" pid="24" name="Mendeley Citation Style_1">
    <vt:lpwstr>http://www.zotero.org/styles/american-medical-association</vt:lpwstr>
  </property>
  <property fmtid="{D5CDD505-2E9C-101B-9397-08002B2CF9AE}" pid="25" name="ContentTypeId">
    <vt:lpwstr>0x010100A183296C2D9DE541958AD9D9A6E59D08</vt:lpwstr>
  </property>
  <property fmtid="{D5CDD505-2E9C-101B-9397-08002B2CF9AE}" pid="26" name="MediaServiceImageTags">
    <vt:lpwstr/>
  </property>
</Properties>
</file>