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B4152" w:rsidR="00EA61AE" w:rsidP="00EA61AE" w:rsidRDefault="00EA61AE" w14:paraId="45D4A610" w14:textId="680BD3F9">
      <w:pPr>
        <w:pStyle w:val="Caption"/>
        <w:keepNext/>
        <w:rPr>
          <w:rFonts w:ascii="Arial" w:hAnsi="Arial" w:cs="Arial"/>
          <w:i w:val="0"/>
          <w:iCs w:val="0"/>
          <w:color w:val="auto"/>
          <w:sz w:val="22"/>
          <w:szCs w:val="22"/>
        </w:rPr>
      </w:pPr>
      <w:r w:rsidRPr="00DB4152">
        <w:rPr>
          <w:rFonts w:ascii="Arial" w:hAnsi="Arial" w:cs="Arial"/>
          <w:i w:val="0"/>
          <w:iCs w:val="0"/>
          <w:color w:val="auto"/>
          <w:sz w:val="22"/>
          <w:szCs w:val="22"/>
        </w:rPr>
        <w:t xml:space="preserve">Table </w:t>
      </w:r>
      <w:r w:rsidR="00036070">
        <w:rPr>
          <w:rFonts w:ascii="Arial" w:hAnsi="Arial" w:cs="Arial"/>
          <w:i w:val="0"/>
          <w:iCs w:val="0"/>
          <w:color w:val="auto"/>
          <w:sz w:val="22"/>
          <w:szCs w:val="22"/>
        </w:rPr>
        <w:t>1</w:t>
      </w:r>
      <w:r w:rsidRPr="00DB4152">
        <w:rPr>
          <w:rFonts w:ascii="Arial" w:hAnsi="Arial" w:cs="Arial"/>
          <w:i w:val="0"/>
          <w:iCs w:val="0"/>
          <w:color w:val="auto"/>
          <w:sz w:val="22"/>
          <w:szCs w:val="22"/>
        </w:rPr>
        <w:t>. Sources for buprenorphine-waivered providers</w:t>
      </w:r>
      <w:r w:rsidRPr="00DB4152">
        <w:rPr>
          <w:rFonts w:ascii="Arial" w:hAnsi="Arial" w:cs="Arial"/>
          <w:i w:val="0"/>
          <w:iCs w:val="0"/>
          <w:noProof/>
          <w:color w:val="auto"/>
          <w:sz w:val="22"/>
          <w:szCs w:val="22"/>
        </w:rPr>
        <w:t>, 2003-2021</w:t>
      </w:r>
    </w:p>
    <w:tbl>
      <w:tblPr>
        <w:tblStyle w:val="TableGrid"/>
        <w:tblW w:w="4963" w:type="pct"/>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279"/>
        <w:gridCol w:w="1439"/>
        <w:gridCol w:w="10360"/>
      </w:tblGrid>
      <w:tr w:rsidRPr="002F020B" w:rsidR="00F525B3" w:rsidTr="00B32A30" w14:paraId="117696EC" w14:textId="77777777">
        <w:trPr>
          <w:trHeight w:val="466"/>
          <w:tblHeader/>
        </w:trPr>
        <w:tc>
          <w:tcPr>
            <w:tcW w:w="489" w:type="pct"/>
            <w:tcBorders>
              <w:bottom w:val="single" w:color="auto" w:sz="4" w:space="0"/>
            </w:tcBorders>
            <w:vAlign w:val="center"/>
          </w:tcPr>
          <w:p w:rsidRPr="002F020B" w:rsidR="00F525B3" w:rsidP="00E145E9" w:rsidRDefault="00F525B3" w14:paraId="1BC634E7" w14:textId="472D1177">
            <w:pPr>
              <w:spacing w:before="0" w:line="240" w:lineRule="auto"/>
              <w:rPr>
                <w:rFonts w:ascii="Arial" w:hAnsi="Arial" w:cs="Arial"/>
                <w:b/>
                <w:sz w:val="20"/>
                <w:szCs w:val="20"/>
                <w:lang w:val="en-GB"/>
              </w:rPr>
            </w:pPr>
            <w:r w:rsidRPr="002F020B">
              <w:rPr>
                <w:rFonts w:ascii="Arial" w:hAnsi="Arial" w:cs="Arial"/>
                <w:b/>
                <w:sz w:val="20"/>
                <w:szCs w:val="20"/>
                <w:lang w:val="en-GB"/>
              </w:rPr>
              <w:t>Year</w:t>
            </w:r>
          </w:p>
        </w:tc>
        <w:tc>
          <w:tcPr>
            <w:tcW w:w="550" w:type="pct"/>
            <w:tcBorders>
              <w:bottom w:val="single" w:color="auto" w:sz="4" w:space="0"/>
            </w:tcBorders>
            <w:vAlign w:val="center"/>
          </w:tcPr>
          <w:p w:rsidR="00F525B3" w:rsidP="00E145E9" w:rsidRDefault="00F525B3" w14:paraId="02BDA034" w14:textId="4248F38F">
            <w:pPr>
              <w:spacing w:before="0" w:line="240" w:lineRule="auto"/>
              <w:rPr>
                <w:rFonts w:ascii="Arial" w:hAnsi="Arial" w:cs="Arial"/>
                <w:b/>
                <w:sz w:val="20"/>
                <w:szCs w:val="20"/>
                <w:lang w:val="en-GB"/>
              </w:rPr>
            </w:pPr>
            <w:r>
              <w:rPr>
                <w:rFonts w:ascii="Arial" w:hAnsi="Arial" w:cs="Arial"/>
                <w:b/>
                <w:sz w:val="20"/>
                <w:szCs w:val="20"/>
                <w:lang w:val="en-GB"/>
              </w:rPr>
              <w:t>Value</w:t>
            </w:r>
          </w:p>
        </w:tc>
        <w:tc>
          <w:tcPr>
            <w:tcW w:w="3961" w:type="pct"/>
            <w:tcBorders>
              <w:bottom w:val="single" w:color="auto" w:sz="4" w:space="0"/>
            </w:tcBorders>
            <w:vAlign w:val="center"/>
          </w:tcPr>
          <w:p w:rsidRPr="002F020B" w:rsidR="00F525B3" w:rsidP="00E145E9" w:rsidRDefault="00F525B3" w14:paraId="72ED377C" w14:textId="1AFD9371">
            <w:pPr>
              <w:spacing w:before="0" w:line="240" w:lineRule="auto"/>
              <w:rPr>
                <w:rFonts w:ascii="Arial" w:hAnsi="Arial" w:cs="Arial"/>
                <w:b/>
                <w:sz w:val="20"/>
                <w:szCs w:val="20"/>
                <w:lang w:val="en-GB"/>
              </w:rPr>
            </w:pPr>
            <w:r>
              <w:rPr>
                <w:rFonts w:ascii="Arial" w:hAnsi="Arial" w:cs="Arial"/>
                <w:b/>
                <w:sz w:val="20"/>
                <w:szCs w:val="20"/>
                <w:lang w:val="en-GB"/>
              </w:rPr>
              <w:t>Detail</w:t>
            </w:r>
          </w:p>
        </w:tc>
      </w:tr>
      <w:tr w:rsidRPr="002F020B" w:rsidR="00F525B3" w:rsidTr="00BD6273" w14:paraId="0FE27E4B" w14:textId="77777777">
        <w:trPr>
          <w:trHeight w:val="17"/>
        </w:trPr>
        <w:tc>
          <w:tcPr>
            <w:tcW w:w="489" w:type="pct"/>
            <w:tcBorders>
              <w:top w:val="single" w:color="auto" w:sz="4" w:space="0"/>
              <w:bottom w:val="single" w:color="auto" w:sz="4" w:space="0"/>
            </w:tcBorders>
            <w:vAlign w:val="center"/>
          </w:tcPr>
          <w:p w:rsidRPr="002F020B" w:rsidR="00F525B3" w:rsidP="00BD6273" w:rsidRDefault="00F525B3" w14:paraId="06BD1EF7" w14:textId="613A8BB0">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2003</w:t>
            </w:r>
          </w:p>
        </w:tc>
        <w:tc>
          <w:tcPr>
            <w:tcW w:w="550" w:type="pct"/>
            <w:tcBorders>
              <w:top w:val="single" w:color="auto" w:sz="4" w:space="0"/>
              <w:bottom w:val="single" w:color="auto" w:sz="4" w:space="0"/>
            </w:tcBorders>
            <w:vAlign w:val="center"/>
          </w:tcPr>
          <w:p w:rsidRPr="002F020B" w:rsidR="00F525B3" w:rsidP="00BD6273" w:rsidRDefault="00F525B3" w14:paraId="06199CEB" w14:textId="1E0DBC60">
            <w:pPr>
              <w:spacing w:before="0" w:line="240" w:lineRule="auto"/>
              <w:rPr>
                <w:rFonts w:ascii="Arial" w:hAnsi="Arial" w:cs="Arial"/>
                <w:noProof/>
                <w:sz w:val="20"/>
                <w:szCs w:val="20"/>
              </w:rPr>
            </w:pPr>
            <w:r>
              <w:rPr>
                <w:rFonts w:ascii="Arial" w:hAnsi="Arial" w:cs="Arial"/>
                <w:noProof/>
                <w:sz w:val="20"/>
                <w:szCs w:val="20"/>
              </w:rPr>
              <w:t>2,052</w:t>
            </w:r>
          </w:p>
        </w:tc>
        <w:tc>
          <w:tcPr>
            <w:tcW w:w="3961" w:type="pct"/>
            <w:tcBorders>
              <w:top w:val="single" w:color="auto" w:sz="4" w:space="0"/>
              <w:bottom w:val="single" w:color="auto" w:sz="4" w:space="0"/>
            </w:tcBorders>
            <w:vAlign w:val="center"/>
          </w:tcPr>
          <w:p w:rsidRPr="002F020B" w:rsidR="00F525B3" w:rsidP="00BD6273" w:rsidRDefault="00F525B3" w14:paraId="264A6A73" w14:textId="33DC43C9">
            <w:pPr>
              <w:spacing w:before="0" w:line="240" w:lineRule="auto"/>
              <w:rPr>
                <w:rFonts w:ascii="Arial" w:hAnsi="Arial" w:cs="Arial"/>
                <w:sz w:val="20"/>
                <w:szCs w:val="20"/>
                <w:lang w:val="en-GB"/>
              </w:rPr>
            </w:pPr>
            <w:r>
              <w:rPr>
                <w:rFonts w:ascii="Arial" w:hAnsi="Arial" w:cs="Arial"/>
                <w:sz w:val="20"/>
                <w:szCs w:val="20"/>
                <w:lang w:val="en-GB"/>
              </w:rPr>
              <w:t>Kissin et al. report 1,986</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{"citationItems":[{"id":"ITEM-1","itemData":{"DOI":"10.1300/J069v25n04_09","ISSN":"1055-0887","PMID":"17088229","abstract":"The limited availability of medication-assisted treatment has created a treatment gap leaving many opioid dependent individuals without access to appropriate treatment. Survey data from a national random sample of 545 addictions physicians with waivers to provide buprenorphine treatment under The Drug Addiction Treatment Act of 2000 are presented. During the first year, an estimated 63,204 opioid dependent patients were treated with buprenorphine; many were dependent on prescription opioids and were new to drug treatment. Prescribing physicians reported high treatment effectiveness and patient satisfaction, with minimal adverse reactions or evidence of diversion. However, many waivered physicians had not provided buprenorphine treatment. Prescribers identified challenges such as induction logistics, recordkeeping requirements, the 30-patient limit, DEA involvement, and limited patient compliance. Buprenorphine treatment could potentially reduce the treatment gap by providing safe and effective treatment for opioid dependence and by attracting patients who do not typically seek care at opioid treatment programs.","author":[{"dropping-particle":"","family":"Kissin","given":"Wendy","non-dropping-particle":"","parse-names":false,"suffix":""},{"dropping-particle":"","family":"McLeod","given":"Caroline","non-dropping-particle":"","parse-names":false,"suffix":""},{"dropping-particle":"","family":"Sonnefeld","given":"Joseph","non-dropping-particle":"","parse-names":false,"suffix":""},{"dropping-particle":"","family":"Stanton","given":"Arlene","non-dropping-particle":"","parse-names":false,"suffix":""}],"container-title":"Journal of Addictive Diseases","id":"ITEM-1","issue":"4","issued":{"date-parts":[["2006","11","2"]]},"page":"91-103","title":"Experiences of a National Sample of Qualified Addiction Specialists Who Have and Have Not Prescribed Buprenorphine for Opioid Dependence","type":"article-journal","volume":"25"},"uris":["http://www.mendeley.com/documents/?uuid=7fc44807-b043-4f5c-b145-866bbcb7ba2b"]}],"mendeley":{"formattedCitation":"&lt;sup&gt;1&lt;/sup&gt;","plainTextFormattedCitation":"1","previouslyFormattedCitation":"&lt;sup&gt;1&lt;/sup&gt;"},"properties":{"noteIndex":0},"schema":"https://github.com/citation-style-language/schema/raw/master/csl-citation.json"}</w:instrText>
            </w:r>
            <w:r w:rsidR="007626C5">
              <w:rPr>
                <w:rFonts w:ascii="Arial" w:hAnsi="Arial" w:cs="Arial"/>
                <w:sz w:val="20"/>
                <w:szCs w:val="20"/>
                <w:lang w:val="en-GB"/>
              </w:rPr>
              <w:fldChar w:fldCharType="separate"/>
            </w:r>
            <w:r w:rsidRPr="00E145E9" w:rsidR="007626C5">
              <w:rPr>
                <w:rFonts w:ascii="Arial" w:hAnsi="Arial" w:cs="Arial"/>
                <w:noProof/>
                <w:sz w:val="20"/>
                <w:szCs w:val="20"/>
                <w:vertAlign w:val="superscript"/>
                <w:lang w:val="en-GB"/>
              </w:rPr>
              <w:t>1</w:t>
            </w:r>
            <w:r w:rsidR="007626C5">
              <w:rPr>
                <w:rFonts w:ascii="Arial" w:hAnsi="Arial" w:cs="Arial"/>
                <w:sz w:val="20"/>
                <w:szCs w:val="20"/>
                <w:lang w:val="en-GB"/>
              </w:rPr>
              <w:fldChar w:fldCharType="end"/>
            </w:r>
            <w:r>
              <w:rPr>
                <w:rFonts w:ascii="Arial" w:hAnsi="Arial" w:cs="Arial"/>
                <w:sz w:val="20"/>
                <w:szCs w:val="20"/>
                <w:lang w:val="en-GB"/>
              </w:rPr>
              <w:t xml:space="preserve"> as of August 2003 and Jones et al. report 1,800</w:t>
            </w:r>
            <w:r w:rsidR="007626C5">
              <w:rPr>
                <w:rFonts w:ascii="Arial" w:hAnsi="Arial" w:cs="Arial"/>
                <w:sz w:val="20"/>
                <w:szCs w:val="20"/>
                <w:lang w:val="en-GB"/>
              </w:rPr>
              <w:t>.</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2&lt;/sup&gt;","plainTextFormattedCitation":"2","previouslyFormattedCitation":"&lt;sup&gt;2&lt;/sup&gt;"},"properties":{"noteIndex":0},"schema":"https://github.com/citation-style-language/schema/raw/master/csl-citation.json"}</w:instrText>
            </w:r>
            <w:r w:rsidR="007626C5">
              <w:rPr>
                <w:rFonts w:ascii="Arial" w:hAnsi="Arial" w:cs="Arial"/>
                <w:sz w:val="20"/>
                <w:szCs w:val="20"/>
                <w:lang w:val="en-GB"/>
              </w:rPr>
              <w:fldChar w:fldCharType="separate"/>
            </w:r>
            <w:r w:rsidRPr="007C0CBF" w:rsidR="007626C5">
              <w:rPr>
                <w:rFonts w:ascii="Arial" w:hAnsi="Arial" w:cs="Arial"/>
                <w:noProof/>
                <w:sz w:val="20"/>
                <w:szCs w:val="20"/>
                <w:vertAlign w:val="superscript"/>
                <w:lang w:val="en-GB"/>
              </w:rPr>
              <w:t>2</w:t>
            </w:r>
            <w:r w:rsidR="007626C5">
              <w:rPr>
                <w:rFonts w:ascii="Arial" w:hAnsi="Arial" w:cs="Arial"/>
                <w:sz w:val="20"/>
                <w:szCs w:val="20"/>
                <w:lang w:val="en-GB"/>
              </w:rPr>
              <w:fldChar w:fldCharType="end"/>
            </w:r>
            <w:r>
              <w:rPr>
                <w:rFonts w:ascii="Arial" w:hAnsi="Arial" w:cs="Arial"/>
                <w:sz w:val="20"/>
                <w:szCs w:val="20"/>
                <w:lang w:val="en-GB"/>
              </w:rPr>
              <w:t xml:space="preserve"> </w:t>
            </w:r>
            <w:r w:rsidRPr="00E145E9">
              <w:rPr>
                <w:rFonts w:ascii="Arial" w:hAnsi="Arial" w:cs="Arial"/>
                <w:sz w:val="20"/>
                <w:szCs w:val="20"/>
                <w:lang w:val="en-GB"/>
              </w:rPr>
              <w:t>The partial data source is used to predict the complete data for the source [Number by the end of 2004 minus number a</w:t>
            </w:r>
            <w:r w:rsidR="00B32A30">
              <w:rPr>
                <w:rFonts w:ascii="Arial" w:hAnsi="Arial" w:cs="Arial"/>
                <w:sz w:val="20"/>
                <w:szCs w:val="20"/>
                <w:lang w:val="en-GB"/>
              </w:rPr>
              <w:t>s of</w:t>
            </w:r>
            <w:r w:rsidRPr="00E145E9">
              <w:rPr>
                <w:rFonts w:ascii="Arial" w:hAnsi="Arial" w:cs="Arial"/>
                <w:sz w:val="20"/>
                <w:szCs w:val="20"/>
                <w:lang w:val="en-GB"/>
              </w:rPr>
              <w:t xml:space="preserve"> August 2003, divided by 16 months in between to get a constant growth rate within the timespan, then multiply by 4 and add to August 2003 data]. Then, the average of complete number and predicted number is calculated to be the final number for 2003.</w:t>
            </w:r>
          </w:p>
        </w:tc>
      </w:tr>
      <w:tr w:rsidRPr="002F020B" w:rsidR="00F525B3" w:rsidTr="00BD6273" w14:paraId="737A3030" w14:textId="77777777">
        <w:trPr>
          <w:trHeight w:val="17"/>
        </w:trPr>
        <w:tc>
          <w:tcPr>
            <w:tcW w:w="489" w:type="pct"/>
            <w:tcBorders>
              <w:top w:val="single" w:color="auto" w:sz="4" w:space="0"/>
              <w:bottom w:val="single" w:color="auto" w:sz="4" w:space="0"/>
            </w:tcBorders>
            <w:vAlign w:val="center"/>
          </w:tcPr>
          <w:p w:rsidRPr="002F020B" w:rsidR="00F525B3" w:rsidP="00BD6273" w:rsidRDefault="00F525B3" w14:paraId="4731D0B4" w14:textId="6341BA9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2004</w:t>
            </w:r>
          </w:p>
        </w:tc>
        <w:tc>
          <w:tcPr>
            <w:tcW w:w="550" w:type="pct"/>
            <w:tcBorders>
              <w:top w:val="single" w:color="auto" w:sz="4" w:space="0"/>
              <w:bottom w:val="single" w:color="auto" w:sz="4" w:space="0"/>
            </w:tcBorders>
            <w:vAlign w:val="center"/>
          </w:tcPr>
          <w:p w:rsidRPr="002F020B" w:rsidR="00F525B3" w:rsidP="00BD6273" w:rsidRDefault="00F525B3" w14:paraId="3B674C83" w14:textId="7530B4BE">
            <w:pPr>
              <w:spacing w:before="0" w:line="240" w:lineRule="auto"/>
              <w:rPr>
                <w:rFonts w:ascii="Arial" w:hAnsi="Arial" w:cs="Arial"/>
                <w:sz w:val="20"/>
                <w:szCs w:val="20"/>
                <w:lang w:val="en-GB"/>
              </w:rPr>
            </w:pPr>
            <w:r>
              <w:rPr>
                <w:rFonts w:ascii="Arial" w:hAnsi="Arial" w:cs="Arial"/>
                <w:sz w:val="20"/>
                <w:szCs w:val="20"/>
                <w:lang w:val="en-GB"/>
              </w:rPr>
              <w:t>3,256</w:t>
            </w:r>
          </w:p>
        </w:tc>
        <w:tc>
          <w:tcPr>
            <w:tcW w:w="3961" w:type="pct"/>
            <w:tcBorders>
              <w:top w:val="single" w:color="auto" w:sz="4" w:space="0"/>
              <w:bottom w:val="single" w:color="auto" w:sz="4" w:space="0"/>
            </w:tcBorders>
            <w:vAlign w:val="center"/>
          </w:tcPr>
          <w:p w:rsidRPr="002F020B" w:rsidR="00F525B3" w:rsidP="00BD6273" w:rsidRDefault="00D37E2B" w14:paraId="4151A02A" w14:textId="1E5051A5">
            <w:pPr>
              <w:spacing w:before="0" w:line="240" w:lineRule="auto"/>
              <w:rPr>
                <w:rFonts w:ascii="Arial" w:hAnsi="Arial" w:cs="Arial"/>
                <w:sz w:val="20"/>
                <w:szCs w:val="20"/>
                <w:lang w:val="en-GB"/>
              </w:rPr>
            </w:pPr>
            <w:r>
              <w:rPr>
                <w:rFonts w:ascii="Arial" w:hAnsi="Arial" w:cs="Arial"/>
                <w:sz w:val="20"/>
                <w:szCs w:val="20"/>
                <w:lang w:val="en-GB"/>
              </w:rPr>
              <w:t xml:space="preserve">The average of the following was used: </w:t>
            </w:r>
            <w:r w:rsidR="00B32A30">
              <w:rPr>
                <w:rFonts w:ascii="Arial" w:hAnsi="Arial" w:cs="Arial"/>
                <w:sz w:val="20"/>
                <w:szCs w:val="20"/>
                <w:lang w:val="en-GB"/>
              </w:rPr>
              <w:t>Jones et al. report 3,219</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2&lt;/sup&gt;","plainTextFormattedCitation":"2","previouslyFormattedCitation":"&lt;sup&gt;2&lt;/sup&gt;"},"properties":{"noteIndex":0},"schema":"https://github.com/citation-style-language/schema/raw/master/csl-citation.json"}</w:instrText>
            </w:r>
            <w:r w:rsidR="007626C5">
              <w:rPr>
                <w:rFonts w:ascii="Arial" w:hAnsi="Arial" w:cs="Arial"/>
                <w:sz w:val="20"/>
                <w:szCs w:val="20"/>
                <w:lang w:val="en-GB"/>
              </w:rPr>
              <w:fldChar w:fldCharType="separate"/>
            </w:r>
            <w:r w:rsidRPr="00716AC9" w:rsidR="007626C5">
              <w:rPr>
                <w:rFonts w:ascii="Arial" w:hAnsi="Arial" w:cs="Arial"/>
                <w:noProof/>
                <w:sz w:val="20"/>
                <w:szCs w:val="20"/>
                <w:vertAlign w:val="superscript"/>
                <w:lang w:val="en-GB"/>
              </w:rPr>
              <w:t>2</w:t>
            </w:r>
            <w:r w:rsidR="007626C5">
              <w:rPr>
                <w:rFonts w:ascii="Arial" w:hAnsi="Arial" w:cs="Arial"/>
                <w:sz w:val="20"/>
                <w:szCs w:val="20"/>
                <w:lang w:val="en-GB"/>
              </w:rPr>
              <w:fldChar w:fldCharType="end"/>
            </w:r>
            <w:r w:rsidR="00B32A30">
              <w:rPr>
                <w:rFonts w:ascii="Arial" w:hAnsi="Arial" w:cs="Arial"/>
                <w:sz w:val="20"/>
                <w:szCs w:val="20"/>
                <w:lang w:val="en-GB"/>
              </w:rPr>
              <w:t xml:space="preserve"> and </w:t>
            </w:r>
            <w:r w:rsidR="00F525B3">
              <w:rPr>
                <w:rFonts w:ascii="Arial" w:hAnsi="Arial" w:cs="Arial"/>
                <w:sz w:val="20"/>
                <w:szCs w:val="20"/>
                <w:lang w:val="en-GB"/>
              </w:rPr>
              <w:t>Stein et al. report 3,293</w:t>
            </w:r>
            <w:r>
              <w:rPr>
                <w:rFonts w:ascii="Arial" w:hAnsi="Arial" w:cs="Arial"/>
                <w:sz w:val="20"/>
                <w:szCs w:val="20"/>
                <w:lang w:val="en-GB"/>
              </w:rPr>
              <w:t>.</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3&lt;/sup&gt;","plainTextFormattedCitation":"3","previouslyFormattedCitation":"&lt;sup&gt;3&lt;/sup&gt;"},"properties":{"noteIndex":0},"schema":"https://github.com/citation-style-language/schema/raw/master/csl-citation.json"}</w:instrText>
            </w:r>
            <w:r w:rsidR="007626C5">
              <w:rPr>
                <w:rFonts w:ascii="Arial" w:hAnsi="Arial" w:cs="Arial"/>
                <w:sz w:val="20"/>
                <w:szCs w:val="20"/>
                <w:lang w:val="en-GB"/>
              </w:rPr>
              <w:fldChar w:fldCharType="separate"/>
            </w:r>
            <w:r w:rsidRPr="007226B8" w:rsidR="007626C5">
              <w:rPr>
                <w:rFonts w:ascii="Arial" w:hAnsi="Arial" w:cs="Arial"/>
                <w:noProof/>
                <w:sz w:val="20"/>
                <w:szCs w:val="20"/>
                <w:vertAlign w:val="superscript"/>
                <w:lang w:val="en-GB"/>
              </w:rPr>
              <w:t>3</w:t>
            </w:r>
            <w:r w:rsidR="007626C5">
              <w:rPr>
                <w:rFonts w:ascii="Arial" w:hAnsi="Arial" w:cs="Arial"/>
                <w:sz w:val="20"/>
                <w:szCs w:val="20"/>
                <w:lang w:val="en-GB"/>
              </w:rPr>
              <w:fldChar w:fldCharType="end"/>
            </w:r>
          </w:p>
        </w:tc>
      </w:tr>
      <w:tr w:rsidRPr="002F020B" w:rsidR="00F525B3" w:rsidTr="00BD6273" w14:paraId="161B5CE5" w14:textId="77777777">
        <w:trPr>
          <w:trHeight w:val="17"/>
        </w:trPr>
        <w:tc>
          <w:tcPr>
            <w:tcW w:w="489" w:type="pct"/>
            <w:tcBorders>
              <w:top w:val="single" w:color="auto" w:sz="4" w:space="0"/>
              <w:bottom w:val="single" w:color="auto" w:sz="4" w:space="0"/>
            </w:tcBorders>
            <w:vAlign w:val="center"/>
          </w:tcPr>
          <w:p w:rsidRPr="002F020B" w:rsidR="00F525B3" w:rsidP="00BD6273" w:rsidRDefault="00F525B3" w14:paraId="558F790C" w14:textId="603AED54">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2005</w:t>
            </w:r>
          </w:p>
        </w:tc>
        <w:tc>
          <w:tcPr>
            <w:tcW w:w="550" w:type="pct"/>
            <w:tcBorders>
              <w:top w:val="single" w:color="auto" w:sz="4" w:space="0"/>
              <w:bottom w:val="single" w:color="auto" w:sz="4" w:space="0"/>
            </w:tcBorders>
            <w:vAlign w:val="center"/>
          </w:tcPr>
          <w:p w:rsidRPr="002F020B" w:rsidR="00F525B3" w:rsidP="00BD6273" w:rsidRDefault="00F525B3" w14:paraId="3CC171BF" w14:textId="4BDA202E">
            <w:pPr>
              <w:spacing w:before="0" w:line="240" w:lineRule="auto"/>
              <w:rPr>
                <w:rFonts w:ascii="Arial" w:hAnsi="Arial" w:cs="Arial"/>
                <w:sz w:val="20"/>
                <w:szCs w:val="20"/>
                <w:lang w:val="en-GB"/>
              </w:rPr>
            </w:pPr>
            <w:r>
              <w:rPr>
                <w:rFonts w:ascii="Arial" w:hAnsi="Arial" w:cs="Arial"/>
                <w:sz w:val="20"/>
                <w:szCs w:val="20"/>
                <w:lang w:val="en-GB"/>
              </w:rPr>
              <w:t>5,484</w:t>
            </w:r>
          </w:p>
        </w:tc>
        <w:tc>
          <w:tcPr>
            <w:tcW w:w="3961" w:type="pct"/>
            <w:tcBorders>
              <w:top w:val="single" w:color="auto" w:sz="4" w:space="0"/>
              <w:bottom w:val="single" w:color="auto" w:sz="4" w:space="0"/>
            </w:tcBorders>
            <w:vAlign w:val="center"/>
          </w:tcPr>
          <w:p w:rsidRPr="002F020B" w:rsidR="00F525B3" w:rsidP="00BD6273" w:rsidRDefault="00D37E2B" w14:paraId="7FE883F5" w14:textId="18D76438">
            <w:pPr>
              <w:spacing w:before="0" w:line="240" w:lineRule="auto"/>
              <w:rPr>
                <w:rFonts w:ascii="Arial" w:hAnsi="Arial" w:cs="Arial"/>
                <w:sz w:val="20"/>
                <w:szCs w:val="20"/>
                <w:lang w:val="en-GB"/>
              </w:rPr>
            </w:pPr>
            <w:r>
              <w:rPr>
                <w:rFonts w:ascii="Arial" w:hAnsi="Arial" w:cs="Arial"/>
                <w:sz w:val="20"/>
                <w:szCs w:val="20"/>
                <w:lang w:val="en-GB"/>
              </w:rPr>
              <w:t xml:space="preserve">The average of the following was used: </w:t>
            </w:r>
            <w:r w:rsidR="00B32A30">
              <w:rPr>
                <w:rFonts w:ascii="Arial" w:hAnsi="Arial" w:cs="Arial"/>
                <w:sz w:val="20"/>
                <w:szCs w:val="20"/>
                <w:lang w:val="en-GB"/>
              </w:rPr>
              <w:t>Jones et al. report 5,419</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2&lt;/sup&gt;","plainTextFormattedCitation":"2","previouslyFormattedCitation":"&lt;sup&gt;2&lt;/sup&gt;"},"properties":{"noteIndex":0},"schema":"https://github.com/citation-style-language/schema/raw/master/csl-citation.json"}</w:instrText>
            </w:r>
            <w:r w:rsidR="007626C5">
              <w:rPr>
                <w:rFonts w:ascii="Arial" w:hAnsi="Arial" w:cs="Arial"/>
                <w:sz w:val="20"/>
                <w:szCs w:val="20"/>
                <w:lang w:val="en-GB"/>
              </w:rPr>
              <w:fldChar w:fldCharType="separate"/>
            </w:r>
            <w:r w:rsidRPr="00716AC9" w:rsidR="007626C5">
              <w:rPr>
                <w:rFonts w:ascii="Arial" w:hAnsi="Arial" w:cs="Arial"/>
                <w:noProof/>
                <w:sz w:val="20"/>
                <w:szCs w:val="20"/>
                <w:vertAlign w:val="superscript"/>
                <w:lang w:val="en-GB"/>
              </w:rPr>
              <w:t>2</w:t>
            </w:r>
            <w:r w:rsidR="007626C5">
              <w:rPr>
                <w:rFonts w:ascii="Arial" w:hAnsi="Arial" w:cs="Arial"/>
                <w:sz w:val="20"/>
                <w:szCs w:val="20"/>
                <w:lang w:val="en-GB"/>
              </w:rPr>
              <w:fldChar w:fldCharType="end"/>
            </w:r>
            <w:r w:rsidR="007626C5">
              <w:rPr>
                <w:rFonts w:ascii="Arial" w:hAnsi="Arial" w:cs="Arial"/>
                <w:sz w:val="20"/>
                <w:szCs w:val="20"/>
                <w:lang w:val="en-GB"/>
              </w:rPr>
              <w:t xml:space="preserve"> </w:t>
            </w:r>
            <w:r w:rsidR="00B32A30">
              <w:rPr>
                <w:rFonts w:ascii="Arial" w:hAnsi="Arial" w:cs="Arial"/>
                <w:sz w:val="20"/>
                <w:szCs w:val="20"/>
                <w:lang w:val="en-GB"/>
              </w:rPr>
              <w:t xml:space="preserve">and </w:t>
            </w:r>
            <w:r w:rsidR="00F525B3">
              <w:rPr>
                <w:rFonts w:ascii="Arial" w:hAnsi="Arial" w:cs="Arial"/>
                <w:sz w:val="20"/>
                <w:szCs w:val="20"/>
                <w:lang w:val="en-GB"/>
              </w:rPr>
              <w:t>Stein et al. report 5,549</w:t>
            </w:r>
            <w:r>
              <w:rPr>
                <w:rFonts w:ascii="Arial" w:hAnsi="Arial" w:cs="Arial"/>
                <w:sz w:val="20"/>
                <w:szCs w:val="20"/>
                <w:lang w:val="en-GB"/>
              </w:rPr>
              <w:t>.</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3&lt;/sup&gt;","plainTextFormattedCitation":"3","previouslyFormattedCitation":"&lt;sup&gt;3&lt;/sup&gt;"},"properties":{"noteIndex":0},"schema":"https://github.com/citation-style-language/schema/raw/master/csl-citation.json"}</w:instrText>
            </w:r>
            <w:r w:rsidR="007626C5">
              <w:rPr>
                <w:rFonts w:ascii="Arial" w:hAnsi="Arial" w:cs="Arial"/>
                <w:sz w:val="20"/>
                <w:szCs w:val="20"/>
                <w:lang w:val="en-GB"/>
              </w:rPr>
              <w:fldChar w:fldCharType="separate"/>
            </w:r>
            <w:r w:rsidRPr="007226B8" w:rsidR="007626C5">
              <w:rPr>
                <w:rFonts w:ascii="Arial" w:hAnsi="Arial" w:cs="Arial"/>
                <w:noProof/>
                <w:sz w:val="20"/>
                <w:szCs w:val="20"/>
                <w:vertAlign w:val="superscript"/>
                <w:lang w:val="en-GB"/>
              </w:rPr>
              <w:t>3</w:t>
            </w:r>
            <w:r w:rsidR="007626C5">
              <w:rPr>
                <w:rFonts w:ascii="Arial" w:hAnsi="Arial" w:cs="Arial"/>
                <w:sz w:val="20"/>
                <w:szCs w:val="20"/>
                <w:lang w:val="en-GB"/>
              </w:rPr>
              <w:fldChar w:fldCharType="end"/>
            </w:r>
          </w:p>
        </w:tc>
      </w:tr>
      <w:tr w:rsidRPr="002F020B" w:rsidR="00F525B3" w:rsidTr="00BD6273" w14:paraId="240C4722" w14:textId="77777777">
        <w:trPr>
          <w:trHeight w:val="17"/>
        </w:trPr>
        <w:tc>
          <w:tcPr>
            <w:tcW w:w="489" w:type="pct"/>
            <w:tcBorders>
              <w:top w:val="single" w:color="auto" w:sz="4" w:space="0"/>
              <w:bottom w:val="single" w:color="auto" w:sz="4" w:space="0"/>
            </w:tcBorders>
            <w:vAlign w:val="center"/>
          </w:tcPr>
          <w:p w:rsidRPr="002F020B" w:rsidR="00F525B3" w:rsidP="00BD6273" w:rsidRDefault="00F525B3" w14:paraId="18A7AF7F" w14:textId="2C2ADD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2006</w:t>
            </w:r>
          </w:p>
        </w:tc>
        <w:tc>
          <w:tcPr>
            <w:tcW w:w="550" w:type="pct"/>
            <w:tcBorders>
              <w:top w:val="single" w:color="auto" w:sz="4" w:space="0"/>
              <w:bottom w:val="single" w:color="auto" w:sz="4" w:space="0"/>
            </w:tcBorders>
            <w:vAlign w:val="center"/>
          </w:tcPr>
          <w:p w:rsidRPr="002F020B" w:rsidR="00F525B3" w:rsidP="00BD6273" w:rsidRDefault="00F525B3" w14:paraId="32D8AF9A" w14:textId="21F146F5">
            <w:pPr>
              <w:spacing w:before="0" w:line="240" w:lineRule="auto"/>
              <w:rPr>
                <w:rFonts w:ascii="Arial" w:hAnsi="Arial" w:cs="Arial"/>
                <w:sz w:val="20"/>
                <w:szCs w:val="20"/>
                <w:lang w:val="en-GB"/>
              </w:rPr>
            </w:pPr>
            <w:r>
              <w:rPr>
                <w:rFonts w:ascii="Arial" w:hAnsi="Arial" w:cs="Arial"/>
                <w:sz w:val="20"/>
                <w:szCs w:val="20"/>
                <w:lang w:val="en-GB"/>
              </w:rPr>
              <w:t>8,556</w:t>
            </w:r>
          </w:p>
        </w:tc>
        <w:tc>
          <w:tcPr>
            <w:tcW w:w="3961" w:type="pct"/>
            <w:tcBorders>
              <w:top w:val="single" w:color="auto" w:sz="4" w:space="0"/>
              <w:bottom w:val="single" w:color="auto" w:sz="4" w:space="0"/>
            </w:tcBorders>
            <w:vAlign w:val="center"/>
          </w:tcPr>
          <w:p w:rsidRPr="002F020B" w:rsidR="00F525B3" w:rsidP="00BD6273" w:rsidRDefault="00D37E2B" w14:paraId="65DB2AF8" w14:textId="57C3A16A">
            <w:pPr>
              <w:spacing w:before="0" w:line="240" w:lineRule="auto"/>
              <w:rPr>
                <w:rFonts w:ascii="Arial" w:hAnsi="Arial" w:cs="Arial"/>
                <w:sz w:val="20"/>
                <w:szCs w:val="20"/>
                <w:lang w:val="en-GB"/>
              </w:rPr>
            </w:pPr>
            <w:r>
              <w:rPr>
                <w:rFonts w:ascii="Arial" w:hAnsi="Arial" w:cs="Arial"/>
                <w:sz w:val="20"/>
                <w:szCs w:val="20"/>
                <w:lang w:val="en-GB"/>
              </w:rPr>
              <w:t xml:space="preserve">The average of the following was used: </w:t>
            </w:r>
            <w:r w:rsidR="00F525B3">
              <w:rPr>
                <w:rFonts w:ascii="Arial" w:hAnsi="Arial" w:cs="Arial"/>
                <w:sz w:val="20"/>
                <w:szCs w:val="20"/>
                <w:lang w:val="en-GB"/>
              </w:rPr>
              <w:t>Fiellin et al. report 9,449</w:t>
            </w:r>
            <w:r w:rsidR="007626C5">
              <w:rPr>
                <w:rFonts w:ascii="Arial" w:hAnsi="Arial" w:cs="Arial"/>
                <w:sz w:val="20"/>
                <w:szCs w:val="20"/>
                <w:lang w:val="en-GB"/>
              </w:rPr>
              <w:t>,</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{"citationItems":[{"id":"ITEM-1","itemData":{"DOI":"10.1097/ADM.0b013e3180473c11","ISSN":"1932-0620","abstract":"Buprenorphine, primarily as the buprenorphine/naloxone combination, has been available in the United States for office and specialty treatment program-based care since 2003. The existing evidence, collected primarily from federal sources, indicates that access to this type of treatment has expanded, that more than 50% of the 12,000 physicians able to provide this care are not addiction specialists, that buprenorphine diversion is low, that physician scrutiny by federal agents is infrequent, and among those receiving treatment patient acceptance is high. Implementation has been slowed because of physician training and support needs, reimbursement, and limits on the number of patients each physician can treat. As a result there are geographic variations in access and unmet treatment needs. The United States Congress has moved twice to loosen numerical limitations, now allowing each physician to treat up to 100 patients. Future research and evaluation are needed to ensure that opioid-dependent patients receive optimal care with buprenorphine. © 2007 American Society of Addiction Medicine.","author":[{"dropping-particle":"","family":"Fiellin","given":"David A.","non-dropping-particle":"","parse-names":false,"suffix":""}],"container-title":"Journal of Addiction Medicine","id":"ITEM-1","issue":"2","issued":{"date-parts":[["2007","6"]]},"page":"62-67","publisher":"J Addict Med","title":"The First Three Years of Buprenorphine in the United States: Experience to Date and Future Directions","type":"article-journal","volume":"1"},"uris":["http://www.mendeley.com/documents/?uuid=11d5ab9d-b255-48a8-ae55-38093a0b3cae"]}],"mendeley":{"formattedCitation":"&lt;sup&gt;4&lt;/sup&gt;","plainTextFormattedCitation":"4","previouslyFormattedCitation":"&lt;sup&gt;4&lt;/sup&gt;"},"properties":{"noteIndex":0},"schema":"https://github.com/citation-style-language/schema/raw/master/csl-citation.json"}</w:instrText>
            </w:r>
            <w:r w:rsidR="007626C5">
              <w:rPr>
                <w:rFonts w:ascii="Arial" w:hAnsi="Arial" w:cs="Arial"/>
                <w:sz w:val="20"/>
                <w:szCs w:val="20"/>
                <w:lang w:val="en-GB"/>
              </w:rPr>
              <w:fldChar w:fldCharType="separate"/>
            </w:r>
            <w:r w:rsidRPr="00E56C2C" w:rsidR="007626C5">
              <w:rPr>
                <w:rFonts w:ascii="Arial" w:hAnsi="Arial" w:cs="Arial"/>
                <w:noProof/>
                <w:sz w:val="20"/>
                <w:szCs w:val="20"/>
                <w:vertAlign w:val="superscript"/>
                <w:lang w:val="en-GB"/>
              </w:rPr>
              <w:t>4</w:t>
            </w:r>
            <w:r w:rsidR="007626C5">
              <w:rPr>
                <w:rFonts w:ascii="Arial" w:hAnsi="Arial" w:cs="Arial"/>
                <w:sz w:val="20"/>
                <w:szCs w:val="20"/>
                <w:lang w:val="en-GB"/>
              </w:rPr>
              <w:fldChar w:fldCharType="end"/>
            </w:r>
            <w:r w:rsidR="00F525B3">
              <w:rPr>
                <w:rFonts w:ascii="Arial" w:hAnsi="Arial" w:cs="Arial"/>
                <w:sz w:val="20"/>
                <w:szCs w:val="20"/>
                <w:lang w:val="en-GB"/>
              </w:rPr>
              <w:t xml:space="preserve"> Arfken et al. report 8,818</w:t>
            </w:r>
            <w:r w:rsidR="007626C5">
              <w:rPr>
                <w:rFonts w:ascii="Arial" w:hAnsi="Arial" w:cs="Arial"/>
                <w:sz w:val="20"/>
                <w:szCs w:val="20"/>
                <w:lang w:val="en-GB"/>
              </w:rPr>
              <w:t>,</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{"citationItems":[{"id":"ITEM-1","itemData":{"DOI":"10.1016/j.jsat.2010.05.004","ISSN":"0740-5472","author":[{"dropping-particle":"","family":"Arfken","given":"Cynthia L","non-dropping-particle":"","parse-names":false,"suffix":""},{"dropping-particle":"","family":"Ph","given":"D","non-dropping-particle":"","parse-names":false,"suffix":""},{"dropping-particle":"","family":"Johanson","given":"Chris-ellyn","non-dropping-particle":"","parse-names":false,"suffix":""},{"dropping-particle":"","family":"Ph","given":"D","non-dropping-particle":"","parse-names":false,"suffix":""},{"dropping-particle":"","family":"Menza","given":"Salvatore","non-dropping-particle":"","parse-names":false,"suffix":""},{"dropping-particle":"","family":"S","given":"M","non-dropping-particle":"","parse-names":false,"suffix":""},{"dropping-particle":"","family":"Schuster","given":"Charles Roberts","non-dropping-particle":"","parse-names":false,"suffix":""},{"dropping-particle":"","family":"Ph","given":"D","non-dropping-particle":"","parse-names":false,"suffix":""}],"container-title":"Journal of Substance Abuse Treatment","id":"ITEM-1","issue":"2","issued":{"date-parts":[["2010"]]},"page":"96-104","publisher":"Elsevier Inc.","title":"Expanding treatment capacity for opioid dependence with office-based treatment with buprenorphine : National surveys of physicians","type":"article-journal","volume":"39"},"uris":["http://www.mendeley.com/documents/?uuid=0d0a901c-ae97-4ce9-97e2-f83562c8bd11"]}],"mendeley":{"formattedCitation":"&lt;sup&gt;5&lt;/sup&gt;","plainTextFormattedCitation":"5","previouslyFormattedCitation":"&lt;sup&gt;5&lt;/sup&gt;"},"properties":{"noteIndex":0},"schema":"https://github.com/citation-style-language/schema/raw/master/csl-citation.json"}</w:instrText>
            </w:r>
            <w:r w:rsidR="007626C5">
              <w:rPr>
                <w:rFonts w:ascii="Arial" w:hAnsi="Arial" w:cs="Arial"/>
                <w:sz w:val="20"/>
                <w:szCs w:val="20"/>
                <w:lang w:val="en-GB"/>
              </w:rPr>
              <w:fldChar w:fldCharType="separate"/>
            </w:r>
            <w:r w:rsidRPr="00F525B3" w:rsidR="007626C5">
              <w:rPr>
                <w:rFonts w:ascii="Arial" w:hAnsi="Arial" w:cs="Arial"/>
                <w:noProof/>
                <w:sz w:val="20"/>
                <w:szCs w:val="20"/>
                <w:vertAlign w:val="superscript"/>
                <w:lang w:val="en-GB"/>
              </w:rPr>
              <w:t>5</w:t>
            </w:r>
            <w:r w:rsidR="007626C5">
              <w:rPr>
                <w:rFonts w:ascii="Arial" w:hAnsi="Arial" w:cs="Arial"/>
                <w:sz w:val="20"/>
                <w:szCs w:val="20"/>
                <w:lang w:val="en-GB"/>
              </w:rPr>
              <w:fldChar w:fldCharType="end"/>
            </w:r>
            <w:r w:rsidR="007626C5">
              <w:rPr>
                <w:rFonts w:ascii="Arial" w:hAnsi="Arial" w:cs="Arial"/>
                <w:sz w:val="20"/>
                <w:szCs w:val="20"/>
                <w:lang w:val="en-GB"/>
              </w:rPr>
              <w:t xml:space="preserve"> </w:t>
            </w:r>
            <w:r w:rsidR="00F525B3">
              <w:rPr>
                <w:rFonts w:ascii="Arial" w:hAnsi="Arial" w:cs="Arial"/>
                <w:sz w:val="20"/>
                <w:szCs w:val="20"/>
                <w:lang w:val="en-GB"/>
              </w:rPr>
              <w:t>Stein et al. report 8,068</w:t>
            </w:r>
            <w:r w:rsidR="007626C5">
              <w:rPr>
                <w:rFonts w:ascii="Arial" w:hAnsi="Arial" w:cs="Arial"/>
                <w:sz w:val="20"/>
                <w:szCs w:val="20"/>
                <w:lang w:val="en-GB"/>
              </w:rPr>
              <w:t>,</w:t>
            </w:r>
            <w:r w:rsidR="00F525B3">
              <w:rPr>
                <w:rFonts w:ascii="Arial" w:hAnsi="Arial" w:cs="Arial"/>
                <w:sz w:val="20"/>
                <w:szCs w:val="20"/>
                <w:lang w:val="en-GB"/>
              </w:rPr>
              <w:fldChar w:fldCharType="begin" w:fldLock="1"/>
            </w:r>
            <w:r w:rsidR="0015386E">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3&lt;/sup&gt;","plainTextFormattedCitation":"3","previouslyFormattedCitation":"&lt;sup&gt;3&lt;/sup&gt;"},"properties":{"noteIndex":0},"schema":"https://github.com/citation-style-language/schema/raw/master/csl-citation.json"}</w:instrText>
            </w:r>
            <w:r w:rsidR="00F525B3">
              <w:rPr>
                <w:rFonts w:ascii="Arial" w:hAnsi="Arial" w:cs="Arial"/>
                <w:sz w:val="20"/>
                <w:szCs w:val="20"/>
                <w:lang w:val="en-GB"/>
              </w:rPr>
              <w:fldChar w:fldCharType="separate"/>
            </w:r>
            <w:r w:rsidRPr="00F525B3" w:rsidR="00F525B3">
              <w:rPr>
                <w:rFonts w:ascii="Arial" w:hAnsi="Arial" w:cs="Arial"/>
                <w:noProof/>
                <w:sz w:val="20"/>
                <w:szCs w:val="20"/>
                <w:vertAlign w:val="superscript"/>
                <w:lang w:val="en-GB"/>
              </w:rPr>
              <w:t>3</w:t>
            </w:r>
            <w:r w:rsidR="00F525B3">
              <w:rPr>
                <w:rFonts w:ascii="Arial" w:hAnsi="Arial" w:cs="Arial"/>
                <w:sz w:val="20"/>
                <w:szCs w:val="20"/>
                <w:lang w:val="en-GB"/>
              </w:rPr>
              <w:fldChar w:fldCharType="end"/>
            </w:r>
            <w:r>
              <w:rPr>
                <w:rFonts w:ascii="Arial" w:hAnsi="Arial" w:cs="Arial"/>
                <w:sz w:val="20"/>
                <w:szCs w:val="20"/>
                <w:lang w:val="en-GB"/>
              </w:rPr>
              <w:t xml:space="preserve"> and</w:t>
            </w:r>
            <w:r w:rsidR="00F525B3">
              <w:rPr>
                <w:rFonts w:ascii="Arial" w:hAnsi="Arial" w:cs="Arial"/>
                <w:sz w:val="20"/>
                <w:szCs w:val="20"/>
                <w:lang w:val="en-GB"/>
              </w:rPr>
              <w:t xml:space="preserve"> Jones et al. report 7,887</w:t>
            </w:r>
            <w:r w:rsidR="007626C5">
              <w:rPr>
                <w:rFonts w:ascii="Arial" w:hAnsi="Arial" w:cs="Arial"/>
                <w:sz w:val="20"/>
                <w:szCs w:val="20"/>
                <w:lang w:val="en-GB"/>
              </w:rPr>
              <w:t>.</w:t>
            </w:r>
            <w:r w:rsidR="00F525B3">
              <w:rPr>
                <w:rFonts w:ascii="Arial" w:hAnsi="Arial" w:cs="Arial"/>
                <w:sz w:val="20"/>
                <w:szCs w:val="20"/>
                <w:lang w:val="en-GB"/>
              </w:rPr>
              <w:fldChar w:fldCharType="begin" w:fldLock="1"/>
            </w:r>
            <w:r w:rsidR="00F525B3">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2&lt;/sup&gt;","plainTextFormattedCitation":"2","previouslyFormattedCitation":"&lt;sup&gt;2&lt;/sup&gt;"},"properties":{"noteIndex":0},"schema":"https://github.com/citation-style-language/schema/raw/master/csl-citation.json"}</w:instrText>
            </w:r>
            <w:r w:rsidR="00F525B3">
              <w:rPr>
                <w:rFonts w:ascii="Arial" w:hAnsi="Arial" w:cs="Arial"/>
                <w:sz w:val="20"/>
                <w:szCs w:val="20"/>
                <w:lang w:val="en-GB"/>
              </w:rPr>
              <w:fldChar w:fldCharType="separate"/>
            </w:r>
            <w:r w:rsidRPr="00716AC9" w:rsidR="00F525B3">
              <w:rPr>
                <w:rFonts w:ascii="Arial" w:hAnsi="Arial" w:cs="Arial"/>
                <w:noProof/>
                <w:sz w:val="20"/>
                <w:szCs w:val="20"/>
                <w:vertAlign w:val="superscript"/>
                <w:lang w:val="en-GB"/>
              </w:rPr>
              <w:t>2</w:t>
            </w:r>
            <w:r w:rsidR="00F525B3">
              <w:rPr>
                <w:rFonts w:ascii="Arial" w:hAnsi="Arial" w:cs="Arial"/>
                <w:sz w:val="20"/>
                <w:szCs w:val="20"/>
                <w:lang w:val="en-GB"/>
              </w:rPr>
              <w:fldChar w:fldCharType="end"/>
            </w:r>
          </w:p>
        </w:tc>
      </w:tr>
      <w:tr w:rsidRPr="002F020B" w:rsidR="00F525B3" w:rsidTr="00BD6273" w14:paraId="080179DC" w14:textId="77777777">
        <w:trPr>
          <w:trHeight w:val="17"/>
        </w:trPr>
        <w:tc>
          <w:tcPr>
            <w:tcW w:w="489" w:type="pct"/>
            <w:tcBorders>
              <w:top w:val="single" w:color="auto" w:sz="4" w:space="0"/>
              <w:bottom w:val="single" w:color="auto" w:sz="4" w:space="0"/>
            </w:tcBorders>
            <w:vAlign w:val="center"/>
          </w:tcPr>
          <w:p w:rsidRPr="002F020B" w:rsidR="00F525B3" w:rsidP="00BD6273" w:rsidRDefault="00F525B3" w14:paraId="05EA05BA" w14:textId="2FA1F6DF">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2007</w:t>
            </w:r>
          </w:p>
        </w:tc>
        <w:tc>
          <w:tcPr>
            <w:tcW w:w="550" w:type="pct"/>
            <w:tcBorders>
              <w:top w:val="single" w:color="auto" w:sz="4" w:space="0"/>
              <w:bottom w:val="single" w:color="auto" w:sz="4" w:space="0"/>
            </w:tcBorders>
            <w:vAlign w:val="center"/>
          </w:tcPr>
          <w:p w:rsidRPr="002F020B" w:rsidR="00F525B3" w:rsidP="00BD6273" w:rsidRDefault="00F525B3" w14:paraId="667FAFFC" w14:textId="7351A33C">
            <w:pPr>
              <w:spacing w:before="0" w:line="240" w:lineRule="auto"/>
              <w:rPr>
                <w:rFonts w:ascii="Arial" w:hAnsi="Arial" w:cs="Arial"/>
                <w:sz w:val="20"/>
                <w:szCs w:val="20"/>
                <w:lang w:val="en-GB"/>
              </w:rPr>
            </w:pPr>
            <w:r>
              <w:rPr>
                <w:rFonts w:ascii="Arial" w:hAnsi="Arial" w:cs="Arial"/>
                <w:sz w:val="20"/>
                <w:szCs w:val="20"/>
                <w:lang w:val="en-GB"/>
              </w:rPr>
              <w:t>10,637</w:t>
            </w:r>
          </w:p>
        </w:tc>
        <w:tc>
          <w:tcPr>
            <w:tcW w:w="3961" w:type="pct"/>
            <w:tcBorders>
              <w:top w:val="single" w:color="auto" w:sz="4" w:space="0"/>
              <w:bottom w:val="single" w:color="auto" w:sz="4" w:space="0"/>
            </w:tcBorders>
            <w:vAlign w:val="center"/>
          </w:tcPr>
          <w:p w:rsidRPr="002F020B" w:rsidR="00F525B3" w:rsidP="00BD6273" w:rsidRDefault="00D37E2B" w14:paraId="244F0F0F" w14:textId="62591A10">
            <w:pPr>
              <w:spacing w:before="0" w:line="240" w:lineRule="auto"/>
              <w:rPr>
                <w:rFonts w:ascii="Arial" w:hAnsi="Arial" w:cs="Arial"/>
                <w:sz w:val="20"/>
                <w:szCs w:val="20"/>
                <w:lang w:val="en-GB"/>
              </w:rPr>
            </w:pPr>
            <w:r>
              <w:rPr>
                <w:rFonts w:ascii="Arial" w:hAnsi="Arial" w:cs="Arial"/>
                <w:sz w:val="20"/>
                <w:szCs w:val="20"/>
                <w:lang w:val="en-GB"/>
              </w:rPr>
              <w:t xml:space="preserve">The average of the following was used: </w:t>
            </w:r>
            <w:r w:rsidR="001E1804">
              <w:rPr>
                <w:rFonts w:ascii="Arial" w:hAnsi="Arial" w:cs="Arial"/>
                <w:sz w:val="20"/>
                <w:szCs w:val="20"/>
                <w:lang w:val="en-GB"/>
              </w:rPr>
              <w:t>Jones et al. report 10,503</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2&lt;/sup&gt;","plainTextFormattedCitation":"2","previouslyFormattedCitation":"&lt;sup&gt;2&lt;/sup&gt;"},"properties":{"noteIndex":0},"schema":"https://github.com/citation-style-language/schema/raw/master/csl-citation.json"}</w:instrText>
            </w:r>
            <w:r w:rsidR="007626C5">
              <w:rPr>
                <w:rFonts w:ascii="Arial" w:hAnsi="Arial" w:cs="Arial"/>
                <w:sz w:val="20"/>
                <w:szCs w:val="20"/>
                <w:lang w:val="en-GB"/>
              </w:rPr>
              <w:fldChar w:fldCharType="separate"/>
            </w:r>
            <w:r w:rsidRPr="00716AC9" w:rsidR="007626C5">
              <w:rPr>
                <w:rFonts w:ascii="Arial" w:hAnsi="Arial" w:cs="Arial"/>
                <w:noProof/>
                <w:sz w:val="20"/>
                <w:szCs w:val="20"/>
                <w:vertAlign w:val="superscript"/>
                <w:lang w:val="en-GB"/>
              </w:rPr>
              <w:t>2</w:t>
            </w:r>
            <w:r w:rsidR="007626C5">
              <w:rPr>
                <w:rFonts w:ascii="Arial" w:hAnsi="Arial" w:cs="Arial"/>
                <w:sz w:val="20"/>
                <w:szCs w:val="20"/>
                <w:lang w:val="en-GB"/>
              </w:rPr>
              <w:fldChar w:fldCharType="end"/>
            </w:r>
            <w:r w:rsidR="00A97B11">
              <w:rPr>
                <w:rFonts w:ascii="Arial" w:hAnsi="Arial" w:cs="Arial"/>
                <w:sz w:val="20"/>
                <w:szCs w:val="20"/>
                <w:lang w:val="en-GB"/>
              </w:rPr>
              <w:t xml:space="preserve"> and</w:t>
            </w:r>
            <w:r w:rsidR="001E1804">
              <w:rPr>
                <w:rFonts w:ascii="Arial" w:hAnsi="Arial" w:cs="Arial"/>
                <w:sz w:val="20"/>
                <w:szCs w:val="20"/>
                <w:lang w:val="en-GB"/>
              </w:rPr>
              <w:t xml:space="preserve"> </w:t>
            </w:r>
            <w:r w:rsidR="00872E78">
              <w:rPr>
                <w:rFonts w:ascii="Arial" w:hAnsi="Arial" w:cs="Arial"/>
                <w:sz w:val="20"/>
                <w:szCs w:val="20"/>
                <w:lang w:val="en-GB"/>
              </w:rPr>
              <w:t>Stein et al. report 10,771</w:t>
            </w:r>
            <w:r w:rsidR="00A97B11">
              <w:rPr>
                <w:rFonts w:ascii="Arial" w:hAnsi="Arial" w:cs="Arial"/>
                <w:sz w:val="20"/>
                <w:szCs w:val="20"/>
                <w:lang w:val="en-GB"/>
              </w:rPr>
              <w:t>.</w:t>
            </w:r>
            <w:r w:rsidR="00A97B11">
              <w:rPr>
                <w:rFonts w:ascii="Arial" w:hAnsi="Arial" w:cs="Arial"/>
                <w:sz w:val="20"/>
                <w:szCs w:val="20"/>
                <w:lang w:val="en-GB"/>
              </w:rPr>
              <w:fldChar w:fldCharType="begin" w:fldLock="1"/>
            </w:r>
            <w:r w:rsidR="00A97B11">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3&lt;/sup&gt;","plainTextFormattedCitation":"3","previouslyFormattedCitation":"&lt;sup&gt;3&lt;/sup&gt;"},"properties":{"noteIndex":0},"schema":"https://github.com/citation-style-language/schema/raw/master/csl-citation.json"}</w:instrText>
            </w:r>
            <w:r w:rsidR="00A97B11">
              <w:rPr>
                <w:rFonts w:ascii="Arial" w:hAnsi="Arial" w:cs="Arial"/>
                <w:sz w:val="20"/>
                <w:szCs w:val="20"/>
                <w:lang w:val="en-GB"/>
              </w:rPr>
              <w:fldChar w:fldCharType="separate"/>
            </w:r>
            <w:r w:rsidRPr="007226B8" w:rsidR="00A97B11">
              <w:rPr>
                <w:rFonts w:ascii="Arial" w:hAnsi="Arial" w:cs="Arial"/>
                <w:noProof/>
                <w:sz w:val="20"/>
                <w:szCs w:val="20"/>
                <w:vertAlign w:val="superscript"/>
                <w:lang w:val="en-GB"/>
              </w:rPr>
              <w:t>3</w:t>
            </w:r>
            <w:r w:rsidR="00A97B11">
              <w:rPr>
                <w:rFonts w:ascii="Arial" w:hAnsi="Arial" w:cs="Arial"/>
                <w:sz w:val="20"/>
                <w:szCs w:val="20"/>
                <w:lang w:val="en-GB"/>
              </w:rPr>
              <w:fldChar w:fldCharType="end"/>
            </w:r>
            <w:r w:rsidR="001E1804">
              <w:rPr>
                <w:rFonts w:ascii="Arial" w:hAnsi="Arial" w:cs="Arial"/>
                <w:sz w:val="20"/>
                <w:szCs w:val="20"/>
                <w:lang w:val="en-GB"/>
              </w:rPr>
              <w:t xml:space="preserve"> </w:t>
            </w:r>
          </w:p>
        </w:tc>
      </w:tr>
      <w:tr w:rsidRPr="002F020B" w:rsidR="00F525B3" w:rsidTr="00BD6273" w14:paraId="5A4B5A77" w14:textId="77777777">
        <w:trPr>
          <w:trHeight w:val="17"/>
        </w:trPr>
        <w:tc>
          <w:tcPr>
            <w:tcW w:w="489" w:type="pct"/>
            <w:tcBorders>
              <w:top w:val="single" w:color="auto" w:sz="4" w:space="0"/>
              <w:bottom w:val="single" w:color="auto" w:sz="4" w:space="0"/>
            </w:tcBorders>
            <w:vAlign w:val="center"/>
          </w:tcPr>
          <w:p w:rsidRPr="002F020B" w:rsidR="00F525B3" w:rsidP="00BD6273" w:rsidRDefault="00F525B3" w14:paraId="08BAA858" w14:textId="6DD95C66">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2008</w:t>
            </w:r>
          </w:p>
        </w:tc>
        <w:tc>
          <w:tcPr>
            <w:tcW w:w="550" w:type="pct"/>
            <w:tcBorders>
              <w:top w:val="single" w:color="auto" w:sz="4" w:space="0"/>
              <w:bottom w:val="single" w:color="auto" w:sz="4" w:space="0"/>
            </w:tcBorders>
            <w:vAlign w:val="center"/>
          </w:tcPr>
          <w:p w:rsidRPr="002F020B" w:rsidR="00F525B3" w:rsidP="00BD6273" w:rsidRDefault="00F525B3" w14:paraId="37C10CE4" w14:textId="61E5ACE5">
            <w:pPr>
              <w:spacing w:before="0" w:line="240" w:lineRule="auto"/>
              <w:rPr>
                <w:rFonts w:ascii="Arial" w:hAnsi="Arial" w:cs="Arial"/>
                <w:sz w:val="20"/>
                <w:szCs w:val="20"/>
                <w:lang w:val="en-GB"/>
              </w:rPr>
            </w:pPr>
            <w:r>
              <w:rPr>
                <w:rFonts w:ascii="Arial" w:hAnsi="Arial" w:cs="Arial"/>
                <w:sz w:val="20"/>
                <w:szCs w:val="20"/>
                <w:lang w:val="en-GB"/>
              </w:rPr>
              <w:t>14,365</w:t>
            </w:r>
          </w:p>
        </w:tc>
        <w:tc>
          <w:tcPr>
            <w:tcW w:w="3961" w:type="pct"/>
            <w:tcBorders>
              <w:top w:val="single" w:color="auto" w:sz="4" w:space="0"/>
              <w:bottom w:val="single" w:color="auto" w:sz="4" w:space="0"/>
            </w:tcBorders>
            <w:vAlign w:val="center"/>
          </w:tcPr>
          <w:p w:rsidRPr="002F020B" w:rsidR="00F525B3" w:rsidP="00BD6273" w:rsidRDefault="003B5ACB" w14:paraId="4A77357A" w14:textId="4E354F89">
            <w:pPr>
              <w:spacing w:before="0" w:line="240" w:lineRule="auto"/>
              <w:rPr>
                <w:rFonts w:ascii="Arial" w:hAnsi="Arial" w:cs="Arial"/>
                <w:sz w:val="20"/>
                <w:szCs w:val="20"/>
                <w:lang w:val="en-GB"/>
              </w:rPr>
            </w:pPr>
            <w:r>
              <w:rPr>
                <w:rFonts w:ascii="Arial" w:hAnsi="Arial" w:cs="Arial"/>
                <w:sz w:val="20"/>
                <w:szCs w:val="20"/>
                <w:lang w:val="en-GB"/>
              </w:rPr>
              <w:t>The average of the following was used:</w:t>
            </w:r>
            <w:r w:rsidR="000F0367">
              <w:rPr>
                <w:rFonts w:ascii="Arial" w:hAnsi="Arial" w:cs="Arial"/>
                <w:sz w:val="20"/>
                <w:szCs w:val="20"/>
                <w:lang w:val="en-GB"/>
              </w:rPr>
              <w:t xml:space="preserve"> Arfken et al. report 15,662</w:t>
            </w:r>
            <w:r w:rsidR="007626C5">
              <w:rPr>
                <w:rFonts w:ascii="Arial" w:hAnsi="Arial" w:cs="Arial"/>
                <w:sz w:val="20"/>
                <w:szCs w:val="20"/>
                <w:lang w:val="en-GB"/>
              </w:rPr>
              <w:t>,</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{"citationItems":[{"id":"ITEM-1","itemData":{"DOI":"10.1016/j.jsat.2010.05.004","ISSN":"0740-5472","author":[{"dropping-particle":"","family":"Arfken","given":"Cynthia L","non-dropping-particle":"","parse-names":false,"suffix":""},{"dropping-particle":"","family":"Ph","given":"D","non-dropping-particle":"","parse-names":false,"suffix":""},{"dropping-particle":"","family":"Johanson","given":"Chris-ellyn","non-dropping-particle":"","parse-names":false,"suffix":""},{"dropping-particle":"","family":"Ph","given":"D","non-dropping-particle":"","parse-names":false,"suffix":""},{"dropping-particle":"","family":"Menza","given":"Salvatore","non-dropping-particle":"","parse-names":false,"suffix":""},{"dropping-particle":"","family":"S","given":"M","non-dropping-particle":"","parse-names":false,"suffix":""},{"dropping-particle":"","family":"Schuster","given":"Charles Roberts","non-dropping-particle":"","parse-names":false,"suffix":""},{"dropping-particle":"","family":"Ph","given":"D","non-dropping-particle":"","parse-names":false,"suffix":""}],"container-title":"Journal of Substance Abuse Treatment","id":"ITEM-1","issue":"2","issued":{"date-parts":[["2010"]]},"page":"96-104","publisher":"Elsevier Inc.","title":"Expanding treatment capacity for opioid dependence with office-based treatment with buprenorphine : National surveys of physicians","type":"article-journal","volume":"39"},"uris":["http://www.mendeley.com/documents/?uuid=0d0a901c-ae97-4ce9-97e2-f83562c8bd11"]}],"mendeley":{"formattedCitation":"&lt;sup&gt;5&lt;/sup&gt;","plainTextFormattedCitation":"5","previouslyFormattedCitation":"&lt;sup&gt;5&lt;/sup&gt;"},"properties":{"noteIndex":0},"schema":"https://github.com/citation-style-language/schema/raw/master/csl-citation.json"}</w:instrText>
            </w:r>
            <w:r w:rsidR="007626C5">
              <w:rPr>
                <w:rFonts w:ascii="Arial" w:hAnsi="Arial" w:cs="Arial"/>
                <w:sz w:val="20"/>
                <w:szCs w:val="20"/>
                <w:lang w:val="en-GB"/>
              </w:rPr>
              <w:fldChar w:fldCharType="separate"/>
            </w:r>
            <w:r w:rsidRPr="00F525B3" w:rsidR="007626C5">
              <w:rPr>
                <w:rFonts w:ascii="Arial" w:hAnsi="Arial" w:cs="Arial"/>
                <w:noProof/>
                <w:sz w:val="20"/>
                <w:szCs w:val="20"/>
                <w:vertAlign w:val="superscript"/>
                <w:lang w:val="en-GB"/>
              </w:rPr>
              <w:t>5</w:t>
            </w:r>
            <w:r w:rsidR="007626C5">
              <w:rPr>
                <w:rFonts w:ascii="Arial" w:hAnsi="Arial" w:cs="Arial"/>
                <w:sz w:val="20"/>
                <w:szCs w:val="20"/>
                <w:lang w:val="en-GB"/>
              </w:rPr>
              <w:fldChar w:fldCharType="end"/>
            </w:r>
            <w:r w:rsidR="007626C5">
              <w:rPr>
                <w:rFonts w:ascii="Arial" w:hAnsi="Arial" w:cs="Arial"/>
                <w:sz w:val="20"/>
                <w:szCs w:val="20"/>
                <w:lang w:val="en-GB"/>
              </w:rPr>
              <w:t xml:space="preserve"> Jones et al. report 13,538,</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2&lt;/sup&gt;","plainTextFormattedCitation":"2","previouslyFormattedCitation":"&lt;sup&gt;2&lt;/sup&gt;"},"properties":{"noteIndex":0},"schema":"https://github.com/citation-style-language/schema/raw/master/csl-citation.json"}</w:instrText>
            </w:r>
            <w:r w:rsidR="007626C5">
              <w:rPr>
                <w:rFonts w:ascii="Arial" w:hAnsi="Arial" w:cs="Arial"/>
                <w:sz w:val="20"/>
                <w:szCs w:val="20"/>
                <w:lang w:val="en-GB"/>
              </w:rPr>
              <w:fldChar w:fldCharType="separate"/>
            </w:r>
            <w:r w:rsidRPr="00716AC9" w:rsidR="007626C5">
              <w:rPr>
                <w:rFonts w:ascii="Arial" w:hAnsi="Arial" w:cs="Arial"/>
                <w:noProof/>
                <w:sz w:val="20"/>
                <w:szCs w:val="20"/>
                <w:vertAlign w:val="superscript"/>
                <w:lang w:val="en-GB"/>
              </w:rPr>
              <w:t>2</w:t>
            </w:r>
            <w:r w:rsidR="007626C5">
              <w:rPr>
                <w:rFonts w:ascii="Arial" w:hAnsi="Arial" w:cs="Arial"/>
                <w:sz w:val="20"/>
                <w:szCs w:val="20"/>
                <w:lang w:val="en-GB"/>
              </w:rPr>
              <w:fldChar w:fldCharType="end"/>
            </w:r>
            <w:r w:rsidR="007626C5">
              <w:rPr>
                <w:rFonts w:ascii="Arial" w:hAnsi="Arial" w:cs="Arial"/>
                <w:sz w:val="20"/>
                <w:szCs w:val="20"/>
                <w:lang w:val="en-GB"/>
              </w:rPr>
              <w:t xml:space="preserve"> Stein et al. report 13,896.</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3&lt;/sup&gt;","plainTextFormattedCitation":"3","previouslyFormattedCitation":"&lt;sup&gt;3&lt;/sup&gt;"},"properties":{"noteIndex":0},"schema":"https://github.com/citation-style-language/schema/raw/master/csl-citation.json"}</w:instrText>
            </w:r>
            <w:r w:rsidR="007626C5">
              <w:rPr>
                <w:rFonts w:ascii="Arial" w:hAnsi="Arial" w:cs="Arial"/>
                <w:sz w:val="20"/>
                <w:szCs w:val="20"/>
                <w:lang w:val="en-GB"/>
              </w:rPr>
              <w:fldChar w:fldCharType="separate"/>
            </w:r>
            <w:r w:rsidRPr="007226B8" w:rsidR="007626C5">
              <w:rPr>
                <w:rFonts w:ascii="Arial" w:hAnsi="Arial" w:cs="Arial"/>
                <w:noProof/>
                <w:sz w:val="20"/>
                <w:szCs w:val="20"/>
                <w:vertAlign w:val="superscript"/>
                <w:lang w:val="en-GB"/>
              </w:rPr>
              <w:t>3</w:t>
            </w:r>
            <w:r w:rsidR="007626C5">
              <w:rPr>
                <w:rFonts w:ascii="Arial" w:hAnsi="Arial" w:cs="Arial"/>
                <w:sz w:val="20"/>
                <w:szCs w:val="20"/>
                <w:lang w:val="en-GB"/>
              </w:rPr>
              <w:fldChar w:fldCharType="end"/>
            </w:r>
          </w:p>
        </w:tc>
      </w:tr>
      <w:tr w:rsidRPr="002F020B" w:rsidR="00F525B3" w:rsidTr="00BD6273" w14:paraId="28245B6F" w14:textId="77777777">
        <w:trPr>
          <w:trHeight w:val="17"/>
        </w:trPr>
        <w:tc>
          <w:tcPr>
            <w:tcW w:w="489" w:type="pct"/>
            <w:tcBorders>
              <w:top w:val="single" w:color="auto" w:sz="4" w:space="0"/>
              <w:bottom w:val="single" w:color="auto" w:sz="4" w:space="0"/>
            </w:tcBorders>
            <w:vAlign w:val="center"/>
          </w:tcPr>
          <w:p w:rsidRPr="002F020B" w:rsidR="00F525B3" w:rsidP="00BD6273" w:rsidRDefault="00F525B3" w14:paraId="7D842B5D" w14:textId="59F4EE2C">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2009</w:t>
            </w:r>
          </w:p>
        </w:tc>
        <w:tc>
          <w:tcPr>
            <w:tcW w:w="550" w:type="pct"/>
            <w:tcBorders>
              <w:top w:val="single" w:color="auto" w:sz="4" w:space="0"/>
              <w:bottom w:val="single" w:color="auto" w:sz="4" w:space="0"/>
            </w:tcBorders>
            <w:vAlign w:val="center"/>
          </w:tcPr>
          <w:p w:rsidRPr="002F020B" w:rsidR="00F525B3" w:rsidP="00BD6273" w:rsidRDefault="00F525B3" w14:paraId="134616F9" w14:textId="000227DE">
            <w:pPr>
              <w:spacing w:before="0" w:line="240" w:lineRule="auto"/>
              <w:rPr>
                <w:rFonts w:ascii="Arial" w:hAnsi="Arial" w:cs="Arial"/>
                <w:sz w:val="20"/>
                <w:szCs w:val="20"/>
                <w:lang w:val="en-GB"/>
              </w:rPr>
            </w:pPr>
            <w:r>
              <w:rPr>
                <w:rFonts w:ascii="Arial" w:hAnsi="Arial" w:cs="Arial"/>
                <w:sz w:val="20"/>
                <w:szCs w:val="20"/>
                <w:lang w:val="en-GB"/>
              </w:rPr>
              <w:t>15,818</w:t>
            </w:r>
          </w:p>
        </w:tc>
        <w:tc>
          <w:tcPr>
            <w:tcW w:w="3961" w:type="pct"/>
            <w:tcBorders>
              <w:top w:val="single" w:color="auto" w:sz="4" w:space="0"/>
              <w:bottom w:val="single" w:color="auto" w:sz="4" w:space="0"/>
            </w:tcBorders>
            <w:vAlign w:val="center"/>
          </w:tcPr>
          <w:p w:rsidRPr="002F020B" w:rsidR="00F525B3" w:rsidP="00BD6273" w:rsidRDefault="00845887" w14:paraId="28A6F57C" w14:textId="52B82560">
            <w:pPr>
              <w:spacing w:before="0" w:line="240" w:lineRule="auto"/>
              <w:rPr>
                <w:rFonts w:ascii="Arial" w:hAnsi="Arial" w:cs="Arial"/>
                <w:sz w:val="20"/>
                <w:szCs w:val="20"/>
                <w:lang w:val="en-GB"/>
              </w:rPr>
            </w:pPr>
            <w:r>
              <w:rPr>
                <w:rFonts w:ascii="Arial" w:hAnsi="Arial" w:cs="Arial"/>
                <w:sz w:val="20"/>
                <w:szCs w:val="20"/>
                <w:lang w:val="en-GB"/>
              </w:rPr>
              <w:t>The average of the following was used: Jones et al. report 15,608</w:t>
            </w:r>
            <w:r>
              <w:rPr>
                <w:rFonts w:ascii="Arial" w:hAnsi="Arial" w:cs="Arial"/>
                <w:sz w:val="20"/>
                <w:szCs w:val="20"/>
                <w:lang w:val="en-GB"/>
              </w:rPr>
              <w:fldChar w:fldCharType="begin" w:fldLock="1"/>
            </w:r>
            <w:r>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2&lt;/sup&gt;","plainTextFormattedCitation":"2","previouslyFormattedCitation":"&lt;sup&gt;2&lt;/sup&gt;"},"properties":{"noteIndex":0},"schema":"https://github.com/citation-style-language/schema/raw/master/csl-citation.json"}</w:instrText>
            </w:r>
            <w:r>
              <w:rPr>
                <w:rFonts w:ascii="Arial" w:hAnsi="Arial" w:cs="Arial"/>
                <w:sz w:val="20"/>
                <w:szCs w:val="20"/>
                <w:lang w:val="en-GB"/>
              </w:rPr>
              <w:fldChar w:fldCharType="separate"/>
            </w:r>
            <w:r w:rsidRPr="00716AC9">
              <w:rPr>
                <w:rFonts w:ascii="Arial" w:hAnsi="Arial" w:cs="Arial"/>
                <w:noProof/>
                <w:sz w:val="20"/>
                <w:szCs w:val="20"/>
                <w:vertAlign w:val="superscript"/>
                <w:lang w:val="en-GB"/>
              </w:rPr>
              <w:t>2</w:t>
            </w:r>
            <w:r>
              <w:rPr>
                <w:rFonts w:ascii="Arial" w:hAnsi="Arial" w:cs="Arial"/>
                <w:sz w:val="20"/>
                <w:szCs w:val="20"/>
                <w:lang w:val="en-GB"/>
              </w:rPr>
              <w:fldChar w:fldCharType="end"/>
            </w:r>
            <w:r>
              <w:rPr>
                <w:rFonts w:ascii="Arial" w:hAnsi="Arial" w:cs="Arial"/>
                <w:sz w:val="20"/>
                <w:szCs w:val="20"/>
                <w:lang w:val="en-GB"/>
              </w:rPr>
              <w:t xml:space="preserve"> and Stein et al. report </w:t>
            </w:r>
            <w:r w:rsidR="0022431B">
              <w:rPr>
                <w:rFonts w:ascii="Arial" w:hAnsi="Arial" w:cs="Arial"/>
                <w:sz w:val="20"/>
                <w:szCs w:val="20"/>
                <w:lang w:val="en-GB"/>
              </w:rPr>
              <w:t>17,785</w:t>
            </w:r>
            <w:r>
              <w:rPr>
                <w:rFonts w:ascii="Arial" w:hAnsi="Arial" w:cs="Arial"/>
                <w:sz w:val="20"/>
                <w:szCs w:val="20"/>
                <w:lang w:val="en-GB"/>
              </w:rPr>
              <w:t>.</w:t>
            </w:r>
            <w:r>
              <w:rPr>
                <w:rFonts w:ascii="Arial" w:hAnsi="Arial" w:cs="Arial"/>
                <w:sz w:val="20"/>
                <w:szCs w:val="20"/>
                <w:lang w:val="en-GB"/>
              </w:rPr>
              <w:fldChar w:fldCharType="begin" w:fldLock="1"/>
            </w:r>
            <w:r>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3&lt;/sup&gt;","plainTextFormattedCitation":"3","previouslyFormattedCitation":"&lt;sup&gt;3&lt;/sup&gt;"},"properties":{"noteIndex":0},"schema":"https://github.com/citation-style-language/schema/raw/master/csl-citation.json"}</w:instrText>
            </w:r>
            <w:r>
              <w:rPr>
                <w:rFonts w:ascii="Arial" w:hAnsi="Arial" w:cs="Arial"/>
                <w:sz w:val="20"/>
                <w:szCs w:val="20"/>
                <w:lang w:val="en-GB"/>
              </w:rPr>
              <w:fldChar w:fldCharType="separate"/>
            </w:r>
            <w:r w:rsidRPr="007226B8">
              <w:rPr>
                <w:rFonts w:ascii="Arial" w:hAnsi="Arial" w:cs="Arial"/>
                <w:noProof/>
                <w:sz w:val="20"/>
                <w:szCs w:val="20"/>
                <w:vertAlign w:val="superscript"/>
                <w:lang w:val="en-GB"/>
              </w:rPr>
              <w:t>3</w:t>
            </w:r>
            <w:r>
              <w:rPr>
                <w:rFonts w:ascii="Arial" w:hAnsi="Arial" w:cs="Arial"/>
                <w:sz w:val="20"/>
                <w:szCs w:val="20"/>
                <w:lang w:val="en-GB"/>
              </w:rPr>
              <w:fldChar w:fldCharType="end"/>
            </w:r>
          </w:p>
        </w:tc>
      </w:tr>
      <w:tr w:rsidRPr="002F020B" w:rsidR="00F525B3" w:rsidTr="00BD6273" w14:paraId="00C9D3CE" w14:textId="77777777">
        <w:trPr>
          <w:trHeight w:val="17"/>
        </w:trPr>
        <w:tc>
          <w:tcPr>
            <w:tcW w:w="489" w:type="pct"/>
            <w:tcBorders>
              <w:top w:val="single" w:color="auto" w:sz="4" w:space="0"/>
              <w:bottom w:val="single" w:color="auto" w:sz="4" w:space="0"/>
            </w:tcBorders>
            <w:vAlign w:val="center"/>
          </w:tcPr>
          <w:p w:rsidRPr="002F020B" w:rsidR="00F525B3" w:rsidP="00BD6273" w:rsidRDefault="00F525B3" w14:paraId="3372504A" w14:textId="5D8A978D">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2010</w:t>
            </w:r>
          </w:p>
        </w:tc>
        <w:tc>
          <w:tcPr>
            <w:tcW w:w="550" w:type="pct"/>
            <w:tcBorders>
              <w:top w:val="single" w:color="auto" w:sz="4" w:space="0"/>
              <w:bottom w:val="single" w:color="auto" w:sz="4" w:space="0"/>
            </w:tcBorders>
            <w:vAlign w:val="center"/>
          </w:tcPr>
          <w:p w:rsidRPr="002F020B" w:rsidR="00F525B3" w:rsidP="00BD6273" w:rsidRDefault="00F525B3" w14:paraId="51BE78B2" w14:textId="0EA9DC3C">
            <w:pPr>
              <w:spacing w:before="0" w:line="240" w:lineRule="auto"/>
              <w:rPr>
                <w:rFonts w:ascii="Arial" w:hAnsi="Arial" w:cs="Arial"/>
                <w:sz w:val="20"/>
                <w:szCs w:val="20"/>
                <w:lang w:val="en-GB"/>
              </w:rPr>
            </w:pPr>
            <w:r>
              <w:rPr>
                <w:rFonts w:ascii="Arial" w:hAnsi="Arial" w:cs="Arial"/>
                <w:sz w:val="20"/>
                <w:szCs w:val="20"/>
                <w:lang w:val="en-GB"/>
              </w:rPr>
              <w:t>18,024</w:t>
            </w:r>
          </w:p>
        </w:tc>
        <w:tc>
          <w:tcPr>
            <w:tcW w:w="3961" w:type="pct"/>
            <w:tcBorders>
              <w:top w:val="single" w:color="auto" w:sz="4" w:space="0"/>
              <w:bottom w:val="single" w:color="auto" w:sz="4" w:space="0"/>
            </w:tcBorders>
            <w:vAlign w:val="center"/>
          </w:tcPr>
          <w:p w:rsidRPr="002F020B" w:rsidR="00F525B3" w:rsidP="00BD6273" w:rsidRDefault="007C081F" w14:paraId="761E3AFC" w14:textId="35B5566F">
            <w:pPr>
              <w:spacing w:before="0" w:line="240" w:lineRule="auto"/>
              <w:rPr>
                <w:rFonts w:ascii="Arial" w:hAnsi="Arial" w:cs="Arial"/>
                <w:sz w:val="20"/>
                <w:szCs w:val="20"/>
                <w:lang w:val="en-GB"/>
              </w:rPr>
            </w:pPr>
            <w:r>
              <w:rPr>
                <w:rFonts w:ascii="Arial" w:hAnsi="Arial" w:cs="Arial"/>
                <w:sz w:val="20"/>
                <w:szCs w:val="20"/>
                <w:lang w:val="en-GB"/>
              </w:rPr>
              <w:t>The average of the following was used: Jones et al. report 15,608</w:t>
            </w:r>
            <w:r>
              <w:rPr>
                <w:rFonts w:ascii="Arial" w:hAnsi="Arial" w:cs="Arial"/>
                <w:sz w:val="20"/>
                <w:szCs w:val="20"/>
                <w:lang w:val="en-GB"/>
              </w:rPr>
              <w:fldChar w:fldCharType="begin" w:fldLock="1"/>
            </w:r>
            <w:r>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2&lt;/sup&gt;","plainTextFormattedCitation":"2","previouslyFormattedCitation":"&lt;sup&gt;2&lt;/sup&gt;"},"properties":{"noteIndex":0},"schema":"https://github.com/citation-style-language/schema/raw/master/csl-citation.json"}</w:instrText>
            </w:r>
            <w:r>
              <w:rPr>
                <w:rFonts w:ascii="Arial" w:hAnsi="Arial" w:cs="Arial"/>
                <w:sz w:val="20"/>
                <w:szCs w:val="20"/>
                <w:lang w:val="en-GB"/>
              </w:rPr>
              <w:fldChar w:fldCharType="separate"/>
            </w:r>
            <w:r w:rsidRPr="00716AC9">
              <w:rPr>
                <w:rFonts w:ascii="Arial" w:hAnsi="Arial" w:cs="Arial"/>
                <w:noProof/>
                <w:sz w:val="20"/>
                <w:szCs w:val="20"/>
                <w:vertAlign w:val="superscript"/>
                <w:lang w:val="en-GB"/>
              </w:rPr>
              <w:t>2</w:t>
            </w:r>
            <w:r>
              <w:rPr>
                <w:rFonts w:ascii="Arial" w:hAnsi="Arial" w:cs="Arial"/>
                <w:sz w:val="20"/>
                <w:szCs w:val="20"/>
                <w:lang w:val="en-GB"/>
              </w:rPr>
              <w:fldChar w:fldCharType="end"/>
            </w:r>
            <w:r>
              <w:rPr>
                <w:rFonts w:ascii="Arial" w:hAnsi="Arial" w:cs="Arial"/>
                <w:sz w:val="20"/>
                <w:szCs w:val="20"/>
                <w:lang w:val="en-GB"/>
              </w:rPr>
              <w:t xml:space="preserve"> and Stein et al. report 18,26</w:t>
            </w:r>
            <w:r w:rsidR="0022431B">
              <w:rPr>
                <w:rFonts w:ascii="Arial" w:hAnsi="Arial" w:cs="Arial"/>
                <w:sz w:val="20"/>
                <w:szCs w:val="20"/>
                <w:lang w:val="en-GB"/>
              </w:rPr>
              <w:t>2</w:t>
            </w:r>
            <w:r>
              <w:rPr>
                <w:rFonts w:ascii="Arial" w:hAnsi="Arial" w:cs="Arial"/>
                <w:sz w:val="20"/>
                <w:szCs w:val="20"/>
                <w:lang w:val="en-GB"/>
              </w:rPr>
              <w:t>.</w:t>
            </w:r>
            <w:r>
              <w:rPr>
                <w:rFonts w:ascii="Arial" w:hAnsi="Arial" w:cs="Arial"/>
                <w:sz w:val="20"/>
                <w:szCs w:val="20"/>
                <w:lang w:val="en-GB"/>
              </w:rPr>
              <w:fldChar w:fldCharType="begin" w:fldLock="1"/>
            </w:r>
            <w:r>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3&lt;/sup&gt;","plainTextFormattedCitation":"3","previouslyFormattedCitation":"&lt;sup&gt;3&lt;/sup&gt;"},"properties":{"noteIndex":0},"schema":"https://github.com/citation-style-language/schema/raw/master/csl-citation.json"}</w:instrText>
            </w:r>
            <w:r>
              <w:rPr>
                <w:rFonts w:ascii="Arial" w:hAnsi="Arial" w:cs="Arial"/>
                <w:sz w:val="20"/>
                <w:szCs w:val="20"/>
                <w:lang w:val="en-GB"/>
              </w:rPr>
              <w:fldChar w:fldCharType="separate"/>
            </w:r>
            <w:r w:rsidRPr="007226B8">
              <w:rPr>
                <w:rFonts w:ascii="Arial" w:hAnsi="Arial" w:cs="Arial"/>
                <w:noProof/>
                <w:sz w:val="20"/>
                <w:szCs w:val="20"/>
                <w:vertAlign w:val="superscript"/>
                <w:lang w:val="en-GB"/>
              </w:rPr>
              <w:t>3</w:t>
            </w:r>
            <w:r>
              <w:rPr>
                <w:rFonts w:ascii="Arial" w:hAnsi="Arial" w:cs="Arial"/>
                <w:sz w:val="20"/>
                <w:szCs w:val="20"/>
                <w:lang w:val="en-GB"/>
              </w:rPr>
              <w:fldChar w:fldCharType="end"/>
            </w:r>
          </w:p>
        </w:tc>
      </w:tr>
      <w:tr w:rsidRPr="002F020B" w:rsidR="0022431B" w:rsidTr="00BD6273" w14:paraId="25189D96" w14:textId="77777777">
        <w:trPr>
          <w:trHeight w:val="17"/>
        </w:trPr>
        <w:tc>
          <w:tcPr>
            <w:tcW w:w="489" w:type="pct"/>
            <w:tcBorders>
              <w:top w:val="single" w:color="auto" w:sz="4" w:space="0"/>
              <w:bottom w:val="single" w:color="auto" w:sz="4" w:space="0"/>
            </w:tcBorders>
            <w:vAlign w:val="center"/>
          </w:tcPr>
          <w:p w:rsidRPr="002F020B" w:rsidR="0022431B" w:rsidP="0022431B" w:rsidRDefault="0022431B" w14:paraId="6ACA4D44" w14:textId="3760F3B9">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2011</w:t>
            </w:r>
          </w:p>
        </w:tc>
        <w:tc>
          <w:tcPr>
            <w:tcW w:w="550" w:type="pct"/>
            <w:tcBorders>
              <w:top w:val="single" w:color="auto" w:sz="4" w:space="0"/>
              <w:bottom w:val="single" w:color="auto" w:sz="4" w:space="0"/>
            </w:tcBorders>
            <w:vAlign w:val="center"/>
          </w:tcPr>
          <w:p w:rsidRPr="002F020B" w:rsidR="0022431B" w:rsidP="0022431B" w:rsidRDefault="0022431B" w14:paraId="3CF37FC0" w14:textId="40C62825">
            <w:pPr>
              <w:spacing w:before="0" w:line="240" w:lineRule="auto"/>
              <w:rPr>
                <w:rFonts w:ascii="Arial" w:hAnsi="Arial" w:cs="Arial"/>
                <w:sz w:val="20"/>
                <w:szCs w:val="20"/>
                <w:lang w:val="en-GB"/>
              </w:rPr>
            </w:pPr>
            <w:r>
              <w:rPr>
                <w:rFonts w:ascii="Arial" w:hAnsi="Arial" w:cs="Arial"/>
                <w:sz w:val="20"/>
                <w:szCs w:val="20"/>
                <w:lang w:val="en-GB"/>
              </w:rPr>
              <w:t>20,148</w:t>
            </w:r>
          </w:p>
        </w:tc>
        <w:tc>
          <w:tcPr>
            <w:tcW w:w="3961" w:type="pct"/>
            <w:tcBorders>
              <w:top w:val="single" w:color="auto" w:sz="4" w:space="0"/>
              <w:bottom w:val="single" w:color="auto" w:sz="4" w:space="0"/>
            </w:tcBorders>
            <w:vAlign w:val="center"/>
          </w:tcPr>
          <w:p w:rsidRPr="002F020B" w:rsidR="0022431B" w:rsidP="0022431B" w:rsidRDefault="0022431B" w14:paraId="0ADB9610" w14:textId="6BCCB964">
            <w:pPr>
              <w:spacing w:before="0" w:line="240" w:lineRule="auto"/>
              <w:rPr>
                <w:rFonts w:ascii="Arial" w:hAnsi="Arial" w:cs="Arial"/>
                <w:sz w:val="20"/>
                <w:szCs w:val="20"/>
                <w:lang w:val="en-GB"/>
              </w:rPr>
            </w:pPr>
            <w:r>
              <w:rPr>
                <w:rFonts w:ascii="Arial" w:hAnsi="Arial" w:cs="Arial"/>
                <w:sz w:val="20"/>
                <w:szCs w:val="20"/>
                <w:lang w:val="en-GB"/>
              </w:rPr>
              <w:t xml:space="preserve">The average of the following was used: Jones et al. report </w:t>
            </w:r>
            <w:r w:rsidR="006D7516">
              <w:rPr>
                <w:rFonts w:ascii="Arial" w:hAnsi="Arial" w:cs="Arial"/>
                <w:sz w:val="20"/>
                <w:szCs w:val="20"/>
                <w:lang w:val="en-GB"/>
              </w:rPr>
              <w:t>19,886</w:t>
            </w:r>
            <w:r>
              <w:rPr>
                <w:rFonts w:ascii="Arial" w:hAnsi="Arial" w:cs="Arial"/>
                <w:sz w:val="20"/>
                <w:szCs w:val="20"/>
                <w:lang w:val="en-GB"/>
              </w:rPr>
              <w:fldChar w:fldCharType="begin" w:fldLock="1"/>
            </w:r>
            <w:r>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2&lt;/sup&gt;","plainTextFormattedCitation":"2","previouslyFormattedCitation":"&lt;sup&gt;2&lt;/sup&gt;"},"properties":{"noteIndex":0},"schema":"https://github.com/citation-style-language/schema/raw/master/csl-citation.json"}</w:instrText>
            </w:r>
            <w:r>
              <w:rPr>
                <w:rFonts w:ascii="Arial" w:hAnsi="Arial" w:cs="Arial"/>
                <w:sz w:val="20"/>
                <w:szCs w:val="20"/>
                <w:lang w:val="en-GB"/>
              </w:rPr>
              <w:fldChar w:fldCharType="separate"/>
            </w:r>
            <w:r w:rsidRPr="00716AC9">
              <w:rPr>
                <w:rFonts w:ascii="Arial" w:hAnsi="Arial" w:cs="Arial"/>
                <w:noProof/>
                <w:sz w:val="20"/>
                <w:szCs w:val="20"/>
                <w:vertAlign w:val="superscript"/>
                <w:lang w:val="en-GB"/>
              </w:rPr>
              <w:t>2</w:t>
            </w:r>
            <w:r>
              <w:rPr>
                <w:rFonts w:ascii="Arial" w:hAnsi="Arial" w:cs="Arial"/>
                <w:sz w:val="20"/>
                <w:szCs w:val="20"/>
                <w:lang w:val="en-GB"/>
              </w:rPr>
              <w:fldChar w:fldCharType="end"/>
            </w:r>
            <w:r>
              <w:rPr>
                <w:rFonts w:ascii="Arial" w:hAnsi="Arial" w:cs="Arial"/>
                <w:sz w:val="20"/>
                <w:szCs w:val="20"/>
                <w:lang w:val="en-GB"/>
              </w:rPr>
              <w:t xml:space="preserve"> and Stein et al. report </w:t>
            </w:r>
            <w:r w:rsidR="006D7516">
              <w:rPr>
                <w:rFonts w:ascii="Arial" w:hAnsi="Arial" w:cs="Arial"/>
                <w:sz w:val="20"/>
                <w:szCs w:val="20"/>
                <w:lang w:val="en-GB"/>
              </w:rPr>
              <w:t>20,410</w:t>
            </w:r>
            <w:r>
              <w:rPr>
                <w:rFonts w:ascii="Arial" w:hAnsi="Arial" w:cs="Arial"/>
                <w:sz w:val="20"/>
                <w:szCs w:val="20"/>
                <w:lang w:val="en-GB"/>
              </w:rPr>
              <w:t>.</w:t>
            </w:r>
            <w:r>
              <w:rPr>
                <w:rFonts w:ascii="Arial" w:hAnsi="Arial" w:cs="Arial"/>
                <w:sz w:val="20"/>
                <w:szCs w:val="20"/>
                <w:lang w:val="en-GB"/>
              </w:rPr>
              <w:fldChar w:fldCharType="begin" w:fldLock="1"/>
            </w:r>
            <w:r>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3&lt;/sup&gt;","plainTextFormattedCitation":"3","previouslyFormattedCitation":"&lt;sup&gt;3&lt;/sup&gt;"},"properties":{"noteIndex":0},"schema":"https://github.com/citation-style-language/schema/raw/master/csl-citation.json"}</w:instrText>
            </w:r>
            <w:r>
              <w:rPr>
                <w:rFonts w:ascii="Arial" w:hAnsi="Arial" w:cs="Arial"/>
                <w:sz w:val="20"/>
                <w:szCs w:val="20"/>
                <w:lang w:val="en-GB"/>
              </w:rPr>
              <w:fldChar w:fldCharType="separate"/>
            </w:r>
            <w:r w:rsidRPr="007226B8">
              <w:rPr>
                <w:rFonts w:ascii="Arial" w:hAnsi="Arial" w:cs="Arial"/>
                <w:noProof/>
                <w:sz w:val="20"/>
                <w:szCs w:val="20"/>
                <w:vertAlign w:val="superscript"/>
                <w:lang w:val="en-GB"/>
              </w:rPr>
              <w:t>3</w:t>
            </w:r>
            <w:r>
              <w:rPr>
                <w:rFonts w:ascii="Arial" w:hAnsi="Arial" w:cs="Arial"/>
                <w:sz w:val="20"/>
                <w:szCs w:val="20"/>
                <w:lang w:val="en-GB"/>
              </w:rPr>
              <w:fldChar w:fldCharType="end"/>
            </w:r>
          </w:p>
        </w:tc>
      </w:tr>
      <w:tr w:rsidRPr="002F020B" w:rsidR="0022431B" w:rsidTr="00BD6273" w14:paraId="1BCEE9C3" w14:textId="77777777">
        <w:trPr>
          <w:trHeight w:val="17"/>
        </w:trPr>
        <w:tc>
          <w:tcPr>
            <w:tcW w:w="489" w:type="pct"/>
            <w:tcBorders>
              <w:top w:val="single" w:color="auto" w:sz="4" w:space="0"/>
              <w:bottom w:val="single" w:color="auto" w:sz="4" w:space="0"/>
            </w:tcBorders>
            <w:vAlign w:val="center"/>
          </w:tcPr>
          <w:p w:rsidRPr="002F020B" w:rsidR="0022431B" w:rsidP="0022431B" w:rsidRDefault="0022431B" w14:paraId="794D431B" w14:textId="0455F066">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2012</w:t>
            </w:r>
          </w:p>
        </w:tc>
        <w:tc>
          <w:tcPr>
            <w:tcW w:w="550" w:type="pct"/>
            <w:tcBorders>
              <w:top w:val="single" w:color="auto" w:sz="4" w:space="0"/>
              <w:bottom w:val="single" w:color="auto" w:sz="4" w:space="0"/>
            </w:tcBorders>
            <w:vAlign w:val="center"/>
          </w:tcPr>
          <w:p w:rsidRPr="002F020B" w:rsidR="0022431B" w:rsidP="0022431B" w:rsidRDefault="0022431B" w14:paraId="237D48AE" w14:textId="6C1C74CD">
            <w:pPr>
              <w:spacing w:before="0" w:line="240" w:lineRule="auto"/>
              <w:rPr>
                <w:rFonts w:ascii="Arial" w:hAnsi="Arial" w:cs="Arial"/>
                <w:sz w:val="20"/>
                <w:szCs w:val="20"/>
                <w:lang w:val="en-GB"/>
              </w:rPr>
            </w:pPr>
            <w:r>
              <w:rPr>
                <w:rFonts w:ascii="Arial" w:hAnsi="Arial" w:cs="Arial"/>
                <w:sz w:val="20"/>
                <w:szCs w:val="20"/>
                <w:lang w:val="en-GB"/>
              </w:rPr>
              <w:t>22,198</w:t>
            </w:r>
          </w:p>
        </w:tc>
        <w:tc>
          <w:tcPr>
            <w:tcW w:w="3961" w:type="pct"/>
            <w:tcBorders>
              <w:top w:val="single" w:color="auto" w:sz="4" w:space="0"/>
              <w:bottom w:val="single" w:color="auto" w:sz="4" w:space="0"/>
            </w:tcBorders>
            <w:vAlign w:val="center"/>
          </w:tcPr>
          <w:p w:rsidRPr="002F020B" w:rsidR="0022431B" w:rsidP="0022431B" w:rsidRDefault="00651A50" w14:paraId="3A66FB99" w14:textId="013DB072">
            <w:pPr>
              <w:spacing w:before="0" w:line="240" w:lineRule="auto"/>
              <w:rPr>
                <w:rFonts w:ascii="Arial" w:hAnsi="Arial" w:cs="Arial"/>
                <w:sz w:val="20"/>
                <w:szCs w:val="20"/>
                <w:lang w:val="en-GB"/>
              </w:rPr>
            </w:pPr>
            <w:r>
              <w:rPr>
                <w:rFonts w:ascii="Arial" w:hAnsi="Arial" w:cs="Arial"/>
                <w:sz w:val="20"/>
                <w:szCs w:val="20"/>
                <w:lang w:val="en-GB"/>
              </w:rPr>
              <w:t>Jones et al</w:t>
            </w:r>
            <w:r w:rsidR="00423DF4">
              <w:rPr>
                <w:rFonts w:ascii="Arial" w:hAnsi="Arial" w:cs="Arial"/>
                <w:sz w:val="20"/>
                <w:szCs w:val="20"/>
                <w:lang w:val="en-GB"/>
              </w:rPr>
              <w:t>.</w:t>
            </w:r>
            <w:r w:rsidR="00423DF4">
              <w:rPr>
                <w:rFonts w:ascii="Arial" w:hAnsi="Arial" w:cs="Arial"/>
                <w:sz w:val="20"/>
                <w:szCs w:val="20"/>
                <w:lang w:val="en-GB"/>
              </w:rPr>
              <w:fldChar w:fldCharType="begin" w:fldLock="1"/>
            </w:r>
            <w:r w:rsidR="00423DF4">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2&lt;/sup&gt;","plainTextFormattedCitation":"2","previouslyFormattedCitation":"&lt;sup&gt;2&lt;/sup&gt;"},"properties":{"noteIndex":0},"schema":"https://github.com/citation-style-language/schema/raw/master/csl-citation.json"}</w:instrText>
            </w:r>
            <w:r w:rsidR="00423DF4">
              <w:rPr>
                <w:rFonts w:ascii="Arial" w:hAnsi="Arial" w:cs="Arial"/>
                <w:sz w:val="20"/>
                <w:szCs w:val="20"/>
                <w:lang w:val="en-GB"/>
              </w:rPr>
              <w:fldChar w:fldCharType="separate"/>
            </w:r>
            <w:r w:rsidRPr="00716AC9" w:rsidR="00423DF4">
              <w:rPr>
                <w:rFonts w:ascii="Arial" w:hAnsi="Arial" w:cs="Arial"/>
                <w:noProof/>
                <w:sz w:val="20"/>
                <w:szCs w:val="20"/>
                <w:vertAlign w:val="superscript"/>
                <w:lang w:val="en-GB"/>
              </w:rPr>
              <w:t>2</w:t>
            </w:r>
            <w:r w:rsidR="00423DF4">
              <w:rPr>
                <w:rFonts w:ascii="Arial" w:hAnsi="Arial" w:cs="Arial"/>
                <w:sz w:val="20"/>
                <w:szCs w:val="20"/>
                <w:lang w:val="en-GB"/>
              </w:rPr>
              <w:fldChar w:fldCharType="end"/>
            </w:r>
          </w:p>
        </w:tc>
      </w:tr>
      <w:tr w:rsidRPr="002F020B" w:rsidR="0022431B" w:rsidTr="00BD6273" w14:paraId="749C9042" w14:textId="77777777">
        <w:trPr>
          <w:trHeight w:val="17"/>
        </w:trPr>
        <w:tc>
          <w:tcPr>
            <w:tcW w:w="489" w:type="pct"/>
            <w:tcBorders>
              <w:top w:val="single" w:color="auto" w:sz="4" w:space="0"/>
              <w:bottom w:val="single" w:color="auto" w:sz="4" w:space="0"/>
            </w:tcBorders>
            <w:vAlign w:val="center"/>
          </w:tcPr>
          <w:p w:rsidRPr="002F020B" w:rsidR="0022431B" w:rsidP="0022431B" w:rsidRDefault="0022431B" w14:paraId="5CC2C382" w14:textId="7D53A5E5">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2013</w:t>
            </w:r>
          </w:p>
        </w:tc>
        <w:tc>
          <w:tcPr>
            <w:tcW w:w="550" w:type="pct"/>
            <w:tcBorders>
              <w:top w:val="single" w:color="auto" w:sz="4" w:space="0"/>
              <w:bottom w:val="single" w:color="auto" w:sz="4" w:space="0"/>
            </w:tcBorders>
            <w:vAlign w:val="center"/>
          </w:tcPr>
          <w:p w:rsidRPr="002F020B" w:rsidR="0022431B" w:rsidP="0022431B" w:rsidRDefault="0022431B" w14:paraId="3AAE1EA4" w14:textId="087F7CC8">
            <w:pPr>
              <w:spacing w:before="0" w:line="240" w:lineRule="auto"/>
              <w:rPr>
                <w:rFonts w:ascii="Arial" w:hAnsi="Arial" w:cs="Arial"/>
                <w:sz w:val="20"/>
                <w:szCs w:val="20"/>
                <w:lang w:val="en-GB"/>
              </w:rPr>
            </w:pPr>
            <w:r>
              <w:rPr>
                <w:rFonts w:ascii="Arial" w:hAnsi="Arial" w:cs="Arial"/>
                <w:sz w:val="20"/>
                <w:szCs w:val="20"/>
                <w:lang w:val="en-GB"/>
              </w:rPr>
              <w:t>23,629</w:t>
            </w:r>
          </w:p>
        </w:tc>
        <w:tc>
          <w:tcPr>
            <w:tcW w:w="3961" w:type="pct"/>
            <w:tcBorders>
              <w:top w:val="single" w:color="auto" w:sz="4" w:space="0"/>
              <w:bottom w:val="single" w:color="auto" w:sz="4" w:space="0"/>
            </w:tcBorders>
            <w:vAlign w:val="center"/>
          </w:tcPr>
          <w:p w:rsidRPr="002F020B" w:rsidR="0022431B" w:rsidP="0022431B" w:rsidRDefault="0015386E" w14:paraId="60A9FEB0" w14:textId="72A2005F">
            <w:pPr>
              <w:spacing w:before="0" w:line="240" w:lineRule="auto"/>
              <w:rPr>
                <w:rFonts w:ascii="Arial" w:hAnsi="Arial" w:cs="Arial"/>
                <w:sz w:val="20"/>
                <w:szCs w:val="20"/>
                <w:lang w:val="en-GB"/>
              </w:rPr>
            </w:pPr>
            <w:r>
              <w:rPr>
                <w:rFonts w:ascii="Arial" w:hAnsi="Arial" w:cs="Arial"/>
                <w:sz w:val="20"/>
                <w:szCs w:val="20"/>
                <w:lang w:val="en-GB"/>
              </w:rPr>
              <w:t>Knudsen et al.</w:t>
            </w:r>
            <w:r>
              <w:rPr>
                <w:rFonts w:ascii="Arial" w:hAnsi="Arial" w:cs="Arial"/>
                <w:sz w:val="20"/>
                <w:szCs w:val="20"/>
                <w:lang w:val="en-GB"/>
              </w:rPr>
              <w:fldChar w:fldCharType="begin" w:fldLock="1"/>
            </w:r>
            <w:r w:rsidR="00B42EA9">
              <w:rPr>
                <w:rFonts w:ascii="Arial" w:hAnsi="Arial" w:cs="Arial"/>
                <w:sz w:val="20"/>
                <w:szCs w:val="20"/>
                <w:lang w:val="en-GB"/>
              </w:rPr>
              <w:instrText>ADDIN CSL_CITATION {"citationItems":[{"id":"ITEM-1","itemData":{"DOI":"10.15288/jsad.2015.76.644","ISSN":"19384114","PMID":"26098042","abstract":"Objective: The U.S. Food and Drug Administration’s approval of buprenorphine in 2002 expanded options for treating opioid use disorder (OUD). Physicians who intend to treat OUD patients with buprenorphine must seek a waiver to prescribe it, which may contribute to state-by-state variation in the supply of waivered physicians. Method: This study integrates data extracted from the U.S. Drug Enforcement Agency’s database of waivered physicians with state-level indicators of the macro environment, health-related resources, and treatment demand. Results: In December 2013, the average state had 8.0 waivered physicians per 100,000 residents (SD = 5.2). Large regional differences between states in the Northeast relative to states in the Midwest, South, and West were observed. The percentage of residents covered by Medicaid as well as the population-adjusted availability of opioid treatment programs and substance use disorder treatment facilities were positively associated with buprenorphine physician supply. Buprenorphine physician supply was positively correlated with states’ rates of overdose deaths, suggesting that physicians may seek the waiver in response to the magnitude of the opioid problem in their state. Conclusions: States with greater health-related resources, particularly in terms of the supply of opioid treatment programs and substance use disorder treatment programs, had more waivered physicians in 2013. The fi nding regarding Medicaid coverage suggests that states implementing Medicaid expansion under health reform may experience additional growth in buprenorphine physician supply. However, large regional disparities in the supply of waivered physicians may impede access to care for many Americans with OUD.","author":[{"dropping-particle":"","family":"Knudsen","given":"Hannah K.","non-dropping-particle":"","parse-names":false,"suffix":""}],"container-title":"Journal of Studies on Alcohol and Drugs","id":"ITEM-1","issue":"4","issued":{"date-parts":[["2015"]]},"page":"644-654","title":"The supply of physicians waivered to prescribe buprenorphine for opioid use disorders in the United States: A state-level analysis","type":"article-journal","volume":"76"},"uris":["http://www.mendeley.com/documents/?uuid=71636113-35fb-4121-90ee-7700e740fbd6"]}],"mendeley":{"formattedCitation":"&lt;sup&gt;6&lt;/sup&gt;","plainTextFormattedCitation":"6","previouslyFormattedCitation":"&lt;sup&gt;6&lt;/sup&gt;"},"properties":{"noteIndex":0},"schema":"https://github.com/citation-style-language/schema/raw/master/csl-citation.json"}</w:instrText>
            </w:r>
            <w:r>
              <w:rPr>
                <w:rFonts w:ascii="Arial" w:hAnsi="Arial" w:cs="Arial"/>
                <w:sz w:val="20"/>
                <w:szCs w:val="20"/>
                <w:lang w:val="en-GB"/>
              </w:rPr>
              <w:fldChar w:fldCharType="separate"/>
            </w:r>
            <w:r w:rsidRPr="0015386E">
              <w:rPr>
                <w:rFonts w:ascii="Arial" w:hAnsi="Arial" w:cs="Arial"/>
                <w:noProof/>
                <w:sz w:val="20"/>
                <w:szCs w:val="20"/>
                <w:vertAlign w:val="superscript"/>
                <w:lang w:val="en-GB"/>
              </w:rPr>
              <w:t>6</w:t>
            </w:r>
            <w:r>
              <w:rPr>
                <w:rFonts w:ascii="Arial" w:hAnsi="Arial" w:cs="Arial"/>
                <w:sz w:val="20"/>
                <w:szCs w:val="20"/>
                <w:lang w:val="en-GB"/>
              </w:rPr>
              <w:fldChar w:fldCharType="end"/>
            </w:r>
            <w:r>
              <w:rPr>
                <w:rFonts w:ascii="Arial" w:hAnsi="Arial" w:cs="Arial"/>
                <w:sz w:val="20"/>
                <w:szCs w:val="20"/>
                <w:lang w:val="en-GB"/>
              </w:rPr>
              <w:t xml:space="preserve"> </w:t>
            </w:r>
          </w:p>
        </w:tc>
      </w:tr>
      <w:tr w:rsidRPr="002F020B" w:rsidR="0022431B" w:rsidTr="00361373" w14:paraId="1192D309" w14:textId="77777777">
        <w:trPr>
          <w:trHeight w:val="1169"/>
        </w:trPr>
        <w:tc>
          <w:tcPr>
            <w:tcW w:w="489" w:type="pct"/>
            <w:tcBorders>
              <w:top w:val="single" w:color="auto" w:sz="4" w:space="0"/>
              <w:bottom w:val="single" w:color="auto" w:sz="4" w:space="0"/>
            </w:tcBorders>
            <w:vAlign w:val="center"/>
          </w:tcPr>
          <w:p w:rsidRPr="002F020B" w:rsidR="0022431B" w:rsidP="0022431B" w:rsidRDefault="0022431B" w14:paraId="5EA79A45" w14:textId="42ACBAAE">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2014</w:t>
            </w:r>
          </w:p>
        </w:tc>
        <w:tc>
          <w:tcPr>
            <w:tcW w:w="550" w:type="pct"/>
            <w:tcBorders>
              <w:top w:val="single" w:color="auto" w:sz="4" w:space="0"/>
              <w:bottom w:val="single" w:color="auto" w:sz="4" w:space="0"/>
            </w:tcBorders>
            <w:vAlign w:val="center"/>
          </w:tcPr>
          <w:p w:rsidRPr="002F020B" w:rsidR="0022431B" w:rsidP="0022431B" w:rsidRDefault="0022431B" w14:paraId="113344EF" w14:textId="4AA5563D">
            <w:pPr>
              <w:spacing w:before="0" w:line="240" w:lineRule="auto"/>
              <w:rPr>
                <w:rFonts w:ascii="Arial" w:hAnsi="Arial" w:cs="Arial"/>
                <w:sz w:val="20"/>
                <w:szCs w:val="20"/>
                <w:lang w:val="en-GB"/>
              </w:rPr>
            </w:pPr>
            <w:r>
              <w:rPr>
                <w:rFonts w:ascii="Arial" w:hAnsi="Arial" w:cs="Arial"/>
                <w:sz w:val="20"/>
                <w:szCs w:val="20"/>
                <w:lang w:val="en-GB"/>
              </w:rPr>
              <w:t>26,441</w:t>
            </w:r>
          </w:p>
        </w:tc>
        <w:tc>
          <w:tcPr>
            <w:tcW w:w="3961" w:type="pct"/>
            <w:tcBorders>
              <w:top w:val="single" w:color="auto" w:sz="4" w:space="0"/>
              <w:bottom w:val="single" w:color="auto" w:sz="4" w:space="0"/>
            </w:tcBorders>
            <w:vAlign w:val="center"/>
          </w:tcPr>
          <w:p w:rsidRPr="002F020B" w:rsidR="0022431B" w:rsidP="0022431B" w:rsidRDefault="00B42EA9" w14:paraId="5CF3D72D" w14:textId="4D4290EA">
            <w:pPr>
              <w:spacing w:before="0" w:line="240" w:lineRule="auto"/>
              <w:rPr>
                <w:rFonts w:ascii="Arial" w:hAnsi="Arial" w:cs="Arial"/>
                <w:sz w:val="20"/>
                <w:szCs w:val="20"/>
                <w:lang w:val="en-GB"/>
              </w:rPr>
            </w:pPr>
            <w:r>
              <w:rPr>
                <w:rFonts w:ascii="Arial" w:hAnsi="Arial" w:cs="Arial"/>
                <w:sz w:val="20"/>
                <w:szCs w:val="20"/>
                <w:lang w:val="en-GB"/>
              </w:rPr>
              <w:t>2014 Buprenorphine summit</w:t>
            </w:r>
            <w:r w:rsidR="00DD1EAA">
              <w:rPr>
                <w:rFonts w:ascii="Arial" w:hAnsi="Arial" w:cs="Arial"/>
                <w:sz w:val="20"/>
                <w:szCs w:val="20"/>
                <w:lang w:val="en-GB"/>
              </w:rPr>
              <w:t xml:space="preserve"> report of proceedings</w:t>
            </w:r>
            <w:r w:rsidR="00117167">
              <w:rPr>
                <w:rFonts w:ascii="Arial" w:hAnsi="Arial" w:cs="Arial"/>
                <w:sz w:val="20"/>
                <w:szCs w:val="20"/>
                <w:lang w:val="en-GB"/>
              </w:rPr>
              <w:t xml:space="preserve"> states 25,738, which is partial-year data</w:t>
            </w:r>
            <w:r w:rsidRPr="63967432" w:rsidR="73072393">
              <w:rPr>
                <w:rFonts w:ascii="Arial" w:hAnsi="Arial" w:cs="Arial"/>
                <w:sz w:val="20"/>
                <w:szCs w:val="20"/>
                <w:lang w:val="en-GB"/>
              </w:rPr>
              <w:t xml:space="preserve"> </w:t>
            </w:r>
            <w:r w:rsidRPr="63967432" w:rsidR="173E9093">
              <w:rPr>
                <w:rFonts w:ascii="Arial" w:hAnsi="Arial" w:cs="Arial"/>
                <w:sz w:val="20"/>
                <w:szCs w:val="20"/>
                <w:lang w:val="en-GB"/>
              </w:rPr>
              <w:t xml:space="preserve">as of </w:t>
            </w:r>
            <w:r w:rsidRPr="63967432" w:rsidR="73072393">
              <w:rPr>
                <w:rFonts w:ascii="Arial" w:hAnsi="Arial" w:cs="Arial"/>
                <w:sz w:val="20"/>
                <w:szCs w:val="20"/>
                <w:lang w:val="en-GB"/>
              </w:rPr>
              <w:t>September 2014</w:t>
            </w:r>
            <w:r w:rsidR="00117167">
              <w:rPr>
                <w:rFonts w:ascii="Arial" w:hAnsi="Arial" w:cs="Arial"/>
                <w:sz w:val="20"/>
                <w:szCs w:val="20"/>
                <w:lang w:val="en-GB"/>
              </w:rPr>
              <w:t>.</w:t>
            </w:r>
            <w:r w:rsidR="00EC5AAC">
              <w:rPr>
                <w:rFonts w:ascii="Arial" w:hAnsi="Arial" w:cs="Arial"/>
                <w:sz w:val="20"/>
                <w:szCs w:val="20"/>
                <w:lang w:val="en-GB"/>
              </w:rPr>
              <w:fldChar w:fldCharType="begin" w:fldLock="1"/>
            </w:r>
            <w:r w:rsidR="0067697A">
              <w:rPr>
                <w:rFonts w:ascii="Arial" w:hAnsi="Arial" w:cs="Arial"/>
                <w:sz w:val="20"/>
                <w:szCs w:val="20"/>
                <w:lang w:val="en-GB"/>
              </w:rPr>
              <w:instrText>ADDIN CSL_CITATION {"citationItems":[{"id":"ITEM-1","itemData":{"author":[{"dropping-particle":"","family":"Substance Abuse and Mental Health Services Administration","given":"","non-dropping-particle":"","parse-names":false,"suffix":""}],"id":"ITEM-1","issued":{"date-parts":[["2014"]]},"title":"2014 Buprenorphine Summit: Report of Proceedings","type":"paper-conference"},"uris":["http://www.mendeley.com/documents/?uuid=23e1c86b-4562-4dbe-b019-5606cb1afdf5"]}],"mendeley":{"formattedCitation":"&lt;sup&gt;7&lt;/sup&gt;","plainTextFormattedCitation":"7","previouslyFormattedCitation":"&lt;sup&gt;7&lt;/sup&gt;"},"properties":{"noteIndex":0},"schema":"https://github.com/citation-style-language/schema/raw/master/csl-citation.json"}</w:instrText>
            </w:r>
            <w:r w:rsidR="00EC5AAC">
              <w:rPr>
                <w:rFonts w:ascii="Arial" w:hAnsi="Arial" w:cs="Arial"/>
                <w:sz w:val="20"/>
                <w:szCs w:val="20"/>
                <w:lang w:val="en-GB"/>
              </w:rPr>
              <w:fldChar w:fldCharType="separate"/>
            </w:r>
            <w:r w:rsidRPr="00EC5AAC" w:rsidR="00EC5AAC">
              <w:rPr>
                <w:rFonts w:ascii="Arial" w:hAnsi="Arial" w:cs="Arial"/>
                <w:noProof/>
                <w:sz w:val="20"/>
                <w:szCs w:val="20"/>
                <w:vertAlign w:val="superscript"/>
                <w:lang w:val="en-GB"/>
              </w:rPr>
              <w:t>7</w:t>
            </w:r>
            <w:r w:rsidR="00EC5AAC">
              <w:rPr>
                <w:rFonts w:ascii="Arial" w:hAnsi="Arial" w:cs="Arial"/>
                <w:sz w:val="20"/>
                <w:szCs w:val="20"/>
                <w:lang w:val="en-GB"/>
              </w:rPr>
              <w:fldChar w:fldCharType="end"/>
            </w:r>
            <w:r w:rsidR="00117167">
              <w:rPr>
                <w:rFonts w:ascii="Arial" w:hAnsi="Arial" w:cs="Arial"/>
                <w:sz w:val="20"/>
                <w:szCs w:val="20"/>
                <w:lang w:val="en-GB"/>
              </w:rPr>
              <w:t xml:space="preserve"> </w:t>
            </w:r>
            <w:r w:rsidRPr="00117167" w:rsidR="00117167">
              <w:rPr>
                <w:rFonts w:ascii="Arial" w:hAnsi="Arial" w:cs="Arial"/>
                <w:sz w:val="20"/>
                <w:szCs w:val="20"/>
                <w:lang w:val="en-GB"/>
              </w:rPr>
              <w:t>T</w:t>
            </w:r>
            <w:r w:rsidR="00C545C4">
              <w:rPr>
                <w:rFonts w:ascii="Arial" w:hAnsi="Arial" w:cs="Arial"/>
                <w:sz w:val="20"/>
                <w:szCs w:val="20"/>
                <w:lang w:val="en-GB"/>
              </w:rPr>
              <w:t>he t</w:t>
            </w:r>
            <w:r w:rsidRPr="00117167" w:rsidR="00117167">
              <w:rPr>
                <w:rFonts w:ascii="Arial" w:hAnsi="Arial" w:cs="Arial"/>
                <w:sz w:val="20"/>
                <w:szCs w:val="20"/>
                <w:lang w:val="en-GB"/>
              </w:rPr>
              <w:t>wo nearest time points</w:t>
            </w:r>
            <w:r w:rsidRPr="63967432" w:rsidR="5B3791D1">
              <w:rPr>
                <w:rFonts w:ascii="Arial" w:hAnsi="Arial" w:cs="Arial"/>
                <w:sz w:val="20"/>
                <w:szCs w:val="20"/>
                <w:lang w:val="en-GB"/>
              </w:rPr>
              <w:t xml:space="preserve">, </w:t>
            </w:r>
            <w:r w:rsidRPr="63967432" w:rsidR="384D2B31">
              <w:rPr>
                <w:rFonts w:ascii="Arial" w:hAnsi="Arial" w:cs="Arial"/>
                <w:sz w:val="20"/>
                <w:szCs w:val="20"/>
                <w:lang w:val="en-GB"/>
              </w:rPr>
              <w:t>end of 2013 and September 2014,</w:t>
            </w:r>
            <w:r w:rsidRPr="00117167" w:rsidR="00117167">
              <w:rPr>
                <w:rFonts w:ascii="Arial" w:hAnsi="Arial" w:cs="Arial"/>
                <w:sz w:val="20"/>
                <w:szCs w:val="20"/>
                <w:lang w:val="en-GB"/>
              </w:rPr>
              <w:t xml:space="preserve"> are selected to calculate the constant growth rate </w:t>
            </w:r>
            <w:r w:rsidRPr="63967432" w:rsidR="23534E97">
              <w:rPr>
                <w:rFonts w:ascii="Arial" w:hAnsi="Arial" w:cs="Arial"/>
                <w:sz w:val="20"/>
                <w:szCs w:val="20"/>
                <w:lang w:val="en-GB"/>
              </w:rPr>
              <w:t xml:space="preserve">for providers in total and at different limits </w:t>
            </w:r>
            <w:r w:rsidRPr="00117167" w:rsidR="00117167">
              <w:rPr>
                <w:rFonts w:ascii="Arial" w:hAnsi="Arial" w:cs="Arial"/>
                <w:sz w:val="20"/>
                <w:szCs w:val="20"/>
                <w:lang w:val="en-GB"/>
              </w:rPr>
              <w:t>per month</w:t>
            </w:r>
            <w:r w:rsidRPr="63967432" w:rsidR="6D24BF51">
              <w:rPr>
                <w:rFonts w:ascii="Arial" w:hAnsi="Arial" w:cs="Arial"/>
                <w:sz w:val="20"/>
                <w:szCs w:val="20"/>
                <w:lang w:val="en-GB"/>
              </w:rPr>
              <w:t xml:space="preserve"> in 2014</w:t>
            </w:r>
            <w:r w:rsidRPr="00117167" w:rsidR="00117167">
              <w:rPr>
                <w:rFonts w:ascii="Arial" w:hAnsi="Arial" w:cs="Arial"/>
                <w:sz w:val="20"/>
                <w:szCs w:val="20"/>
                <w:lang w:val="en-GB"/>
              </w:rPr>
              <w:t xml:space="preserve">, by using the difference between two time points divided by the </w:t>
            </w:r>
            <w:r w:rsidRPr="63967432" w:rsidR="1E06342E">
              <w:rPr>
                <w:rFonts w:ascii="Arial" w:hAnsi="Arial" w:cs="Arial"/>
                <w:sz w:val="20"/>
                <w:szCs w:val="20"/>
                <w:lang w:val="en-GB"/>
              </w:rPr>
              <w:t>9 months</w:t>
            </w:r>
            <w:r w:rsidRPr="00117167" w:rsidR="00117167">
              <w:rPr>
                <w:rFonts w:ascii="Arial" w:hAnsi="Arial" w:cs="Arial"/>
                <w:sz w:val="20"/>
                <w:szCs w:val="20"/>
                <w:lang w:val="en-GB"/>
              </w:rPr>
              <w:t xml:space="preserve"> in between. Then, assume the growth rate till the end of </w:t>
            </w:r>
            <w:r w:rsidRPr="63967432" w:rsidR="2BC9A483">
              <w:rPr>
                <w:rFonts w:ascii="Arial" w:hAnsi="Arial" w:cs="Arial"/>
                <w:sz w:val="20"/>
                <w:szCs w:val="20"/>
                <w:lang w:val="en-GB"/>
              </w:rPr>
              <w:t>2014</w:t>
            </w:r>
            <w:r w:rsidRPr="00117167" w:rsidR="00117167">
              <w:rPr>
                <w:rFonts w:ascii="Arial" w:hAnsi="Arial" w:cs="Arial"/>
                <w:sz w:val="20"/>
                <w:szCs w:val="20"/>
                <w:lang w:val="en-GB"/>
              </w:rPr>
              <w:t xml:space="preserve"> is constant to estimate the complete number by </w:t>
            </w:r>
            <w:r w:rsidRPr="63967432" w:rsidR="3E79358D">
              <w:rPr>
                <w:rFonts w:ascii="Arial" w:hAnsi="Arial" w:cs="Arial"/>
                <w:sz w:val="20"/>
                <w:szCs w:val="20"/>
                <w:lang w:val="en-GB"/>
              </w:rPr>
              <w:t>multiplying the constant growth rate by 12</w:t>
            </w:r>
            <w:r w:rsidRPr="63967432" w:rsidR="5609F6F3">
              <w:rPr>
                <w:rFonts w:ascii="Arial" w:hAnsi="Arial" w:cs="Arial"/>
                <w:sz w:val="20"/>
                <w:szCs w:val="20"/>
                <w:lang w:val="en-GB"/>
              </w:rPr>
              <w:t xml:space="preserve"> months</w:t>
            </w:r>
            <w:r w:rsidRPr="63967432" w:rsidR="20FF5D40">
              <w:rPr>
                <w:rFonts w:ascii="Arial" w:hAnsi="Arial" w:cs="Arial"/>
                <w:sz w:val="20"/>
                <w:szCs w:val="20"/>
                <w:lang w:val="en-GB"/>
              </w:rPr>
              <w:t xml:space="preserve"> and adding to the number by the end of 2013</w:t>
            </w:r>
            <w:r w:rsidRPr="00117167" w:rsidR="00117167">
              <w:rPr>
                <w:rFonts w:ascii="Arial" w:hAnsi="Arial" w:cs="Arial"/>
                <w:sz w:val="20"/>
                <w:szCs w:val="20"/>
                <w:lang w:val="en-GB"/>
              </w:rPr>
              <w:t>.</w:t>
            </w:r>
          </w:p>
        </w:tc>
      </w:tr>
      <w:tr w:rsidRPr="002F020B" w:rsidR="0022431B" w:rsidTr="00BD6273" w14:paraId="754DA488" w14:textId="77777777">
        <w:trPr>
          <w:trHeight w:val="17"/>
        </w:trPr>
        <w:tc>
          <w:tcPr>
            <w:tcW w:w="489" w:type="pct"/>
            <w:tcBorders>
              <w:top w:val="single" w:color="auto" w:sz="4" w:space="0"/>
              <w:bottom w:val="single" w:color="auto" w:sz="4" w:space="0"/>
            </w:tcBorders>
            <w:vAlign w:val="center"/>
          </w:tcPr>
          <w:p w:rsidRPr="002F020B" w:rsidR="0022431B" w:rsidP="0022431B" w:rsidRDefault="0022431B" w14:paraId="7E3674B4" w14:textId="0DB87842">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2015</w:t>
            </w:r>
          </w:p>
        </w:tc>
        <w:tc>
          <w:tcPr>
            <w:tcW w:w="550" w:type="pct"/>
            <w:tcBorders>
              <w:top w:val="single" w:color="auto" w:sz="4" w:space="0"/>
              <w:bottom w:val="single" w:color="auto" w:sz="4" w:space="0"/>
            </w:tcBorders>
            <w:vAlign w:val="center"/>
          </w:tcPr>
          <w:p w:rsidRPr="002F020B" w:rsidR="0022431B" w:rsidP="0022431B" w:rsidRDefault="0022431B" w14:paraId="56D650D4" w14:textId="55838EC7">
            <w:pPr>
              <w:spacing w:before="0" w:line="240" w:lineRule="auto"/>
              <w:rPr>
                <w:rFonts w:ascii="Arial" w:hAnsi="Arial" w:cs="Arial"/>
                <w:sz w:val="20"/>
                <w:szCs w:val="20"/>
                <w:lang w:val="en-GB"/>
              </w:rPr>
            </w:pPr>
            <w:r>
              <w:rPr>
                <w:rFonts w:ascii="Arial" w:hAnsi="Arial" w:cs="Arial"/>
                <w:sz w:val="20"/>
                <w:szCs w:val="20"/>
                <w:lang w:val="en-GB"/>
              </w:rPr>
              <w:t>30,987</w:t>
            </w:r>
          </w:p>
        </w:tc>
        <w:tc>
          <w:tcPr>
            <w:tcW w:w="3961" w:type="pct"/>
            <w:tcBorders>
              <w:top w:val="single" w:color="auto" w:sz="4" w:space="0"/>
              <w:bottom w:val="single" w:color="auto" w:sz="4" w:space="0"/>
            </w:tcBorders>
            <w:vAlign w:val="center"/>
          </w:tcPr>
          <w:p w:rsidRPr="002F020B" w:rsidR="0022431B" w:rsidP="0022431B" w:rsidRDefault="002A41DF" w14:paraId="422089A7" w14:textId="2438F128">
            <w:pPr>
              <w:spacing w:before="0" w:line="240" w:lineRule="auto"/>
              <w:rPr>
                <w:rFonts w:ascii="Arial" w:hAnsi="Arial" w:cs="Arial"/>
                <w:sz w:val="20"/>
                <w:szCs w:val="20"/>
                <w:lang w:val="en-GB"/>
              </w:rPr>
            </w:pPr>
            <w:r>
              <w:rPr>
                <w:rFonts w:ascii="Arial" w:hAnsi="Arial" w:cs="Arial"/>
                <w:sz w:val="20"/>
                <w:szCs w:val="20"/>
                <w:lang w:val="en-GB"/>
              </w:rPr>
              <w:t xml:space="preserve">The Department of Health and Human Services </w:t>
            </w:r>
            <w:r w:rsidR="00767E7A">
              <w:rPr>
                <w:rFonts w:ascii="Arial" w:hAnsi="Arial" w:cs="Arial"/>
                <w:sz w:val="20"/>
                <w:szCs w:val="20"/>
                <w:lang w:val="en-GB"/>
              </w:rPr>
              <w:t xml:space="preserve">reported </w:t>
            </w:r>
            <w:r w:rsidR="00361373">
              <w:rPr>
                <w:rFonts w:ascii="Arial" w:hAnsi="Arial" w:cs="Arial"/>
                <w:sz w:val="20"/>
                <w:szCs w:val="20"/>
                <w:lang w:val="en-GB"/>
              </w:rPr>
              <w:t>32,213 practitioners</w:t>
            </w:r>
            <w:r w:rsidR="00767E7A">
              <w:rPr>
                <w:rFonts w:ascii="Arial" w:hAnsi="Arial" w:cs="Arial"/>
                <w:sz w:val="20"/>
                <w:szCs w:val="20"/>
                <w:lang w:val="en-GB"/>
              </w:rPr>
              <w:t xml:space="preserve"> as of </w:t>
            </w:r>
            <w:r w:rsidR="00361373">
              <w:rPr>
                <w:rFonts w:ascii="Arial" w:hAnsi="Arial" w:cs="Arial"/>
                <w:sz w:val="20"/>
                <w:szCs w:val="20"/>
                <w:lang w:val="en-GB"/>
              </w:rPr>
              <w:t>M</w:t>
            </w:r>
            <w:r w:rsidR="00767E7A">
              <w:rPr>
                <w:rFonts w:ascii="Arial" w:hAnsi="Arial" w:cs="Arial"/>
                <w:sz w:val="20"/>
                <w:szCs w:val="20"/>
                <w:lang w:val="en-GB"/>
              </w:rPr>
              <w:t>arch 2016.</w:t>
            </w:r>
            <w:r w:rsidR="0067697A">
              <w:rPr>
                <w:rFonts w:ascii="Arial" w:hAnsi="Arial" w:cs="Arial"/>
                <w:sz w:val="20"/>
                <w:szCs w:val="20"/>
                <w:lang w:val="en-GB"/>
              </w:rPr>
              <w:fldChar w:fldCharType="begin" w:fldLock="1"/>
            </w:r>
            <w:r w:rsidR="0017449F">
              <w:rPr>
                <w:rFonts w:ascii="Arial" w:hAnsi="Arial" w:cs="Arial"/>
                <w:sz w:val="20"/>
                <w:szCs w:val="20"/>
                <w:lang w:val="en-GB"/>
              </w:rPr>
              <w:instrText>ADDIN CSL_CITATION {"citationItems":[{"id":"ITEM-1","itemData":{"author":[{"dropping-particle":"","family":"Health and Human Services Department","given":"","non-dropping-particle":"","parse-names":false,"suffix":""}],"id":"ITEM-1","issued":{"date-parts":[["2016"]]},"title":"Medication Assisted Treatment for Opioid Use Disorders","type":"article"},"uris":["http://www.mendeley.com/documents/?uuid=e6a5d88a-ba9d-3bd3-bd23-4db9e82d24cf"]}],"mendeley":{"formattedCitation":"&lt;sup&gt;8&lt;/sup&gt;","plainTextFormattedCitation":"8","previouslyFormattedCitation":"&lt;sup&gt;8&lt;/sup&gt;"},"properties":{"noteIndex":0},"schema":"https://github.com/citation-style-language/schema/raw/master/csl-citation.json"}</w:instrText>
            </w:r>
            <w:r w:rsidR="0067697A">
              <w:rPr>
                <w:rFonts w:ascii="Arial" w:hAnsi="Arial" w:cs="Arial"/>
                <w:sz w:val="20"/>
                <w:szCs w:val="20"/>
                <w:lang w:val="en-GB"/>
              </w:rPr>
              <w:fldChar w:fldCharType="separate"/>
            </w:r>
            <w:r w:rsidRPr="0067697A" w:rsidR="0067697A">
              <w:rPr>
                <w:rFonts w:ascii="Arial" w:hAnsi="Arial" w:cs="Arial"/>
                <w:noProof/>
                <w:sz w:val="20"/>
                <w:szCs w:val="20"/>
                <w:vertAlign w:val="superscript"/>
                <w:lang w:val="en-GB"/>
              </w:rPr>
              <w:t>8</w:t>
            </w:r>
            <w:r w:rsidR="0067697A">
              <w:rPr>
                <w:rFonts w:ascii="Arial" w:hAnsi="Arial" w:cs="Arial"/>
                <w:sz w:val="20"/>
                <w:szCs w:val="20"/>
                <w:lang w:val="en-GB"/>
              </w:rPr>
              <w:fldChar w:fldCharType="end"/>
            </w:r>
            <w:r w:rsidR="00767E7A">
              <w:rPr>
                <w:rFonts w:ascii="Arial" w:hAnsi="Arial" w:cs="Arial"/>
                <w:sz w:val="20"/>
                <w:szCs w:val="20"/>
                <w:lang w:val="en-GB"/>
              </w:rPr>
              <w:t xml:space="preserve"> </w:t>
            </w:r>
            <w:r w:rsidRPr="00767E7A" w:rsidR="00767E7A">
              <w:rPr>
                <w:rFonts w:ascii="Arial" w:hAnsi="Arial" w:cs="Arial"/>
                <w:sz w:val="20"/>
                <w:szCs w:val="20"/>
                <w:lang w:val="en-GB"/>
              </w:rPr>
              <w:t xml:space="preserve">The overall 2015 number is predicted by using </w:t>
            </w:r>
            <w:r w:rsidR="00767E7A">
              <w:rPr>
                <w:rFonts w:ascii="Arial" w:hAnsi="Arial" w:cs="Arial"/>
                <w:sz w:val="20"/>
                <w:szCs w:val="20"/>
                <w:lang w:val="en-GB"/>
              </w:rPr>
              <w:t>numbers</w:t>
            </w:r>
            <w:r w:rsidRPr="00767E7A" w:rsidR="00767E7A">
              <w:rPr>
                <w:rFonts w:ascii="Arial" w:hAnsi="Arial" w:cs="Arial"/>
                <w:sz w:val="20"/>
                <w:szCs w:val="20"/>
                <w:lang w:val="en-GB"/>
              </w:rPr>
              <w:t xml:space="preserve"> by the end of 2014 and March 2016. </w:t>
            </w:r>
            <w:r w:rsidR="004A7323">
              <w:rPr>
                <w:rFonts w:ascii="Arial" w:hAnsi="Arial" w:cs="Arial"/>
                <w:sz w:val="20"/>
                <w:szCs w:val="20"/>
                <w:lang w:val="en-GB"/>
              </w:rPr>
              <w:t>A constant</w:t>
            </w:r>
            <w:r w:rsidRPr="00767E7A" w:rsidR="00767E7A">
              <w:rPr>
                <w:rFonts w:ascii="Arial" w:hAnsi="Arial" w:cs="Arial"/>
                <w:sz w:val="20"/>
                <w:szCs w:val="20"/>
                <w:lang w:val="en-GB"/>
              </w:rPr>
              <w:t xml:space="preserve"> growth rate is calculated to </w:t>
            </w:r>
            <w:r w:rsidR="004A7323">
              <w:rPr>
                <w:rFonts w:ascii="Arial" w:hAnsi="Arial" w:cs="Arial"/>
                <w:sz w:val="20"/>
                <w:szCs w:val="20"/>
                <w:lang w:val="en-GB"/>
              </w:rPr>
              <w:t>predict</w:t>
            </w:r>
            <w:r w:rsidRPr="00ED3242" w:rsidR="00767E7A">
              <w:rPr>
                <w:rFonts w:ascii="Arial" w:hAnsi="Arial" w:cs="Arial"/>
                <w:sz w:val="20"/>
                <w:szCs w:val="20"/>
                <w:lang w:val="en-GB"/>
              </w:rPr>
              <w:t>.</w:t>
            </w:r>
            <w:r w:rsidRPr="00ED3242" w:rsidR="00ED3242">
              <w:rPr>
                <w:rFonts w:ascii="Arial" w:hAnsi="Arial" w:cs="Arial"/>
                <w:sz w:val="20"/>
                <w:szCs w:val="20"/>
              </w:rPr>
              <w:t xml:space="preserve"> For providers at different limits, </w:t>
            </w:r>
            <w:r w:rsidRPr="63967432" w:rsidR="28C94332">
              <w:rPr>
                <w:rFonts w:ascii="Arial" w:hAnsi="Arial" w:cs="Arial"/>
                <w:sz w:val="20"/>
                <w:szCs w:val="20"/>
                <w:lang w:val="en-GB"/>
              </w:rPr>
              <w:t>the average</w:t>
            </w:r>
            <w:r w:rsidRPr="63967432" w:rsidR="1CD309F2">
              <w:rPr>
                <w:rFonts w:ascii="Arial" w:hAnsi="Arial" w:cs="Arial"/>
                <w:sz w:val="20"/>
                <w:szCs w:val="20"/>
                <w:lang w:val="en-GB"/>
              </w:rPr>
              <w:t xml:space="preserve"> fraction</w:t>
            </w:r>
            <w:r w:rsidRPr="63967432" w:rsidR="59D0EED1">
              <w:rPr>
                <w:rFonts w:ascii="Arial" w:hAnsi="Arial" w:cs="Arial"/>
                <w:sz w:val="20"/>
                <w:szCs w:val="20"/>
                <w:lang w:val="en-GB"/>
              </w:rPr>
              <w:t>s</w:t>
            </w:r>
            <w:r w:rsidRPr="00ED3242" w:rsidR="00ED3242">
              <w:rPr>
                <w:rFonts w:ascii="Arial" w:hAnsi="Arial" w:cs="Arial"/>
                <w:sz w:val="20"/>
                <w:szCs w:val="20"/>
                <w:lang w:val="en-GB"/>
              </w:rPr>
              <w:t xml:space="preserve"> </w:t>
            </w:r>
            <w:r w:rsidRPr="63967432" w:rsidR="027CEC85">
              <w:rPr>
                <w:rFonts w:ascii="Arial" w:hAnsi="Arial" w:cs="Arial"/>
                <w:sz w:val="20"/>
                <w:szCs w:val="20"/>
                <w:lang w:val="en-GB"/>
              </w:rPr>
              <w:t>of</w:t>
            </w:r>
            <w:r w:rsidRPr="00ED3242" w:rsidR="00ED3242">
              <w:rPr>
                <w:rFonts w:ascii="Arial" w:hAnsi="Arial" w:cs="Arial"/>
                <w:sz w:val="20"/>
                <w:szCs w:val="20"/>
                <w:lang w:val="en-GB"/>
              </w:rPr>
              <w:t xml:space="preserve"> 2013 and 2014 </w:t>
            </w:r>
            <w:r w:rsidRPr="63967432" w:rsidR="6A6462BB">
              <w:rPr>
                <w:rFonts w:ascii="Arial" w:hAnsi="Arial" w:cs="Arial"/>
                <w:sz w:val="20"/>
                <w:szCs w:val="20"/>
                <w:lang w:val="en-GB"/>
              </w:rPr>
              <w:t xml:space="preserve">are calculated </w:t>
            </w:r>
            <w:r w:rsidRPr="63967432" w:rsidR="3A2551D3">
              <w:rPr>
                <w:rFonts w:ascii="Arial" w:hAnsi="Arial" w:cs="Arial"/>
                <w:sz w:val="20"/>
                <w:szCs w:val="20"/>
                <w:lang w:val="en-GB"/>
              </w:rPr>
              <w:t xml:space="preserve">as the fraction of 2015 </w:t>
            </w:r>
            <w:r w:rsidRPr="00ED3242" w:rsidR="00ED3242">
              <w:rPr>
                <w:rFonts w:ascii="Arial" w:hAnsi="Arial" w:cs="Arial"/>
                <w:sz w:val="20"/>
                <w:szCs w:val="20"/>
                <w:lang w:val="en-GB"/>
              </w:rPr>
              <w:t>to predict as 2013-2015 only have providers waivered at 30 and 100 limits.</w:t>
            </w:r>
          </w:p>
        </w:tc>
      </w:tr>
      <w:tr w:rsidRPr="002F020B" w:rsidR="0022431B" w:rsidTr="00BD6273" w14:paraId="7AFC59F9" w14:textId="77777777">
        <w:trPr>
          <w:trHeight w:val="17"/>
        </w:trPr>
        <w:tc>
          <w:tcPr>
            <w:tcW w:w="489" w:type="pct"/>
            <w:tcBorders>
              <w:top w:val="single" w:color="auto" w:sz="4" w:space="0"/>
              <w:bottom w:val="single" w:color="auto" w:sz="4" w:space="0"/>
            </w:tcBorders>
            <w:vAlign w:val="center"/>
          </w:tcPr>
          <w:p w:rsidRPr="002F020B" w:rsidR="0022431B" w:rsidP="0022431B" w:rsidRDefault="0022431B" w14:paraId="5BAB35EC" w14:textId="18A65E82">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2016</w:t>
            </w:r>
          </w:p>
        </w:tc>
        <w:tc>
          <w:tcPr>
            <w:tcW w:w="550" w:type="pct"/>
            <w:tcBorders>
              <w:top w:val="single" w:color="auto" w:sz="4" w:space="0"/>
              <w:bottom w:val="single" w:color="auto" w:sz="4" w:space="0"/>
            </w:tcBorders>
            <w:vAlign w:val="center"/>
          </w:tcPr>
          <w:p w:rsidRPr="002F020B" w:rsidR="0022431B" w:rsidP="0022431B" w:rsidRDefault="0022431B" w14:paraId="1A7266E9" w14:textId="56E5AEAD">
            <w:pPr>
              <w:spacing w:before="0" w:line="240" w:lineRule="auto"/>
              <w:rPr>
                <w:rFonts w:ascii="Arial" w:hAnsi="Arial" w:cs="Arial"/>
                <w:sz w:val="20"/>
                <w:szCs w:val="20"/>
                <w:lang w:val="en-GB"/>
              </w:rPr>
            </w:pPr>
            <w:r>
              <w:rPr>
                <w:rFonts w:ascii="Arial" w:hAnsi="Arial" w:cs="Arial"/>
                <w:sz w:val="20"/>
                <w:szCs w:val="20"/>
                <w:lang w:val="en-GB"/>
              </w:rPr>
              <w:t>35,531</w:t>
            </w:r>
          </w:p>
        </w:tc>
        <w:tc>
          <w:tcPr>
            <w:tcW w:w="3961" w:type="pct"/>
            <w:tcBorders>
              <w:top w:val="single" w:color="auto" w:sz="4" w:space="0"/>
              <w:bottom w:val="single" w:color="auto" w:sz="4" w:space="0"/>
            </w:tcBorders>
            <w:vAlign w:val="center"/>
          </w:tcPr>
          <w:p w:rsidRPr="002F020B" w:rsidR="0022431B" w:rsidP="0022431B" w:rsidRDefault="003C220E" w14:paraId="11FEE74E" w14:textId="30B038F5">
            <w:pPr>
              <w:spacing w:before="0" w:line="240" w:lineRule="auto"/>
              <w:rPr>
                <w:rFonts w:ascii="Arial" w:hAnsi="Arial" w:cs="Arial"/>
                <w:sz w:val="20"/>
                <w:szCs w:val="20"/>
                <w:lang w:val="en-GB"/>
              </w:rPr>
            </w:pPr>
            <w:r>
              <w:rPr>
                <w:rFonts w:ascii="Arial" w:hAnsi="Arial" w:cs="Arial"/>
                <w:sz w:val="20"/>
                <w:szCs w:val="20"/>
                <w:lang w:val="en-GB"/>
              </w:rPr>
              <w:t>The Department of Health and Human Services reported 32,213 practitioners as of March 2016.</w:t>
            </w:r>
            <w:r>
              <w:rPr>
                <w:rFonts w:ascii="Arial" w:hAnsi="Arial" w:cs="Arial"/>
                <w:sz w:val="20"/>
                <w:szCs w:val="20"/>
                <w:lang w:val="en-GB"/>
              </w:rPr>
              <w:fldChar w:fldCharType="begin" w:fldLock="1"/>
            </w:r>
            <w:r w:rsidR="0017449F">
              <w:rPr>
                <w:rFonts w:ascii="Arial" w:hAnsi="Arial" w:cs="Arial"/>
                <w:sz w:val="20"/>
                <w:szCs w:val="20"/>
                <w:lang w:val="en-GB"/>
              </w:rPr>
              <w:instrText>ADDIN CSL_CITATION {"citationItems":[{"id":"ITEM-1","itemData":{"author":[{"dropping-particle":"","family":"Health and Human Services Department","given":"","non-dropping-particle":"","parse-names":false,"suffix":""}],"id":"ITEM-1","issued":{"date-parts":[["2016"]]},"title":"Medication Assisted Treatment for Opioid Use Disorders","type":"article"},"uris":["http://www.mendeley.com/documents/?uuid=e6a5d88a-ba9d-3bd3-bd23-4db9e82d24cf"]}],"mendeley":{"formattedCitation":"&lt;sup&gt;8&lt;/sup&gt;","plainTextFormattedCitation":"8","previouslyFormattedCitation":"&lt;sup&gt;8&lt;/sup&gt;"},"properties":{"noteIndex":0},"schema":"https://github.com/citation-style-language/schema/raw/master/csl-citation.json"}</w:instrText>
            </w:r>
            <w:r>
              <w:rPr>
                <w:rFonts w:ascii="Arial" w:hAnsi="Arial" w:cs="Arial"/>
                <w:sz w:val="20"/>
                <w:szCs w:val="20"/>
                <w:lang w:val="en-GB"/>
              </w:rPr>
              <w:fldChar w:fldCharType="separate"/>
            </w:r>
            <w:r w:rsidRPr="0067697A">
              <w:rPr>
                <w:rFonts w:ascii="Arial" w:hAnsi="Arial" w:cs="Arial"/>
                <w:noProof/>
                <w:sz w:val="20"/>
                <w:szCs w:val="20"/>
                <w:vertAlign w:val="superscript"/>
                <w:lang w:val="en-GB"/>
              </w:rPr>
              <w:t>8</w:t>
            </w:r>
            <w:r>
              <w:rPr>
                <w:rFonts w:ascii="Arial" w:hAnsi="Arial" w:cs="Arial"/>
                <w:sz w:val="20"/>
                <w:szCs w:val="20"/>
                <w:lang w:val="en-GB"/>
              </w:rPr>
              <w:fldChar w:fldCharType="end"/>
            </w:r>
            <w:r>
              <w:rPr>
                <w:rFonts w:ascii="Arial" w:hAnsi="Arial" w:cs="Arial"/>
                <w:sz w:val="20"/>
                <w:szCs w:val="20"/>
                <w:lang w:val="en-GB"/>
              </w:rPr>
              <w:t xml:space="preserve"> </w:t>
            </w:r>
            <w:r w:rsidRPr="00117167" w:rsidR="001E5C2F">
              <w:rPr>
                <w:rFonts w:ascii="Arial" w:hAnsi="Arial" w:cs="Arial"/>
                <w:sz w:val="20"/>
                <w:szCs w:val="20"/>
                <w:lang w:val="en-GB"/>
              </w:rPr>
              <w:t xml:space="preserve">Partial numbers </w:t>
            </w:r>
            <w:r w:rsidR="001E5C2F">
              <w:rPr>
                <w:rFonts w:ascii="Arial" w:hAnsi="Arial" w:cs="Arial"/>
                <w:sz w:val="20"/>
                <w:szCs w:val="20"/>
                <w:lang w:val="en-GB"/>
              </w:rPr>
              <w:t>were</w:t>
            </w:r>
            <w:r w:rsidRPr="00117167" w:rsidR="001E5C2F">
              <w:rPr>
                <w:rFonts w:ascii="Arial" w:hAnsi="Arial" w:cs="Arial"/>
                <w:sz w:val="20"/>
                <w:szCs w:val="20"/>
                <w:lang w:val="en-GB"/>
              </w:rPr>
              <w:t xml:space="preserve"> used to predict the complete data. </w:t>
            </w:r>
            <w:r w:rsidRPr="63967432" w:rsidR="3E83AE6C">
              <w:rPr>
                <w:rFonts w:ascii="Arial" w:hAnsi="Arial" w:cs="Arial"/>
                <w:sz w:val="20"/>
                <w:szCs w:val="20"/>
                <w:lang w:val="en-GB"/>
              </w:rPr>
              <w:t>The predicted number by the end of 2015 and March 2016</w:t>
            </w:r>
            <w:r w:rsidRPr="00117167" w:rsidR="001E5C2F">
              <w:rPr>
                <w:rFonts w:ascii="Arial" w:hAnsi="Arial" w:cs="Arial"/>
                <w:sz w:val="20"/>
                <w:szCs w:val="20"/>
                <w:lang w:val="en-GB"/>
              </w:rPr>
              <w:t xml:space="preserve"> are selected to calculate the constant growth rate per month, by using the difference between </w:t>
            </w:r>
            <w:r w:rsidR="00B14D42">
              <w:rPr>
                <w:rFonts w:ascii="Arial" w:hAnsi="Arial" w:cs="Arial"/>
                <w:sz w:val="20"/>
                <w:szCs w:val="20"/>
                <w:lang w:val="en-GB"/>
              </w:rPr>
              <w:t xml:space="preserve">these </w:t>
            </w:r>
            <w:r w:rsidRPr="00117167" w:rsidR="001E5C2F">
              <w:rPr>
                <w:rFonts w:ascii="Arial" w:hAnsi="Arial" w:cs="Arial"/>
                <w:sz w:val="20"/>
                <w:szCs w:val="20"/>
                <w:lang w:val="en-GB"/>
              </w:rPr>
              <w:t>two time points divided by the</w:t>
            </w:r>
            <w:r w:rsidR="00B14D42">
              <w:rPr>
                <w:rFonts w:ascii="Arial" w:hAnsi="Arial" w:cs="Arial"/>
                <w:sz w:val="20"/>
                <w:szCs w:val="20"/>
                <w:lang w:val="en-GB"/>
              </w:rPr>
              <w:t xml:space="preserve"> </w:t>
            </w:r>
            <w:r w:rsidRPr="63967432" w:rsidR="6F00143A">
              <w:rPr>
                <w:rFonts w:ascii="Arial" w:hAnsi="Arial" w:cs="Arial"/>
                <w:sz w:val="20"/>
                <w:szCs w:val="20"/>
                <w:lang w:val="en-GB"/>
              </w:rPr>
              <w:t>3</w:t>
            </w:r>
            <w:r w:rsidRPr="00117167" w:rsidR="001E5C2F">
              <w:rPr>
                <w:rFonts w:ascii="Arial" w:hAnsi="Arial" w:cs="Arial"/>
                <w:sz w:val="20"/>
                <w:szCs w:val="20"/>
                <w:lang w:val="en-GB"/>
              </w:rPr>
              <w:t xml:space="preserve"> months in between. Then, </w:t>
            </w:r>
            <w:r w:rsidR="00232AB4">
              <w:rPr>
                <w:rFonts w:ascii="Arial" w:hAnsi="Arial" w:cs="Arial"/>
                <w:sz w:val="20"/>
                <w:szCs w:val="20"/>
                <w:lang w:val="en-GB"/>
              </w:rPr>
              <w:t xml:space="preserve">we </w:t>
            </w:r>
            <w:r w:rsidRPr="00117167" w:rsidR="001E5C2F">
              <w:rPr>
                <w:rFonts w:ascii="Arial" w:hAnsi="Arial" w:cs="Arial"/>
                <w:sz w:val="20"/>
                <w:szCs w:val="20"/>
                <w:lang w:val="en-GB"/>
              </w:rPr>
              <w:t xml:space="preserve">assume the growth rate </w:t>
            </w:r>
            <w:r w:rsidR="00232AB4">
              <w:rPr>
                <w:rFonts w:ascii="Arial" w:hAnsi="Arial" w:cs="Arial"/>
                <w:sz w:val="20"/>
                <w:szCs w:val="20"/>
                <w:lang w:val="en-GB"/>
              </w:rPr>
              <w:t>until</w:t>
            </w:r>
            <w:r w:rsidRPr="00117167" w:rsidR="001E5C2F">
              <w:rPr>
                <w:rFonts w:ascii="Arial" w:hAnsi="Arial" w:cs="Arial"/>
                <w:sz w:val="20"/>
                <w:szCs w:val="20"/>
                <w:lang w:val="en-GB"/>
              </w:rPr>
              <w:t xml:space="preserve"> the end of the year is constant to estimate the complete number by the end of </w:t>
            </w:r>
            <w:r w:rsidRPr="63967432" w:rsidR="0EAC6DBC">
              <w:rPr>
                <w:rFonts w:ascii="Arial" w:hAnsi="Arial" w:cs="Arial"/>
                <w:sz w:val="20"/>
                <w:szCs w:val="20"/>
                <w:lang w:val="en-GB"/>
              </w:rPr>
              <w:t>2016</w:t>
            </w:r>
            <w:r w:rsidRPr="63967432" w:rsidR="7EDE49D8">
              <w:rPr>
                <w:rFonts w:ascii="Arial" w:hAnsi="Arial" w:cs="Arial"/>
                <w:sz w:val="20"/>
                <w:szCs w:val="20"/>
                <w:lang w:val="en-GB"/>
              </w:rPr>
              <w:t>.</w:t>
            </w:r>
            <w:r w:rsidR="001E5C2F">
              <w:rPr>
                <w:rFonts w:ascii="Arial" w:hAnsi="Arial" w:cs="Arial"/>
                <w:sz w:val="20"/>
                <w:szCs w:val="20"/>
                <w:lang w:val="en-GB"/>
              </w:rPr>
              <w:t xml:space="preserve"> </w:t>
            </w:r>
            <w:r>
              <w:rPr>
                <w:rFonts w:ascii="Arial" w:hAnsi="Arial" w:cs="Arial"/>
                <w:sz w:val="20"/>
                <w:szCs w:val="20"/>
                <w:lang w:val="en-GB"/>
              </w:rPr>
              <w:t>T</w:t>
            </w:r>
            <w:r w:rsidRPr="003C220E">
              <w:rPr>
                <w:rFonts w:ascii="Arial" w:hAnsi="Arial" w:cs="Arial"/>
                <w:sz w:val="20"/>
                <w:szCs w:val="20"/>
                <w:lang w:val="en-GB"/>
              </w:rPr>
              <w:t>here</w:t>
            </w:r>
            <w:r>
              <w:rPr>
                <w:rFonts w:ascii="Arial" w:hAnsi="Arial" w:cs="Arial"/>
                <w:sz w:val="20"/>
                <w:szCs w:val="20"/>
                <w:lang w:val="en-GB"/>
              </w:rPr>
              <w:t xml:space="preserve"> i</w:t>
            </w:r>
            <w:r w:rsidRPr="003C220E">
              <w:rPr>
                <w:rFonts w:ascii="Arial" w:hAnsi="Arial" w:cs="Arial"/>
                <w:sz w:val="20"/>
                <w:szCs w:val="20"/>
                <w:lang w:val="en-GB"/>
              </w:rPr>
              <w:t xml:space="preserve">s only </w:t>
            </w:r>
            <w:r>
              <w:rPr>
                <w:rFonts w:ascii="Arial" w:hAnsi="Arial" w:cs="Arial"/>
                <w:sz w:val="20"/>
                <w:szCs w:val="20"/>
                <w:lang w:val="en-GB"/>
              </w:rPr>
              <w:t>this</w:t>
            </w:r>
            <w:r w:rsidRPr="63967432" w:rsidR="70B515F1">
              <w:rPr>
                <w:rFonts w:ascii="Arial" w:hAnsi="Arial" w:cs="Arial"/>
                <w:sz w:val="20"/>
                <w:szCs w:val="20"/>
                <w:lang w:val="en-GB"/>
              </w:rPr>
              <w:t xml:space="preserve"> </w:t>
            </w:r>
            <w:r w:rsidRPr="63967432" w:rsidR="7CFB9BA6">
              <w:rPr>
                <w:rFonts w:ascii="Arial" w:hAnsi="Arial" w:cs="Arial"/>
                <w:sz w:val="20"/>
                <w:szCs w:val="20"/>
                <w:lang w:val="en-GB"/>
              </w:rPr>
              <w:t>predicted</w:t>
            </w:r>
            <w:r>
              <w:rPr>
                <w:rFonts w:ascii="Arial" w:hAnsi="Arial" w:cs="Arial"/>
                <w:sz w:val="20"/>
                <w:szCs w:val="20"/>
                <w:lang w:val="en-GB"/>
              </w:rPr>
              <w:t xml:space="preserve"> </w:t>
            </w:r>
            <w:r w:rsidRPr="003C220E">
              <w:rPr>
                <w:rFonts w:ascii="Arial" w:hAnsi="Arial" w:cs="Arial"/>
                <w:sz w:val="20"/>
                <w:szCs w:val="20"/>
                <w:lang w:val="en-GB"/>
              </w:rPr>
              <w:t xml:space="preserve">total number from the source for 2016, so the method using constant rate could not be used to predict </w:t>
            </w:r>
            <w:r w:rsidR="00A71E93">
              <w:rPr>
                <w:rFonts w:ascii="Arial" w:hAnsi="Arial" w:cs="Arial"/>
                <w:sz w:val="20"/>
                <w:szCs w:val="20"/>
                <w:lang w:val="en-GB"/>
              </w:rPr>
              <w:t xml:space="preserve">the </w:t>
            </w:r>
            <w:r w:rsidRPr="003C220E">
              <w:rPr>
                <w:rFonts w:ascii="Arial" w:hAnsi="Arial" w:cs="Arial"/>
                <w:sz w:val="20"/>
                <w:szCs w:val="20"/>
                <w:lang w:val="en-GB"/>
              </w:rPr>
              <w:t>number at each limit level. Since the 275-limit started in August 2016, 2016 would be the first year having providers waivered at 275-limit. Therefore, an average fraction calculated using proportions of limit at each level from 2017 and 2018 is used to predict limit numbers for 2016.</w:t>
            </w:r>
          </w:p>
        </w:tc>
      </w:tr>
      <w:tr w:rsidRPr="002F020B" w:rsidR="0022431B" w:rsidTr="00BD6273" w14:paraId="6BC126CE" w14:textId="77777777">
        <w:trPr>
          <w:trHeight w:val="17"/>
        </w:trPr>
        <w:tc>
          <w:tcPr>
            <w:tcW w:w="489" w:type="pct"/>
            <w:tcBorders>
              <w:top w:val="single" w:color="auto" w:sz="4" w:space="0"/>
              <w:bottom w:val="single" w:color="auto" w:sz="4" w:space="0"/>
            </w:tcBorders>
            <w:vAlign w:val="center"/>
          </w:tcPr>
          <w:p w:rsidRPr="002F020B" w:rsidR="0022431B" w:rsidP="0022431B" w:rsidRDefault="0022431B" w14:paraId="17EA1A62" w14:textId="1334576F">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2017</w:t>
            </w:r>
          </w:p>
        </w:tc>
        <w:tc>
          <w:tcPr>
            <w:tcW w:w="550" w:type="pct"/>
            <w:tcBorders>
              <w:top w:val="single" w:color="auto" w:sz="4" w:space="0"/>
              <w:bottom w:val="single" w:color="auto" w:sz="4" w:space="0"/>
            </w:tcBorders>
            <w:vAlign w:val="center"/>
          </w:tcPr>
          <w:p w:rsidRPr="002F020B" w:rsidR="0022431B" w:rsidP="0022431B" w:rsidRDefault="0022431B" w14:paraId="5457F8CC" w14:textId="36C3B02A">
            <w:pPr>
              <w:spacing w:before="0" w:line="240" w:lineRule="auto"/>
              <w:rPr>
                <w:rFonts w:ascii="Arial" w:hAnsi="Arial" w:cs="Arial"/>
                <w:sz w:val="20"/>
                <w:szCs w:val="20"/>
                <w:lang w:val="en-GB"/>
              </w:rPr>
            </w:pPr>
            <w:r>
              <w:rPr>
                <w:rFonts w:ascii="Arial" w:hAnsi="Arial" w:cs="Arial"/>
                <w:sz w:val="20"/>
                <w:szCs w:val="20"/>
                <w:lang w:val="en-GB"/>
              </w:rPr>
              <w:t>42,037</w:t>
            </w:r>
          </w:p>
        </w:tc>
        <w:tc>
          <w:tcPr>
            <w:tcW w:w="3961" w:type="pct"/>
            <w:tcBorders>
              <w:top w:val="single" w:color="auto" w:sz="4" w:space="0"/>
              <w:bottom w:val="single" w:color="auto" w:sz="4" w:space="0"/>
            </w:tcBorders>
            <w:vAlign w:val="center"/>
          </w:tcPr>
          <w:p w:rsidRPr="002F020B" w:rsidR="0022431B" w:rsidP="0022431B" w:rsidRDefault="005B1D46" w14:paraId="0A4748D1" w14:textId="718D824B">
            <w:pPr>
              <w:spacing w:before="0" w:line="240" w:lineRule="auto"/>
              <w:rPr>
                <w:rFonts w:ascii="Arial" w:hAnsi="Arial" w:cs="Arial"/>
                <w:sz w:val="20"/>
                <w:szCs w:val="20"/>
                <w:lang w:val="en-GB"/>
              </w:rPr>
            </w:pPr>
            <w:r>
              <w:rPr>
                <w:rFonts w:ascii="Arial" w:hAnsi="Arial" w:cs="Arial"/>
                <w:sz w:val="20"/>
                <w:szCs w:val="20"/>
                <w:lang w:val="en-GB"/>
              </w:rPr>
              <w:t>Abraham et al.</w:t>
            </w:r>
            <w:r w:rsidR="0017449F">
              <w:rPr>
                <w:rFonts w:ascii="Arial" w:hAnsi="Arial" w:cs="Arial"/>
                <w:sz w:val="20"/>
                <w:szCs w:val="20"/>
                <w:lang w:val="en-GB"/>
              </w:rPr>
              <w:fldChar w:fldCharType="begin" w:fldLock="1"/>
            </w:r>
            <w:r w:rsidR="00CC24F2">
              <w:rPr>
                <w:rFonts w:ascii="Arial" w:hAnsi="Arial" w:cs="Arial"/>
                <w:sz w:val="20"/>
                <w:szCs w:val="20"/>
                <w:lang w:val="en-GB"/>
              </w:rPr>
              <w:instrText>ADDIN CSL_CITATION {"citationItems":[{"id":"ITEM-1","itemData":{"DOI":"10.1007/s13311-019-00814-4","ISSN":"18787479","PMID":"31907876","abstract":"Despite high mortality rates due to opioid overdose and excessive alcohol consumption, medications for the treatment of alcohol and opioid use disorder have not been widely used in the USA. This paper provides an overview of the literature on the availability of alcohol and opioid used disorder medications in the specialty substance use disorder treatment system, other treatment settings and systems, and among providers with a federal waiver to prescribe buprenorphine. We also present the most current data on the availability of alcohol and opioid use disorder medications in the USA. These estimates show steady growth in availability of opioid use disorder medications over the past decade and a decline in availability of alcohol use disorder medications. However, overall use of medications in the USA remains low. In 2017, only 16.3% of specialty treatment programs offered any single medication for alcohol use disorder treatment and 35.5% offered any single medication for opioid use disorder treatment. Availability of buprenorphine-waivered providers has increased significantly since 2002. However, geographic disparities in access to buprenorphine remain. Some of the most promising strategies to increase availability of alcohol and opioid use disorder medications include the following: incorporating substance use disorder training in healthcare education programs, educating the substance use disorder workforce about the benefits of medication treatment, reducing stigma surrounding the use of medications, implementing medications in primary care settings, implementing integrated care models, revising regulations on methadone and buprenorphine, improving health insurance coverage of medications, and developing novel medications for the treatment of substance use disorder.","author":[{"dropping-particle":"","family":"Abraham","given":"Amanda J.","non-dropping-particle":"","parse-names":false,"suffix":""},{"dropping-particle":"","family":"Andrews","given":"Christina M.","non-dropping-particle":"","parse-names":false,"suffix":""},{"dropping-particle":"","family":"Harris","given":"Samantha J.","non-dropping-particle":"","parse-names":false,"suffix":""},{"dropping-particle":"","family":"Friedmann","given":"Peter D.","non-dropping-particle":"","parse-names":false,"suffix":""}],"container-title":"Neurotherapeutics","id":"ITEM-1","issue":"1","issued":{"date-parts":[["2020","1","1"]]},"page":"55-69","publisher":"Springer","title":"Availability of Medications for the Treatment of Alcohol and Opioid Use Disorder in the USA","type":"article","volume":"17"},"uris":["http://www.mendeley.com/documents/?uuid=2a31a5a2-d34f-4daf-92f3-81c659cefe55"]}],"mendeley":{"formattedCitation":"&lt;sup&gt;9&lt;/sup&gt;","plainTextFormattedCitation":"9","previouslyFormattedCitation":"&lt;sup&gt;9&lt;/sup&gt;"},"properties":{"noteIndex":0},"schema":"https://github.com/citation-style-language/schema/raw/master/csl-citation.json"}</w:instrText>
            </w:r>
            <w:r w:rsidR="0017449F">
              <w:rPr>
                <w:rFonts w:ascii="Arial" w:hAnsi="Arial" w:cs="Arial"/>
                <w:sz w:val="20"/>
                <w:szCs w:val="20"/>
                <w:lang w:val="en-GB"/>
              </w:rPr>
              <w:fldChar w:fldCharType="separate"/>
            </w:r>
            <w:r w:rsidRPr="0017449F" w:rsidR="0017449F">
              <w:rPr>
                <w:rFonts w:ascii="Arial" w:hAnsi="Arial" w:cs="Arial"/>
                <w:noProof/>
                <w:sz w:val="20"/>
                <w:szCs w:val="20"/>
                <w:vertAlign w:val="superscript"/>
                <w:lang w:val="en-GB"/>
              </w:rPr>
              <w:t>9</w:t>
            </w:r>
            <w:r w:rsidR="0017449F">
              <w:rPr>
                <w:rFonts w:ascii="Arial" w:hAnsi="Arial" w:cs="Arial"/>
                <w:sz w:val="20"/>
                <w:szCs w:val="20"/>
                <w:lang w:val="en-GB"/>
              </w:rPr>
              <w:fldChar w:fldCharType="end"/>
            </w:r>
          </w:p>
        </w:tc>
      </w:tr>
      <w:tr w:rsidRPr="002F020B" w:rsidR="0022431B" w:rsidTr="00BD6273" w14:paraId="26E54F75" w14:textId="77777777">
        <w:trPr>
          <w:trHeight w:val="17"/>
        </w:trPr>
        <w:tc>
          <w:tcPr>
            <w:tcW w:w="489" w:type="pct"/>
            <w:tcBorders>
              <w:top w:val="single" w:color="auto" w:sz="4" w:space="0"/>
              <w:bottom w:val="single" w:color="auto" w:sz="4" w:space="0"/>
            </w:tcBorders>
            <w:vAlign w:val="center"/>
          </w:tcPr>
          <w:p w:rsidRPr="002F020B" w:rsidR="0022431B" w:rsidP="0022431B" w:rsidRDefault="0022431B" w14:paraId="6FF47BF7" w14:textId="63BAF268">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2018</w:t>
            </w:r>
          </w:p>
        </w:tc>
        <w:tc>
          <w:tcPr>
            <w:tcW w:w="550" w:type="pct"/>
            <w:tcBorders>
              <w:top w:val="single" w:color="auto" w:sz="4" w:space="0"/>
              <w:bottom w:val="single" w:color="auto" w:sz="4" w:space="0"/>
            </w:tcBorders>
            <w:vAlign w:val="center"/>
          </w:tcPr>
          <w:p w:rsidRPr="002F020B" w:rsidR="0022431B" w:rsidP="0022431B" w:rsidRDefault="0022431B" w14:paraId="6311AF6B" w14:textId="200B22FB">
            <w:pPr>
              <w:spacing w:before="0" w:line="240" w:lineRule="auto"/>
              <w:rPr>
                <w:rFonts w:ascii="Arial" w:hAnsi="Arial" w:cs="Arial"/>
                <w:sz w:val="20"/>
                <w:szCs w:val="20"/>
                <w:lang w:val="en-GB"/>
              </w:rPr>
            </w:pPr>
            <w:r>
              <w:rPr>
                <w:rFonts w:ascii="Arial" w:hAnsi="Arial" w:cs="Arial"/>
                <w:sz w:val="20"/>
                <w:szCs w:val="20"/>
                <w:lang w:val="en-GB"/>
              </w:rPr>
              <w:t>55,500</w:t>
            </w:r>
          </w:p>
        </w:tc>
        <w:tc>
          <w:tcPr>
            <w:tcW w:w="3961" w:type="pct"/>
            <w:tcBorders>
              <w:top w:val="single" w:color="auto" w:sz="4" w:space="0"/>
              <w:bottom w:val="single" w:color="auto" w:sz="4" w:space="0"/>
            </w:tcBorders>
            <w:vAlign w:val="center"/>
          </w:tcPr>
          <w:p w:rsidRPr="002F020B" w:rsidR="0022431B" w:rsidP="0022431B" w:rsidRDefault="0017031F" w14:paraId="1288D879" w14:textId="4BB0F297">
            <w:pPr>
              <w:spacing w:before="0" w:line="240" w:lineRule="auto"/>
              <w:rPr>
                <w:rFonts w:ascii="Arial" w:hAnsi="Arial" w:cs="Arial"/>
                <w:sz w:val="20"/>
                <w:szCs w:val="20"/>
                <w:lang w:val="en-GB"/>
              </w:rPr>
            </w:pPr>
            <w:r>
              <w:rPr>
                <w:rFonts w:ascii="Arial" w:hAnsi="Arial" w:cs="Arial"/>
                <w:sz w:val="20"/>
                <w:szCs w:val="20"/>
                <w:lang w:val="en-GB"/>
              </w:rPr>
              <w:t>Duff</w:t>
            </w:r>
            <w:r w:rsidR="00203AF6">
              <w:rPr>
                <w:rFonts w:ascii="Arial" w:hAnsi="Arial" w:cs="Arial"/>
                <w:sz w:val="20"/>
                <w:szCs w:val="20"/>
                <w:lang w:val="en-GB"/>
              </w:rPr>
              <w:t>.</w:t>
            </w:r>
            <w:r w:rsidR="00CC24F2">
              <w:rPr>
                <w:rFonts w:ascii="Arial" w:hAnsi="Arial" w:cs="Arial"/>
                <w:sz w:val="20"/>
                <w:szCs w:val="20"/>
                <w:lang w:val="en-GB"/>
              </w:rPr>
              <w:fldChar w:fldCharType="begin" w:fldLock="1"/>
            </w:r>
            <w:r w:rsidR="001875B9">
              <w:rPr>
                <w:rFonts w:ascii="Arial" w:hAnsi="Arial" w:cs="Arial"/>
                <w:sz w:val="20"/>
                <w:szCs w:val="20"/>
                <w:lang w:val="en-GB"/>
              </w:rPr>
              <w:instrText>ADDIN CSL_CITATION {"citationItems":[{"id":"ITEM-1","itemData":{"abstract":"The article presents a report for the U.S. Congress on the effectiveness, safety, and availability of buprenorphine to address the opioid epidemic in the U.S. Topics include the effectiveness of buprenorphine in the treatment of opioid abuse compared to other treatments, the costs of the opioid epidemic, and Medicare and Medicaid for buprenorphine treatment.","author":[{"dropping-particle":"","family":"Duff","given":"Johnathan H.","non-dropping-particle":"","parse-names":false,"suffix":""}],"container-title":"Congressional Research Service: Report","id":"ITEM-1","issued":{"date-parts":[["2018"]]},"number-of-pages":"1-27","title":"Buprenorphine and the Opioid Crisis: A Primer for Congress","type":"report"},"uris":["http://www.mendeley.com/documents/?uuid=d1e0330f-b7e9-4659-9f89-50efe2c39f05"]}],"mendeley":{"formattedCitation":"&lt;sup&gt;10&lt;/sup&gt;","plainTextFormattedCitation":"10","previouslyFormattedCitation":"&lt;sup&gt;10&lt;/sup&gt;"},"properties":{"noteIndex":0},"schema":"https://github.com/citation-style-language/schema/raw/master/csl-citation.json"}</w:instrText>
            </w:r>
            <w:r w:rsidR="00CC24F2">
              <w:rPr>
                <w:rFonts w:ascii="Arial" w:hAnsi="Arial" w:cs="Arial"/>
                <w:sz w:val="20"/>
                <w:szCs w:val="20"/>
                <w:lang w:val="en-GB"/>
              </w:rPr>
              <w:fldChar w:fldCharType="separate"/>
            </w:r>
            <w:r w:rsidRPr="00CC24F2" w:rsidR="00CC24F2">
              <w:rPr>
                <w:rFonts w:ascii="Arial" w:hAnsi="Arial" w:cs="Arial"/>
                <w:noProof/>
                <w:sz w:val="20"/>
                <w:szCs w:val="20"/>
                <w:vertAlign w:val="superscript"/>
                <w:lang w:val="en-GB"/>
              </w:rPr>
              <w:t>10</w:t>
            </w:r>
            <w:r w:rsidR="00CC24F2">
              <w:rPr>
                <w:rFonts w:ascii="Arial" w:hAnsi="Arial" w:cs="Arial"/>
                <w:sz w:val="20"/>
                <w:szCs w:val="20"/>
                <w:lang w:val="en-GB"/>
              </w:rPr>
              <w:fldChar w:fldCharType="end"/>
            </w:r>
          </w:p>
        </w:tc>
      </w:tr>
      <w:tr w:rsidRPr="002F020B" w:rsidR="0022431B" w:rsidTr="00BD6273" w14:paraId="36CC0570" w14:textId="77777777">
        <w:trPr>
          <w:trHeight w:val="17"/>
        </w:trPr>
        <w:tc>
          <w:tcPr>
            <w:tcW w:w="489" w:type="pct"/>
            <w:tcBorders>
              <w:top w:val="single" w:color="auto" w:sz="4" w:space="0"/>
              <w:bottom w:val="single" w:color="auto" w:sz="4" w:space="0"/>
            </w:tcBorders>
            <w:vAlign w:val="center"/>
          </w:tcPr>
          <w:p w:rsidRPr="002F020B" w:rsidR="0022431B" w:rsidP="0022431B" w:rsidRDefault="0022431B" w14:paraId="2406E649" w14:textId="3FAE7897">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2019</w:t>
            </w:r>
          </w:p>
        </w:tc>
        <w:tc>
          <w:tcPr>
            <w:tcW w:w="550" w:type="pct"/>
            <w:tcBorders>
              <w:top w:val="single" w:color="auto" w:sz="4" w:space="0"/>
              <w:bottom w:val="single" w:color="auto" w:sz="4" w:space="0"/>
            </w:tcBorders>
            <w:vAlign w:val="center"/>
          </w:tcPr>
          <w:p w:rsidRPr="002F020B" w:rsidR="0022431B" w:rsidP="0022431B" w:rsidRDefault="17BE8C26" w14:paraId="4941E8D2" w14:textId="44844F3C">
            <w:pPr>
              <w:spacing w:before="0" w:line="240" w:lineRule="auto"/>
              <w:rPr>
                <w:rFonts w:ascii="Arial" w:hAnsi="Arial" w:cs="Arial"/>
                <w:sz w:val="20"/>
                <w:szCs w:val="20"/>
                <w:lang w:val="en-GB"/>
              </w:rPr>
            </w:pPr>
            <w:r w:rsidRPr="63967432">
              <w:rPr>
                <w:rFonts w:ascii="Arial" w:hAnsi="Arial" w:cs="Arial"/>
                <w:sz w:val="20"/>
                <w:szCs w:val="20"/>
                <w:lang w:val="en-GB"/>
              </w:rPr>
              <w:t>82,620</w:t>
            </w:r>
          </w:p>
        </w:tc>
        <w:tc>
          <w:tcPr>
            <w:tcW w:w="3961" w:type="pct"/>
            <w:tcBorders>
              <w:top w:val="single" w:color="auto" w:sz="4" w:space="0"/>
              <w:bottom w:val="single" w:color="auto" w:sz="4" w:space="0"/>
            </w:tcBorders>
            <w:vAlign w:val="center"/>
          </w:tcPr>
          <w:p w:rsidRPr="002F020B" w:rsidR="0022431B" w:rsidP="0022431B" w:rsidRDefault="0017031F" w14:paraId="70FD0C41" w14:textId="0A0C7C3E">
            <w:pPr>
              <w:spacing w:before="0" w:line="240" w:lineRule="auto"/>
              <w:rPr>
                <w:rFonts w:ascii="Arial" w:hAnsi="Arial" w:cs="Arial"/>
                <w:sz w:val="20"/>
                <w:szCs w:val="20"/>
                <w:lang w:val="en-GB"/>
              </w:rPr>
            </w:pPr>
            <w:r>
              <w:rPr>
                <w:rFonts w:ascii="Arial" w:hAnsi="Arial" w:cs="Arial"/>
                <w:sz w:val="20"/>
                <w:szCs w:val="20"/>
                <w:lang w:val="en-GB"/>
              </w:rPr>
              <w:t>Duff and Carter r</w:t>
            </w:r>
            <w:r w:rsidR="00CC24F2">
              <w:rPr>
                <w:rFonts w:ascii="Arial" w:hAnsi="Arial" w:cs="Arial"/>
                <w:sz w:val="20"/>
                <w:szCs w:val="20"/>
                <w:lang w:val="en-GB"/>
              </w:rPr>
              <w:t>eport 66,800</w:t>
            </w:r>
            <w:r w:rsidR="00BA2CDA">
              <w:rPr>
                <w:rFonts w:ascii="Arial" w:hAnsi="Arial" w:cs="Arial"/>
                <w:sz w:val="20"/>
                <w:szCs w:val="20"/>
                <w:lang w:val="en-GB"/>
              </w:rPr>
              <w:t xml:space="preserve"> as of June 1, 2019.</w:t>
            </w:r>
            <w:r w:rsidR="00B1583E">
              <w:rPr>
                <w:rFonts w:ascii="Arial" w:hAnsi="Arial" w:cs="Arial"/>
                <w:sz w:val="20"/>
                <w:szCs w:val="20"/>
                <w:lang w:val="en-GB"/>
              </w:rPr>
              <w:fldChar w:fldCharType="begin" w:fldLock="1"/>
            </w:r>
            <w:r w:rsidR="001875B9">
              <w:rPr>
                <w:rFonts w:ascii="Arial" w:hAnsi="Arial" w:cs="Arial"/>
                <w:sz w:val="20"/>
                <w:szCs w:val="20"/>
                <w:lang w:val="en-GB"/>
              </w:rPr>
              <w:instrText>ADDIN CSL_CITATION {"citationItems":[{"id":"ITEM-1","itemData":{"author":[{"dropping-particle":"","family":"Duff","given":"Johnathan H.","non-dropping-particle":"","parse-names":false,"suffix":""},{"dropping-particle":"","family":"Carter","given":"Jameson A.","non-dropping-particle":"","parse-names":false,"suffix":""}],"id":"ITEM-1","issued":{"date-parts":[["2019"]]},"title":"Location of Medication-Assisted Treatment for Opioid Addiction: In Brief","type":"report"},"uris":["http://www.mendeley.com/documents/?uuid=73d10fe9-190b-4ba9-ad14-3e1ac44f994c"]}],"mendeley":{"formattedCitation":"&lt;sup&gt;11&lt;/sup&gt;","plainTextFormattedCitation":"11","previouslyFormattedCitation":"&lt;sup&gt;11&lt;/sup&gt;"},"properties":{"noteIndex":0},"schema":"https://github.com/citation-style-language/schema/raw/master/csl-citation.json"}</w:instrText>
            </w:r>
            <w:r w:rsidR="00B1583E">
              <w:rPr>
                <w:rFonts w:ascii="Arial" w:hAnsi="Arial" w:cs="Arial"/>
                <w:sz w:val="20"/>
                <w:szCs w:val="20"/>
                <w:lang w:val="en-GB"/>
              </w:rPr>
              <w:fldChar w:fldCharType="separate"/>
            </w:r>
            <w:r w:rsidRPr="00B1583E" w:rsidR="00B1583E">
              <w:rPr>
                <w:rFonts w:ascii="Arial" w:hAnsi="Arial" w:cs="Arial"/>
                <w:noProof/>
                <w:sz w:val="20"/>
                <w:szCs w:val="20"/>
                <w:vertAlign w:val="superscript"/>
                <w:lang w:val="en-GB"/>
              </w:rPr>
              <w:t>11</w:t>
            </w:r>
            <w:r w:rsidR="00B1583E">
              <w:rPr>
                <w:rFonts w:ascii="Arial" w:hAnsi="Arial" w:cs="Arial"/>
                <w:sz w:val="20"/>
                <w:szCs w:val="20"/>
                <w:lang w:val="en-GB"/>
              </w:rPr>
              <w:fldChar w:fldCharType="end"/>
            </w:r>
            <w:r w:rsidR="000E179F">
              <w:rPr>
                <w:rFonts w:ascii="Arial" w:hAnsi="Arial" w:cs="Arial"/>
                <w:sz w:val="20"/>
                <w:szCs w:val="20"/>
                <w:lang w:val="en-GB"/>
              </w:rPr>
              <w:t xml:space="preserve"> </w:t>
            </w:r>
            <w:r w:rsidRPr="000E179F" w:rsidR="000E179F">
              <w:rPr>
                <w:rFonts w:ascii="Arial" w:hAnsi="Arial" w:cs="Arial"/>
                <w:sz w:val="20"/>
                <w:szCs w:val="20"/>
                <w:lang w:val="en-GB"/>
              </w:rPr>
              <w:t xml:space="preserve">Partial numbers are used to predict the complete data for the given year. </w:t>
            </w:r>
            <w:r w:rsidR="00CF217A">
              <w:rPr>
                <w:rFonts w:ascii="Arial" w:hAnsi="Arial" w:cs="Arial"/>
                <w:sz w:val="20"/>
                <w:szCs w:val="20"/>
                <w:lang w:val="en-GB"/>
              </w:rPr>
              <w:t>The e</w:t>
            </w:r>
            <w:r w:rsidRPr="63967432" w:rsidR="5DD2750C">
              <w:rPr>
                <w:rFonts w:ascii="Arial" w:hAnsi="Arial" w:cs="Arial"/>
                <w:sz w:val="20"/>
                <w:szCs w:val="20"/>
                <w:lang w:val="en-GB"/>
              </w:rPr>
              <w:t>nd of 2018 and June 1, 2019</w:t>
            </w:r>
            <w:r w:rsidRPr="000E179F" w:rsidR="000E179F">
              <w:rPr>
                <w:rFonts w:ascii="Arial" w:hAnsi="Arial" w:cs="Arial"/>
                <w:sz w:val="20"/>
                <w:szCs w:val="20"/>
                <w:lang w:val="en-GB"/>
              </w:rPr>
              <w:t xml:space="preserve"> are selected to calculate the constant growth rate per month, by using the difference between two time points divided by the </w:t>
            </w:r>
            <w:r w:rsidRPr="63967432" w:rsidR="519FBE93">
              <w:rPr>
                <w:rFonts w:ascii="Arial" w:hAnsi="Arial" w:cs="Arial"/>
                <w:sz w:val="20"/>
                <w:szCs w:val="20"/>
                <w:lang w:val="en-GB"/>
              </w:rPr>
              <w:t>5</w:t>
            </w:r>
            <w:r w:rsidRPr="000E179F" w:rsidR="000E179F">
              <w:rPr>
                <w:rFonts w:ascii="Arial" w:hAnsi="Arial" w:cs="Arial"/>
                <w:sz w:val="20"/>
                <w:szCs w:val="20"/>
                <w:lang w:val="en-GB"/>
              </w:rPr>
              <w:t xml:space="preserve"> months in between. Then, assume the growth rate till the end of the year is constant to estimate the complete number by the end of </w:t>
            </w:r>
            <w:r w:rsidRPr="63967432" w:rsidR="01455C6B">
              <w:rPr>
                <w:rFonts w:ascii="Arial" w:hAnsi="Arial" w:cs="Arial"/>
                <w:sz w:val="20"/>
                <w:szCs w:val="20"/>
                <w:lang w:val="en-GB"/>
              </w:rPr>
              <w:t>2019</w:t>
            </w:r>
            <w:r w:rsidRPr="000E179F" w:rsidR="000E179F">
              <w:rPr>
                <w:rFonts w:ascii="Arial" w:hAnsi="Arial" w:cs="Arial"/>
                <w:sz w:val="20"/>
                <w:szCs w:val="20"/>
                <w:lang w:val="en-GB"/>
              </w:rPr>
              <w:t>.</w:t>
            </w:r>
          </w:p>
        </w:tc>
      </w:tr>
      <w:tr w:rsidRPr="002F020B" w:rsidR="0022431B" w:rsidTr="00BD6273" w14:paraId="7092CF9E" w14:textId="77777777">
        <w:trPr>
          <w:trHeight w:val="17"/>
        </w:trPr>
        <w:tc>
          <w:tcPr>
            <w:tcW w:w="489" w:type="pct"/>
            <w:tcBorders>
              <w:top w:val="single" w:color="auto" w:sz="4" w:space="0"/>
              <w:bottom w:val="single" w:color="auto" w:sz="4" w:space="0"/>
            </w:tcBorders>
            <w:vAlign w:val="center"/>
          </w:tcPr>
          <w:p w:rsidRPr="002F020B" w:rsidR="0022431B" w:rsidP="0022431B" w:rsidRDefault="0022431B" w14:paraId="2E5FF52A" w14:textId="6A482B87">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2020</w:t>
            </w:r>
          </w:p>
        </w:tc>
        <w:tc>
          <w:tcPr>
            <w:tcW w:w="550" w:type="pct"/>
            <w:tcBorders>
              <w:top w:val="single" w:color="auto" w:sz="4" w:space="0"/>
              <w:bottom w:val="single" w:color="auto" w:sz="4" w:space="0"/>
            </w:tcBorders>
            <w:vAlign w:val="center"/>
          </w:tcPr>
          <w:p w:rsidRPr="002F020B" w:rsidR="0022431B" w:rsidP="0022431B" w:rsidRDefault="0022431B" w14:paraId="6DBE2858" w14:textId="57AB59F5">
            <w:pPr>
              <w:spacing w:before="0" w:line="240" w:lineRule="auto"/>
              <w:rPr>
                <w:rFonts w:ascii="Arial" w:hAnsi="Arial" w:cs="Arial"/>
                <w:sz w:val="20"/>
                <w:szCs w:val="20"/>
                <w:lang w:val="en-GB"/>
              </w:rPr>
            </w:pPr>
            <w:r>
              <w:rPr>
                <w:rFonts w:ascii="Arial" w:hAnsi="Arial" w:cs="Arial"/>
                <w:sz w:val="20"/>
                <w:szCs w:val="20"/>
                <w:lang w:val="en-GB"/>
              </w:rPr>
              <w:t>94,223</w:t>
            </w:r>
          </w:p>
        </w:tc>
        <w:tc>
          <w:tcPr>
            <w:tcW w:w="3961" w:type="pct"/>
            <w:tcBorders>
              <w:top w:val="single" w:color="auto" w:sz="4" w:space="0"/>
              <w:bottom w:val="single" w:color="auto" w:sz="4" w:space="0"/>
            </w:tcBorders>
            <w:vAlign w:val="center"/>
          </w:tcPr>
          <w:p w:rsidRPr="002F020B" w:rsidR="0022431B" w:rsidP="0022431B" w:rsidRDefault="00376C22" w14:paraId="52AA768D" w14:textId="2DF92602">
            <w:pPr>
              <w:spacing w:before="0" w:line="240" w:lineRule="auto"/>
              <w:rPr>
                <w:rFonts w:ascii="Arial" w:hAnsi="Arial" w:cs="Arial"/>
                <w:sz w:val="20"/>
                <w:szCs w:val="20"/>
                <w:lang w:val="en-GB"/>
              </w:rPr>
            </w:pPr>
            <w:r>
              <w:rPr>
                <w:rFonts w:ascii="Arial" w:hAnsi="Arial" w:cs="Arial"/>
                <w:sz w:val="20"/>
                <w:szCs w:val="20"/>
                <w:lang w:val="en-GB"/>
              </w:rPr>
              <w:t>Substance Abuse and Mental Health Services Administration Practitioner and Program Data website as of Dec 30, 2020</w:t>
            </w:r>
            <w:r w:rsidR="001875B9">
              <w:rPr>
                <w:rFonts w:ascii="Arial" w:hAnsi="Arial" w:cs="Arial"/>
                <w:sz w:val="20"/>
                <w:szCs w:val="20"/>
                <w:lang w:val="en-GB"/>
              </w:rPr>
              <w:t>.</w:t>
            </w:r>
            <w:r w:rsidR="001875B9">
              <w:rPr>
                <w:rFonts w:ascii="Arial" w:hAnsi="Arial" w:cs="Arial"/>
                <w:sz w:val="20"/>
                <w:szCs w:val="20"/>
                <w:lang w:val="en-GB"/>
              </w:rPr>
              <w:fldChar w:fldCharType="begin" w:fldLock="1"/>
            </w:r>
            <w:r w:rsidR="00B20CB7">
              <w:rPr>
                <w:rFonts w:ascii="Arial" w:hAnsi="Arial" w:cs="Arial"/>
                <w:sz w:val="20"/>
                <w:szCs w:val="20"/>
                <w:lang w:val="en-GB"/>
              </w:rPr>
              <w:instrText>ADDIN CSL_CITATION {"citationItems":[{"id":"ITEM-1","itemData":{"URL":"https://www.samhsa.gov/medication-assisted-treatment/practitioner-resources/data-program-data","accessed":{"date-parts":[["2022","8","24"]]},"author":[{"dropping-particle":"","family":"Substance Abuse and Mental Health Services Administration","given":"","non-dropping-particle":"","parse-names":false,"suffix":""}],"id":"ITEM-1","issued":{"date-parts":[["2022"]]},"title":"Practitioner and Program Data","type":"webpage"},"uris":["http://www.mendeley.com/documents/?uuid=66d3e00f-c71a-4368-aa03-288d0e69f33c"]}],"mendeley":{"formattedCitation":"&lt;sup&gt;12&lt;/sup&gt;","plainTextFormattedCitation":"12","previouslyFormattedCitation":"&lt;sup&gt;12&lt;/sup&gt;"},"properties":{"noteIndex":0},"schema":"https://github.com/citation-style-language/schema/raw/master/csl-citation.json"}</w:instrText>
            </w:r>
            <w:r w:rsidR="001875B9">
              <w:rPr>
                <w:rFonts w:ascii="Arial" w:hAnsi="Arial" w:cs="Arial"/>
                <w:sz w:val="20"/>
                <w:szCs w:val="20"/>
                <w:lang w:val="en-GB"/>
              </w:rPr>
              <w:fldChar w:fldCharType="separate"/>
            </w:r>
            <w:r w:rsidRPr="001875B9" w:rsidR="001875B9">
              <w:rPr>
                <w:rFonts w:ascii="Arial" w:hAnsi="Arial" w:cs="Arial"/>
                <w:noProof/>
                <w:sz w:val="20"/>
                <w:szCs w:val="20"/>
                <w:vertAlign w:val="superscript"/>
                <w:lang w:val="en-GB"/>
              </w:rPr>
              <w:t>12</w:t>
            </w:r>
            <w:r w:rsidR="001875B9">
              <w:rPr>
                <w:rFonts w:ascii="Arial" w:hAnsi="Arial" w:cs="Arial"/>
                <w:sz w:val="20"/>
                <w:szCs w:val="20"/>
                <w:lang w:val="en-GB"/>
              </w:rPr>
              <w:fldChar w:fldCharType="end"/>
            </w:r>
            <w:r w:rsidR="001875B9">
              <w:rPr>
                <w:rFonts w:ascii="Arial" w:hAnsi="Arial" w:cs="Arial"/>
                <w:sz w:val="20"/>
                <w:szCs w:val="20"/>
                <w:lang w:val="en-GB"/>
              </w:rPr>
              <w:t xml:space="preserve"> Note this is updated daily</w:t>
            </w:r>
            <w:r w:rsidR="00C048B6">
              <w:rPr>
                <w:rFonts w:ascii="Arial" w:hAnsi="Arial" w:cs="Arial"/>
                <w:sz w:val="20"/>
                <w:szCs w:val="20"/>
                <w:lang w:val="en-GB"/>
              </w:rPr>
              <w:t>,</w:t>
            </w:r>
            <w:r w:rsidR="001875B9">
              <w:rPr>
                <w:rFonts w:ascii="Arial" w:hAnsi="Arial" w:cs="Arial"/>
                <w:sz w:val="20"/>
                <w:szCs w:val="20"/>
                <w:lang w:val="en-GB"/>
              </w:rPr>
              <w:t xml:space="preserve"> so prior dates’ numbers cannot be viewed.</w:t>
            </w:r>
          </w:p>
        </w:tc>
      </w:tr>
      <w:tr w:rsidRPr="002F020B" w:rsidR="0022431B" w:rsidTr="00BD6273" w14:paraId="34D9CBAE" w14:textId="77777777">
        <w:trPr>
          <w:trHeight w:val="17"/>
        </w:trPr>
        <w:tc>
          <w:tcPr>
            <w:tcW w:w="489" w:type="pct"/>
            <w:tcBorders>
              <w:top w:val="single" w:color="auto" w:sz="4" w:space="0"/>
              <w:bottom w:val="single" w:color="auto" w:sz="4" w:space="0"/>
            </w:tcBorders>
            <w:vAlign w:val="center"/>
          </w:tcPr>
          <w:p w:rsidRPr="002F020B" w:rsidR="0022431B" w:rsidP="0022431B" w:rsidRDefault="0022431B" w14:paraId="48B31871" w14:textId="596B865C">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2021</w:t>
            </w:r>
          </w:p>
        </w:tc>
        <w:tc>
          <w:tcPr>
            <w:tcW w:w="550" w:type="pct"/>
            <w:tcBorders>
              <w:top w:val="single" w:color="auto" w:sz="4" w:space="0"/>
              <w:bottom w:val="single" w:color="auto" w:sz="4" w:space="0"/>
            </w:tcBorders>
            <w:vAlign w:val="center"/>
          </w:tcPr>
          <w:p w:rsidRPr="002F020B" w:rsidR="0022431B" w:rsidP="0022431B" w:rsidRDefault="0022431B" w14:paraId="1740EC42" w14:textId="7D4CDEF1">
            <w:pPr>
              <w:spacing w:before="0" w:line="240" w:lineRule="auto"/>
              <w:rPr>
                <w:rFonts w:ascii="Arial" w:hAnsi="Arial" w:cs="Arial"/>
                <w:sz w:val="20"/>
                <w:szCs w:val="20"/>
                <w:lang w:val="en-GB"/>
              </w:rPr>
            </w:pPr>
            <w:r>
              <w:rPr>
                <w:rFonts w:ascii="Arial" w:hAnsi="Arial" w:cs="Arial"/>
                <w:sz w:val="20"/>
                <w:szCs w:val="20"/>
                <w:lang w:val="en-GB"/>
              </w:rPr>
              <w:t>114,376</w:t>
            </w:r>
          </w:p>
        </w:tc>
        <w:tc>
          <w:tcPr>
            <w:tcW w:w="3961" w:type="pct"/>
            <w:tcBorders>
              <w:top w:val="single" w:color="auto" w:sz="4" w:space="0"/>
              <w:bottom w:val="single" w:color="auto" w:sz="4" w:space="0"/>
            </w:tcBorders>
            <w:vAlign w:val="center"/>
          </w:tcPr>
          <w:p w:rsidRPr="002F020B" w:rsidR="0022431B" w:rsidP="0022431B" w:rsidRDefault="001875B9" w14:paraId="18EC1B23" w14:textId="4A33E761">
            <w:pPr>
              <w:spacing w:before="0" w:line="240" w:lineRule="auto"/>
              <w:rPr>
                <w:rFonts w:ascii="Arial" w:hAnsi="Arial" w:cs="Arial"/>
                <w:sz w:val="20"/>
                <w:szCs w:val="20"/>
                <w:lang w:val="en-GB"/>
              </w:rPr>
            </w:pPr>
            <w:r>
              <w:rPr>
                <w:rFonts w:ascii="Arial" w:hAnsi="Arial" w:cs="Arial"/>
                <w:sz w:val="20"/>
                <w:szCs w:val="20"/>
                <w:lang w:val="en-GB"/>
              </w:rPr>
              <w:t>Substance Abuse and Mental Health Services Administration Practitioner and Program Data website as of Jan 3, 2022.</w:t>
            </w:r>
            <w:r>
              <w:rPr>
                <w:rFonts w:ascii="Arial" w:hAnsi="Arial" w:cs="Arial"/>
                <w:sz w:val="20"/>
                <w:szCs w:val="20"/>
                <w:lang w:val="en-GB"/>
              </w:rPr>
              <w:fldChar w:fldCharType="begin" w:fldLock="1"/>
            </w:r>
            <w:r w:rsidR="00B20CB7">
              <w:rPr>
                <w:rFonts w:ascii="Arial" w:hAnsi="Arial" w:cs="Arial"/>
                <w:sz w:val="20"/>
                <w:szCs w:val="20"/>
                <w:lang w:val="en-GB"/>
              </w:rPr>
              <w:instrText>ADDIN CSL_CITATION {"citationItems":[{"id":"ITEM-1","itemData":{"URL":"https://www.samhsa.gov/medication-assisted-treatment/practitioner-resources/data-program-data","accessed":{"date-parts":[["2022","8","24"]]},"author":[{"dropping-particle":"","family":"Substance Abuse and Mental Health Services Administration","given":"","non-dropping-particle":"","parse-names":false,"suffix":""}],"id":"ITEM-1","issued":{"date-parts":[["2022"]]},"title":"Practitioner and Program Data","type":"webpage"},"uris":["http://www.mendeley.com/documents/?uuid=66d3e00f-c71a-4368-aa03-288d0e69f33c"]}],"mendeley":{"formattedCitation":"&lt;sup&gt;12&lt;/sup&gt;","plainTextFormattedCitation":"12","previouslyFormattedCitation":"&lt;sup&gt;12&lt;/sup&gt;"},"properties":{"noteIndex":0},"schema":"https://github.com/citation-style-language/schema/raw/master/csl-citation.json"}</w:instrText>
            </w:r>
            <w:r>
              <w:rPr>
                <w:rFonts w:ascii="Arial" w:hAnsi="Arial" w:cs="Arial"/>
                <w:sz w:val="20"/>
                <w:szCs w:val="20"/>
                <w:lang w:val="en-GB"/>
              </w:rPr>
              <w:fldChar w:fldCharType="separate"/>
            </w:r>
            <w:r w:rsidRPr="001875B9">
              <w:rPr>
                <w:rFonts w:ascii="Arial" w:hAnsi="Arial" w:cs="Arial"/>
                <w:noProof/>
                <w:sz w:val="20"/>
                <w:szCs w:val="20"/>
                <w:vertAlign w:val="superscript"/>
                <w:lang w:val="en-GB"/>
              </w:rPr>
              <w:t>12</w:t>
            </w:r>
            <w:r>
              <w:rPr>
                <w:rFonts w:ascii="Arial" w:hAnsi="Arial" w:cs="Arial"/>
                <w:sz w:val="20"/>
                <w:szCs w:val="20"/>
                <w:lang w:val="en-GB"/>
              </w:rPr>
              <w:fldChar w:fldCharType="end"/>
            </w:r>
            <w:r>
              <w:rPr>
                <w:rFonts w:ascii="Arial" w:hAnsi="Arial" w:cs="Arial"/>
                <w:sz w:val="20"/>
                <w:szCs w:val="20"/>
                <w:lang w:val="en-GB"/>
              </w:rPr>
              <w:t xml:space="preserve"> Note this is updated daily</w:t>
            </w:r>
            <w:r w:rsidR="00C048B6">
              <w:rPr>
                <w:rFonts w:ascii="Arial" w:hAnsi="Arial" w:cs="Arial"/>
                <w:sz w:val="20"/>
                <w:szCs w:val="20"/>
                <w:lang w:val="en-GB"/>
              </w:rPr>
              <w:t>,</w:t>
            </w:r>
            <w:r>
              <w:rPr>
                <w:rFonts w:ascii="Arial" w:hAnsi="Arial" w:cs="Arial"/>
                <w:sz w:val="20"/>
                <w:szCs w:val="20"/>
                <w:lang w:val="en-GB"/>
              </w:rPr>
              <w:t xml:space="preserve"> so prior dates’ numbers cannot be viewed.</w:t>
            </w:r>
          </w:p>
        </w:tc>
      </w:tr>
    </w:tbl>
    <w:p w:rsidR="00847903" w:rsidP="00B20CB7" w:rsidRDefault="00847903" w14:paraId="0C346046" w14:textId="254491D0">
      <w:pPr>
        <w:spacing w:before="0" w:line="240" w:lineRule="auto"/>
        <w:rPr>
          <w:sz w:val="20"/>
          <w:szCs w:val="20"/>
        </w:rPr>
      </w:pPr>
    </w:p>
    <w:p w:rsidR="00847903" w:rsidRDefault="00847903" w14:paraId="320AADA4" w14:textId="77777777">
      <w:pPr>
        <w:spacing w:before="0" w:after="160" w:line="259" w:lineRule="auto"/>
        <w:rPr>
          <w:sz w:val="20"/>
          <w:szCs w:val="20"/>
        </w:rPr>
      </w:pPr>
      <w:r>
        <w:rPr>
          <w:sz w:val="20"/>
          <w:szCs w:val="20"/>
        </w:rPr>
        <w:br w:type="page"/>
      </w:r>
    </w:p>
    <w:p w:rsidRPr="00E26F7E" w:rsidR="00164691" w:rsidP="00E26F7E" w:rsidRDefault="00847903" w14:paraId="4879EBCD" w14:textId="3321A8DC">
      <w:pPr>
        <w:pStyle w:val="Caption"/>
        <w:keepNext/>
        <w:rPr>
          <w:rFonts w:ascii="Arial" w:hAnsi="Arial" w:cs="Arial"/>
          <w:i w:val="0"/>
          <w:color w:val="auto"/>
          <w:sz w:val="22"/>
          <w:szCs w:val="22"/>
        </w:rPr>
      </w:pPr>
      <w:r w:rsidRPr="00E26F7E">
        <w:rPr>
          <w:rFonts w:ascii="Arial" w:hAnsi="Arial" w:cs="Arial"/>
          <w:i w:val="0"/>
          <w:color w:val="auto"/>
          <w:sz w:val="22"/>
          <w:szCs w:val="22"/>
        </w:rPr>
        <w:t>Table 2. National estimates of unique patients receiving buprenorphine products for OUD, 2003-2021, from IQVIA Total Patient Tracker (TPT</w:t>
      </w:r>
      <w:r w:rsidRPr="00E26F7E" w:rsidR="00EA233F">
        <w:rPr>
          <w:rFonts w:ascii="Arial" w:hAnsi="Arial" w:cs="Arial"/>
          <w:i w:val="0"/>
          <w:color w:val="auto"/>
          <w:sz w:val="22"/>
          <w:szCs w:val="22"/>
        </w:rPr>
        <w:t>)</w:t>
      </w:r>
      <w:r w:rsidRPr="00E26F7E">
        <w:rPr>
          <w:rFonts w:ascii="Arial" w:hAnsi="Arial" w:cs="Arial"/>
          <w:i w:val="0"/>
          <w:color w:val="auto"/>
          <w:sz w:val="22"/>
          <w:szCs w:val="22"/>
        </w:rPr>
        <w:t xml:space="preserve"> ® </w:t>
      </w:r>
    </w:p>
    <w:tbl>
      <w:tblPr>
        <w:tblW w:w="2772" w:type="dxa"/>
        <w:tblInd w:w="108" w:type="dxa"/>
        <w:tblBorders>
          <w:bottom w:val="single" w:color="auto" w:sz="4" w:space="0"/>
        </w:tblBorders>
        <w:tblLook w:val="04A0" w:firstRow="1" w:lastRow="0" w:firstColumn="1" w:lastColumn="0" w:noHBand="0" w:noVBand="1"/>
      </w:tblPr>
      <w:tblGrid>
        <w:gridCol w:w="661"/>
        <w:gridCol w:w="2295"/>
      </w:tblGrid>
      <w:tr w:rsidRPr="00EA233F" w:rsidR="00EA233F" w:rsidTr="00E26F7E" w14:paraId="3F1213FC" w14:textId="77777777">
        <w:trPr>
          <w:trHeight w:val="283"/>
        </w:trPr>
        <w:tc>
          <w:tcPr>
            <w:tcW w:w="477" w:type="dxa"/>
            <w:tcBorders>
              <w:top w:val="single" w:color="auto" w:sz="4" w:space="0"/>
              <w:bottom w:val="single" w:color="auto" w:sz="4" w:space="0"/>
            </w:tcBorders>
            <w:shd w:val="clear" w:color="auto" w:fill="auto"/>
            <w:noWrap/>
            <w:vAlign w:val="center"/>
          </w:tcPr>
          <w:p w:rsidRPr="00EA233F" w:rsidR="00EA233F" w:rsidP="00EA233F" w:rsidRDefault="00EA233F" w14:paraId="1E08EFC5" w14:textId="3BBE3744">
            <w:pPr>
              <w:spacing w:before="0" w:line="240" w:lineRule="auto"/>
              <w:rPr>
                <w:rFonts w:ascii="Arial" w:hAnsi="Arial" w:cs="Arial"/>
                <w:color w:val="000000"/>
                <w:sz w:val="20"/>
                <w:szCs w:val="20"/>
              </w:rPr>
            </w:pPr>
            <w:r w:rsidRPr="00EA233F">
              <w:rPr>
                <w:rFonts w:ascii="Arial" w:hAnsi="Arial" w:cs="Arial"/>
                <w:color w:val="000000"/>
                <w:sz w:val="20"/>
                <w:szCs w:val="20"/>
              </w:rPr>
              <w:t>Year</w:t>
            </w:r>
          </w:p>
        </w:tc>
        <w:tc>
          <w:tcPr>
            <w:tcW w:w="2295" w:type="dxa"/>
            <w:tcBorders>
              <w:top w:val="single" w:color="auto" w:sz="4" w:space="0"/>
              <w:bottom w:val="single" w:color="auto" w:sz="4" w:space="0"/>
            </w:tcBorders>
            <w:shd w:val="clear" w:color="auto" w:fill="auto"/>
            <w:noWrap/>
            <w:vAlign w:val="center"/>
          </w:tcPr>
          <w:p w:rsidRPr="00EA233F" w:rsidR="00EA233F" w:rsidP="00E26F7E" w:rsidRDefault="00EA233F" w14:paraId="57E31E66" w14:textId="24E548D0">
            <w:pPr>
              <w:spacing w:before="0" w:line="240" w:lineRule="auto"/>
              <w:jc w:val="right"/>
              <w:rPr>
                <w:rFonts w:ascii="Arial" w:hAnsi="Arial" w:cs="Arial"/>
                <w:color w:val="000000"/>
                <w:sz w:val="20"/>
                <w:szCs w:val="20"/>
              </w:rPr>
            </w:pPr>
            <w:r w:rsidRPr="00EA233F">
              <w:rPr>
                <w:rFonts w:ascii="Arial" w:hAnsi="Arial" w:cs="Arial"/>
                <w:color w:val="000000"/>
                <w:sz w:val="20"/>
                <w:szCs w:val="20"/>
              </w:rPr>
              <w:t xml:space="preserve">Estimated </w:t>
            </w:r>
            <w:r w:rsidR="00C13DEE">
              <w:rPr>
                <w:rFonts w:ascii="Arial" w:hAnsi="Arial" w:cs="Arial"/>
                <w:color w:val="000000"/>
                <w:sz w:val="20"/>
                <w:szCs w:val="20"/>
              </w:rPr>
              <w:t xml:space="preserve">Number of </w:t>
            </w:r>
            <w:r w:rsidRPr="00EA233F">
              <w:rPr>
                <w:rFonts w:ascii="Arial" w:hAnsi="Arial" w:cs="Arial"/>
                <w:color w:val="000000"/>
                <w:sz w:val="20"/>
                <w:szCs w:val="20"/>
              </w:rPr>
              <w:t>Patients from IQVIA</w:t>
            </w:r>
          </w:p>
        </w:tc>
      </w:tr>
      <w:tr w:rsidRPr="00E932EE" w:rsidR="00E932EE" w:rsidTr="00E26F7E" w14:paraId="1D3D334F" w14:textId="77777777">
        <w:trPr>
          <w:trHeight w:val="283"/>
        </w:trPr>
        <w:tc>
          <w:tcPr>
            <w:tcW w:w="477" w:type="dxa"/>
            <w:tcBorders>
              <w:top w:val="single" w:color="auto" w:sz="4" w:space="0"/>
            </w:tcBorders>
            <w:shd w:val="clear" w:color="auto" w:fill="auto"/>
            <w:noWrap/>
            <w:vAlign w:val="bottom"/>
            <w:hideMark/>
          </w:tcPr>
          <w:p w:rsidRPr="00E932EE" w:rsidR="00E932EE" w:rsidP="00EA233F" w:rsidRDefault="00E932EE" w14:paraId="340011A6" w14:textId="77777777">
            <w:pPr>
              <w:spacing w:before="0" w:line="240" w:lineRule="auto"/>
              <w:rPr>
                <w:rFonts w:ascii="Arial" w:hAnsi="Arial" w:cs="Arial"/>
                <w:color w:val="000000"/>
                <w:sz w:val="20"/>
                <w:szCs w:val="20"/>
              </w:rPr>
            </w:pPr>
            <w:r w:rsidRPr="00E932EE">
              <w:rPr>
                <w:rFonts w:ascii="Arial" w:hAnsi="Arial" w:cs="Arial"/>
                <w:color w:val="000000"/>
                <w:sz w:val="20"/>
                <w:szCs w:val="20"/>
              </w:rPr>
              <w:t>2003</w:t>
            </w:r>
          </w:p>
        </w:tc>
        <w:tc>
          <w:tcPr>
            <w:tcW w:w="2295" w:type="dxa"/>
            <w:tcBorders>
              <w:top w:val="single" w:color="auto" w:sz="4" w:space="0"/>
            </w:tcBorders>
            <w:shd w:val="clear" w:color="auto" w:fill="auto"/>
            <w:noWrap/>
            <w:vAlign w:val="bottom"/>
            <w:hideMark/>
          </w:tcPr>
          <w:p w:rsidRPr="00E932EE" w:rsidR="00E932EE" w:rsidP="00EA233F" w:rsidRDefault="00E932EE" w14:paraId="01B1CE1F" w14:textId="54B87E4A">
            <w:pPr>
              <w:spacing w:before="0" w:line="240" w:lineRule="auto"/>
              <w:jc w:val="right"/>
              <w:rPr>
                <w:rFonts w:ascii="Arial" w:hAnsi="Arial" w:cs="Arial"/>
                <w:color w:val="000000"/>
                <w:sz w:val="20"/>
                <w:szCs w:val="20"/>
              </w:rPr>
            </w:pPr>
            <w:r w:rsidRPr="00E932EE">
              <w:rPr>
                <w:rFonts w:ascii="Arial" w:hAnsi="Arial" w:cs="Arial"/>
                <w:color w:val="000000"/>
                <w:sz w:val="20"/>
                <w:szCs w:val="20"/>
              </w:rPr>
              <w:t>19</w:t>
            </w:r>
            <w:r w:rsidR="00C13DEE">
              <w:rPr>
                <w:rFonts w:ascii="Arial" w:hAnsi="Arial" w:cs="Arial"/>
                <w:color w:val="000000"/>
                <w:sz w:val="20"/>
                <w:szCs w:val="20"/>
              </w:rPr>
              <w:t>,</w:t>
            </w:r>
            <w:r w:rsidRPr="00E932EE">
              <w:rPr>
                <w:rFonts w:ascii="Arial" w:hAnsi="Arial" w:cs="Arial"/>
                <w:color w:val="000000"/>
                <w:sz w:val="20"/>
                <w:szCs w:val="20"/>
              </w:rPr>
              <w:t>026</w:t>
            </w:r>
          </w:p>
        </w:tc>
      </w:tr>
      <w:tr w:rsidRPr="00E932EE" w:rsidR="00E932EE" w:rsidTr="00E26F7E" w14:paraId="634B61F5" w14:textId="77777777">
        <w:trPr>
          <w:trHeight w:val="283"/>
        </w:trPr>
        <w:tc>
          <w:tcPr>
            <w:tcW w:w="477" w:type="dxa"/>
            <w:shd w:val="clear" w:color="auto" w:fill="auto"/>
            <w:noWrap/>
            <w:vAlign w:val="bottom"/>
            <w:hideMark/>
          </w:tcPr>
          <w:p w:rsidRPr="00E932EE" w:rsidR="00E932EE" w:rsidP="00EA233F" w:rsidRDefault="00E932EE" w14:paraId="4FE63272" w14:textId="77777777">
            <w:pPr>
              <w:spacing w:before="0" w:line="240" w:lineRule="auto"/>
              <w:rPr>
                <w:rFonts w:ascii="Arial" w:hAnsi="Arial" w:cs="Arial"/>
                <w:color w:val="000000"/>
                <w:sz w:val="20"/>
                <w:szCs w:val="20"/>
              </w:rPr>
            </w:pPr>
            <w:r w:rsidRPr="00E932EE">
              <w:rPr>
                <w:rFonts w:ascii="Arial" w:hAnsi="Arial" w:cs="Arial"/>
                <w:color w:val="000000"/>
                <w:sz w:val="20"/>
                <w:szCs w:val="20"/>
              </w:rPr>
              <w:t>2004</w:t>
            </w:r>
          </w:p>
        </w:tc>
        <w:tc>
          <w:tcPr>
            <w:tcW w:w="2295" w:type="dxa"/>
            <w:shd w:val="clear" w:color="auto" w:fill="auto"/>
            <w:noWrap/>
            <w:vAlign w:val="bottom"/>
            <w:hideMark/>
          </w:tcPr>
          <w:p w:rsidRPr="00E932EE" w:rsidR="00E932EE" w:rsidP="00EA233F" w:rsidRDefault="00E932EE" w14:paraId="4D2A1A9A" w14:textId="44D1CDE0">
            <w:pPr>
              <w:spacing w:before="0" w:line="240" w:lineRule="auto"/>
              <w:jc w:val="right"/>
              <w:rPr>
                <w:rFonts w:ascii="Arial" w:hAnsi="Arial" w:cs="Arial"/>
                <w:color w:val="000000"/>
                <w:sz w:val="20"/>
                <w:szCs w:val="20"/>
              </w:rPr>
            </w:pPr>
            <w:r w:rsidRPr="00E932EE">
              <w:rPr>
                <w:rFonts w:ascii="Arial" w:hAnsi="Arial" w:cs="Arial"/>
                <w:color w:val="000000"/>
                <w:sz w:val="20"/>
                <w:szCs w:val="20"/>
              </w:rPr>
              <w:t>63</w:t>
            </w:r>
            <w:r w:rsidR="00C13DEE">
              <w:rPr>
                <w:rFonts w:ascii="Arial" w:hAnsi="Arial" w:cs="Arial"/>
                <w:color w:val="000000"/>
                <w:sz w:val="20"/>
                <w:szCs w:val="20"/>
              </w:rPr>
              <w:t>,</w:t>
            </w:r>
            <w:r w:rsidRPr="00E932EE">
              <w:rPr>
                <w:rFonts w:ascii="Arial" w:hAnsi="Arial" w:cs="Arial"/>
                <w:color w:val="000000"/>
                <w:sz w:val="20"/>
                <w:szCs w:val="20"/>
              </w:rPr>
              <w:t>174</w:t>
            </w:r>
          </w:p>
        </w:tc>
      </w:tr>
      <w:tr w:rsidRPr="00E932EE" w:rsidR="00E932EE" w:rsidTr="00E26F7E" w14:paraId="67CB3867" w14:textId="77777777">
        <w:trPr>
          <w:trHeight w:val="283"/>
        </w:trPr>
        <w:tc>
          <w:tcPr>
            <w:tcW w:w="477" w:type="dxa"/>
            <w:shd w:val="clear" w:color="auto" w:fill="auto"/>
            <w:noWrap/>
            <w:vAlign w:val="bottom"/>
            <w:hideMark/>
          </w:tcPr>
          <w:p w:rsidRPr="00E932EE" w:rsidR="00E932EE" w:rsidP="00EA233F" w:rsidRDefault="00E932EE" w14:paraId="5DF9CFF0" w14:textId="77777777">
            <w:pPr>
              <w:spacing w:before="0" w:line="240" w:lineRule="auto"/>
              <w:rPr>
                <w:rFonts w:ascii="Arial" w:hAnsi="Arial" w:cs="Arial"/>
                <w:color w:val="000000"/>
                <w:sz w:val="20"/>
                <w:szCs w:val="20"/>
              </w:rPr>
            </w:pPr>
            <w:r w:rsidRPr="00E932EE">
              <w:rPr>
                <w:rFonts w:ascii="Arial" w:hAnsi="Arial" w:cs="Arial"/>
                <w:color w:val="000000"/>
                <w:sz w:val="20"/>
                <w:szCs w:val="20"/>
              </w:rPr>
              <w:t>2005</w:t>
            </w:r>
          </w:p>
        </w:tc>
        <w:tc>
          <w:tcPr>
            <w:tcW w:w="2295" w:type="dxa"/>
            <w:shd w:val="clear" w:color="auto" w:fill="auto"/>
            <w:noWrap/>
            <w:vAlign w:val="bottom"/>
            <w:hideMark/>
          </w:tcPr>
          <w:p w:rsidRPr="00E932EE" w:rsidR="00E932EE" w:rsidP="00EA233F" w:rsidRDefault="00E932EE" w14:paraId="53AB2585" w14:textId="3FD3E0EB">
            <w:pPr>
              <w:spacing w:before="0" w:line="240" w:lineRule="auto"/>
              <w:jc w:val="right"/>
              <w:rPr>
                <w:rFonts w:ascii="Arial" w:hAnsi="Arial" w:cs="Arial"/>
                <w:color w:val="000000"/>
                <w:sz w:val="20"/>
                <w:szCs w:val="20"/>
              </w:rPr>
            </w:pPr>
            <w:r w:rsidRPr="00E932EE">
              <w:rPr>
                <w:rFonts w:ascii="Arial" w:hAnsi="Arial" w:cs="Arial"/>
                <w:color w:val="000000"/>
                <w:sz w:val="20"/>
                <w:szCs w:val="20"/>
              </w:rPr>
              <w:t>108</w:t>
            </w:r>
            <w:r w:rsidR="00C13DEE">
              <w:rPr>
                <w:rFonts w:ascii="Arial" w:hAnsi="Arial" w:cs="Arial"/>
                <w:color w:val="000000"/>
                <w:sz w:val="20"/>
                <w:szCs w:val="20"/>
              </w:rPr>
              <w:t>,</w:t>
            </w:r>
            <w:r w:rsidRPr="00E932EE">
              <w:rPr>
                <w:rFonts w:ascii="Arial" w:hAnsi="Arial" w:cs="Arial"/>
                <w:color w:val="000000"/>
                <w:sz w:val="20"/>
                <w:szCs w:val="20"/>
              </w:rPr>
              <w:t>325</w:t>
            </w:r>
          </w:p>
        </w:tc>
      </w:tr>
      <w:tr w:rsidRPr="00E932EE" w:rsidR="00E932EE" w:rsidTr="00E26F7E" w14:paraId="7CC9776D" w14:textId="77777777">
        <w:trPr>
          <w:trHeight w:val="283"/>
        </w:trPr>
        <w:tc>
          <w:tcPr>
            <w:tcW w:w="477" w:type="dxa"/>
            <w:shd w:val="clear" w:color="auto" w:fill="auto"/>
            <w:noWrap/>
            <w:vAlign w:val="bottom"/>
            <w:hideMark/>
          </w:tcPr>
          <w:p w:rsidRPr="00E932EE" w:rsidR="00E932EE" w:rsidP="00EA233F" w:rsidRDefault="00E932EE" w14:paraId="7A3FC67E" w14:textId="77777777">
            <w:pPr>
              <w:spacing w:before="0" w:line="240" w:lineRule="auto"/>
              <w:rPr>
                <w:rFonts w:ascii="Arial" w:hAnsi="Arial" w:cs="Arial"/>
                <w:color w:val="000000"/>
                <w:sz w:val="20"/>
                <w:szCs w:val="20"/>
              </w:rPr>
            </w:pPr>
            <w:r w:rsidRPr="00E932EE">
              <w:rPr>
                <w:rFonts w:ascii="Arial" w:hAnsi="Arial" w:cs="Arial"/>
                <w:color w:val="000000"/>
                <w:sz w:val="20"/>
                <w:szCs w:val="20"/>
              </w:rPr>
              <w:t>2006</w:t>
            </w:r>
          </w:p>
        </w:tc>
        <w:tc>
          <w:tcPr>
            <w:tcW w:w="2295" w:type="dxa"/>
            <w:shd w:val="clear" w:color="auto" w:fill="auto"/>
            <w:noWrap/>
            <w:vAlign w:val="bottom"/>
            <w:hideMark/>
          </w:tcPr>
          <w:p w:rsidRPr="00E932EE" w:rsidR="00E932EE" w:rsidP="00EA233F" w:rsidRDefault="00E932EE" w14:paraId="7BAED25F" w14:textId="3E686958">
            <w:pPr>
              <w:spacing w:before="0" w:line="240" w:lineRule="auto"/>
              <w:jc w:val="right"/>
              <w:rPr>
                <w:rFonts w:ascii="Arial" w:hAnsi="Arial" w:cs="Arial"/>
                <w:color w:val="000000"/>
                <w:sz w:val="20"/>
                <w:szCs w:val="20"/>
              </w:rPr>
            </w:pPr>
            <w:r w:rsidRPr="00E932EE">
              <w:rPr>
                <w:rFonts w:ascii="Arial" w:hAnsi="Arial" w:cs="Arial"/>
                <w:color w:val="000000"/>
                <w:sz w:val="20"/>
                <w:szCs w:val="20"/>
              </w:rPr>
              <w:t>170</w:t>
            </w:r>
            <w:r w:rsidR="00C13DEE">
              <w:rPr>
                <w:rFonts w:ascii="Arial" w:hAnsi="Arial" w:cs="Arial"/>
                <w:color w:val="000000"/>
                <w:sz w:val="20"/>
                <w:szCs w:val="20"/>
              </w:rPr>
              <w:t>,</w:t>
            </w:r>
            <w:r w:rsidRPr="00E932EE">
              <w:rPr>
                <w:rFonts w:ascii="Arial" w:hAnsi="Arial" w:cs="Arial"/>
                <w:color w:val="000000"/>
                <w:sz w:val="20"/>
                <w:szCs w:val="20"/>
              </w:rPr>
              <w:t>005</w:t>
            </w:r>
          </w:p>
        </w:tc>
      </w:tr>
      <w:tr w:rsidRPr="00E932EE" w:rsidR="00E932EE" w:rsidTr="00E26F7E" w14:paraId="21AA3593" w14:textId="77777777">
        <w:trPr>
          <w:trHeight w:val="283"/>
        </w:trPr>
        <w:tc>
          <w:tcPr>
            <w:tcW w:w="477" w:type="dxa"/>
            <w:shd w:val="clear" w:color="auto" w:fill="auto"/>
            <w:noWrap/>
            <w:vAlign w:val="bottom"/>
            <w:hideMark/>
          </w:tcPr>
          <w:p w:rsidRPr="00E932EE" w:rsidR="00E932EE" w:rsidP="00EA233F" w:rsidRDefault="00E932EE" w14:paraId="57F7869C" w14:textId="77777777">
            <w:pPr>
              <w:spacing w:before="0" w:line="240" w:lineRule="auto"/>
              <w:rPr>
                <w:rFonts w:ascii="Arial" w:hAnsi="Arial" w:cs="Arial"/>
                <w:color w:val="000000"/>
                <w:sz w:val="20"/>
                <w:szCs w:val="20"/>
              </w:rPr>
            </w:pPr>
            <w:r w:rsidRPr="00E932EE">
              <w:rPr>
                <w:rFonts w:ascii="Arial" w:hAnsi="Arial" w:cs="Arial"/>
                <w:color w:val="000000"/>
                <w:sz w:val="20"/>
                <w:szCs w:val="20"/>
              </w:rPr>
              <w:t>2007</w:t>
            </w:r>
          </w:p>
        </w:tc>
        <w:tc>
          <w:tcPr>
            <w:tcW w:w="2295" w:type="dxa"/>
            <w:shd w:val="clear" w:color="auto" w:fill="auto"/>
            <w:noWrap/>
            <w:vAlign w:val="bottom"/>
            <w:hideMark/>
          </w:tcPr>
          <w:p w:rsidRPr="00E932EE" w:rsidR="00E932EE" w:rsidP="00EA233F" w:rsidRDefault="00E932EE" w14:paraId="4DF3EBCF" w14:textId="469E23DE">
            <w:pPr>
              <w:spacing w:before="0" w:line="240" w:lineRule="auto"/>
              <w:jc w:val="right"/>
              <w:rPr>
                <w:rFonts w:ascii="Arial" w:hAnsi="Arial" w:cs="Arial"/>
                <w:color w:val="000000"/>
                <w:sz w:val="20"/>
                <w:szCs w:val="20"/>
              </w:rPr>
            </w:pPr>
            <w:r w:rsidRPr="00E932EE">
              <w:rPr>
                <w:rFonts w:ascii="Arial" w:hAnsi="Arial" w:cs="Arial"/>
                <w:color w:val="000000"/>
                <w:sz w:val="20"/>
                <w:szCs w:val="20"/>
              </w:rPr>
              <w:t>288</w:t>
            </w:r>
            <w:r w:rsidR="00C13DEE">
              <w:rPr>
                <w:rFonts w:ascii="Arial" w:hAnsi="Arial" w:cs="Arial"/>
                <w:color w:val="000000"/>
                <w:sz w:val="20"/>
                <w:szCs w:val="20"/>
              </w:rPr>
              <w:t>,</w:t>
            </w:r>
            <w:r w:rsidRPr="00E932EE">
              <w:rPr>
                <w:rFonts w:ascii="Arial" w:hAnsi="Arial" w:cs="Arial"/>
                <w:color w:val="000000"/>
                <w:sz w:val="20"/>
                <w:szCs w:val="20"/>
              </w:rPr>
              <w:t>677</w:t>
            </w:r>
          </w:p>
        </w:tc>
      </w:tr>
      <w:tr w:rsidRPr="00E932EE" w:rsidR="00E932EE" w:rsidTr="00E26F7E" w14:paraId="2486DAE3" w14:textId="77777777">
        <w:trPr>
          <w:trHeight w:val="283"/>
        </w:trPr>
        <w:tc>
          <w:tcPr>
            <w:tcW w:w="477" w:type="dxa"/>
            <w:shd w:val="clear" w:color="auto" w:fill="auto"/>
            <w:noWrap/>
            <w:vAlign w:val="bottom"/>
            <w:hideMark/>
          </w:tcPr>
          <w:p w:rsidRPr="00E932EE" w:rsidR="00E932EE" w:rsidP="00EA233F" w:rsidRDefault="00E932EE" w14:paraId="19D605EC" w14:textId="77777777">
            <w:pPr>
              <w:spacing w:before="0" w:line="240" w:lineRule="auto"/>
              <w:rPr>
                <w:rFonts w:ascii="Arial" w:hAnsi="Arial" w:cs="Arial"/>
                <w:color w:val="000000"/>
                <w:sz w:val="20"/>
                <w:szCs w:val="20"/>
              </w:rPr>
            </w:pPr>
            <w:r w:rsidRPr="00E932EE">
              <w:rPr>
                <w:rFonts w:ascii="Arial" w:hAnsi="Arial" w:cs="Arial"/>
                <w:color w:val="000000"/>
                <w:sz w:val="20"/>
                <w:szCs w:val="20"/>
              </w:rPr>
              <w:t>2008</w:t>
            </w:r>
          </w:p>
        </w:tc>
        <w:tc>
          <w:tcPr>
            <w:tcW w:w="2295" w:type="dxa"/>
            <w:shd w:val="clear" w:color="auto" w:fill="auto"/>
            <w:noWrap/>
            <w:vAlign w:val="bottom"/>
            <w:hideMark/>
          </w:tcPr>
          <w:p w:rsidRPr="00E932EE" w:rsidR="00E932EE" w:rsidP="00EA233F" w:rsidRDefault="00E932EE" w14:paraId="42ADE715" w14:textId="3BD2DFC1">
            <w:pPr>
              <w:spacing w:before="0" w:line="240" w:lineRule="auto"/>
              <w:jc w:val="right"/>
              <w:rPr>
                <w:rFonts w:ascii="Arial" w:hAnsi="Arial" w:cs="Arial"/>
                <w:color w:val="000000"/>
                <w:sz w:val="20"/>
                <w:szCs w:val="20"/>
              </w:rPr>
            </w:pPr>
            <w:r w:rsidRPr="00E932EE">
              <w:rPr>
                <w:rFonts w:ascii="Arial" w:hAnsi="Arial" w:cs="Arial"/>
                <w:color w:val="000000"/>
                <w:sz w:val="20"/>
                <w:szCs w:val="20"/>
              </w:rPr>
              <w:t>436</w:t>
            </w:r>
            <w:r w:rsidR="00C13DEE">
              <w:rPr>
                <w:rFonts w:ascii="Arial" w:hAnsi="Arial" w:cs="Arial"/>
                <w:color w:val="000000"/>
                <w:sz w:val="20"/>
                <w:szCs w:val="20"/>
              </w:rPr>
              <w:t>,</w:t>
            </w:r>
            <w:r w:rsidRPr="00E932EE">
              <w:rPr>
                <w:rFonts w:ascii="Arial" w:hAnsi="Arial" w:cs="Arial"/>
                <w:color w:val="000000"/>
                <w:sz w:val="20"/>
                <w:szCs w:val="20"/>
              </w:rPr>
              <w:t>904</w:t>
            </w:r>
          </w:p>
        </w:tc>
      </w:tr>
      <w:tr w:rsidRPr="00E932EE" w:rsidR="00E932EE" w:rsidTr="00E26F7E" w14:paraId="26E465C5" w14:textId="77777777">
        <w:trPr>
          <w:trHeight w:val="283"/>
        </w:trPr>
        <w:tc>
          <w:tcPr>
            <w:tcW w:w="477" w:type="dxa"/>
            <w:shd w:val="clear" w:color="auto" w:fill="auto"/>
            <w:noWrap/>
            <w:vAlign w:val="bottom"/>
            <w:hideMark/>
          </w:tcPr>
          <w:p w:rsidRPr="00E932EE" w:rsidR="00E932EE" w:rsidP="00EA233F" w:rsidRDefault="00E932EE" w14:paraId="6487EA2A" w14:textId="77777777">
            <w:pPr>
              <w:spacing w:before="0" w:line="240" w:lineRule="auto"/>
              <w:rPr>
                <w:rFonts w:ascii="Arial" w:hAnsi="Arial" w:cs="Arial"/>
                <w:color w:val="000000"/>
                <w:sz w:val="20"/>
                <w:szCs w:val="20"/>
              </w:rPr>
            </w:pPr>
            <w:r w:rsidRPr="00E932EE">
              <w:rPr>
                <w:rFonts w:ascii="Arial" w:hAnsi="Arial" w:cs="Arial"/>
                <w:color w:val="000000"/>
                <w:sz w:val="20"/>
                <w:szCs w:val="20"/>
              </w:rPr>
              <w:t>2009</w:t>
            </w:r>
          </w:p>
        </w:tc>
        <w:tc>
          <w:tcPr>
            <w:tcW w:w="2295" w:type="dxa"/>
            <w:shd w:val="clear" w:color="auto" w:fill="auto"/>
            <w:noWrap/>
            <w:vAlign w:val="bottom"/>
            <w:hideMark/>
          </w:tcPr>
          <w:p w:rsidRPr="00E932EE" w:rsidR="00E932EE" w:rsidP="00EA233F" w:rsidRDefault="00E932EE" w14:paraId="4D2F33D6" w14:textId="23DEBC5E">
            <w:pPr>
              <w:spacing w:before="0" w:line="240" w:lineRule="auto"/>
              <w:jc w:val="right"/>
              <w:rPr>
                <w:rFonts w:ascii="Arial" w:hAnsi="Arial" w:cs="Arial"/>
                <w:color w:val="000000"/>
                <w:sz w:val="20"/>
                <w:szCs w:val="20"/>
              </w:rPr>
            </w:pPr>
            <w:r w:rsidRPr="00E932EE">
              <w:rPr>
                <w:rFonts w:ascii="Arial" w:hAnsi="Arial" w:cs="Arial"/>
                <w:color w:val="000000"/>
                <w:sz w:val="20"/>
                <w:szCs w:val="20"/>
              </w:rPr>
              <w:t>517</w:t>
            </w:r>
            <w:r w:rsidR="00C13DEE">
              <w:rPr>
                <w:rFonts w:ascii="Arial" w:hAnsi="Arial" w:cs="Arial"/>
                <w:color w:val="000000"/>
                <w:sz w:val="20"/>
                <w:szCs w:val="20"/>
              </w:rPr>
              <w:t>,</w:t>
            </w:r>
            <w:r w:rsidRPr="00E932EE">
              <w:rPr>
                <w:rFonts w:ascii="Arial" w:hAnsi="Arial" w:cs="Arial"/>
                <w:color w:val="000000"/>
                <w:sz w:val="20"/>
                <w:szCs w:val="20"/>
              </w:rPr>
              <w:t>292</w:t>
            </w:r>
          </w:p>
        </w:tc>
      </w:tr>
      <w:tr w:rsidRPr="00E932EE" w:rsidR="00E932EE" w:rsidTr="00E26F7E" w14:paraId="4AFD4DD6" w14:textId="77777777">
        <w:trPr>
          <w:trHeight w:val="283"/>
        </w:trPr>
        <w:tc>
          <w:tcPr>
            <w:tcW w:w="477" w:type="dxa"/>
            <w:shd w:val="clear" w:color="auto" w:fill="auto"/>
            <w:noWrap/>
            <w:vAlign w:val="bottom"/>
            <w:hideMark/>
          </w:tcPr>
          <w:p w:rsidRPr="00E932EE" w:rsidR="00E932EE" w:rsidP="00EA233F" w:rsidRDefault="00E932EE" w14:paraId="232105EB" w14:textId="77777777">
            <w:pPr>
              <w:spacing w:before="0" w:line="240" w:lineRule="auto"/>
              <w:rPr>
                <w:rFonts w:ascii="Arial" w:hAnsi="Arial" w:cs="Arial"/>
                <w:color w:val="000000"/>
                <w:sz w:val="20"/>
                <w:szCs w:val="20"/>
              </w:rPr>
            </w:pPr>
            <w:r w:rsidRPr="00E932EE">
              <w:rPr>
                <w:rFonts w:ascii="Arial" w:hAnsi="Arial" w:cs="Arial"/>
                <w:color w:val="000000"/>
                <w:sz w:val="20"/>
                <w:szCs w:val="20"/>
              </w:rPr>
              <w:t>2010</w:t>
            </w:r>
          </w:p>
        </w:tc>
        <w:tc>
          <w:tcPr>
            <w:tcW w:w="2295" w:type="dxa"/>
            <w:shd w:val="clear" w:color="auto" w:fill="auto"/>
            <w:noWrap/>
            <w:vAlign w:val="bottom"/>
            <w:hideMark/>
          </w:tcPr>
          <w:p w:rsidRPr="00E932EE" w:rsidR="00E932EE" w:rsidP="00EA233F" w:rsidRDefault="00E932EE" w14:paraId="44ECC98F" w14:textId="32ED200A">
            <w:pPr>
              <w:spacing w:before="0" w:line="240" w:lineRule="auto"/>
              <w:jc w:val="right"/>
              <w:rPr>
                <w:rFonts w:ascii="Arial" w:hAnsi="Arial" w:cs="Arial"/>
                <w:color w:val="000000"/>
                <w:sz w:val="20"/>
                <w:szCs w:val="20"/>
              </w:rPr>
            </w:pPr>
            <w:r w:rsidRPr="00E932EE">
              <w:rPr>
                <w:rFonts w:ascii="Arial" w:hAnsi="Arial" w:cs="Arial"/>
                <w:color w:val="000000"/>
                <w:sz w:val="20"/>
                <w:szCs w:val="20"/>
              </w:rPr>
              <w:t>603</w:t>
            </w:r>
            <w:r w:rsidR="00C13DEE">
              <w:rPr>
                <w:rFonts w:ascii="Arial" w:hAnsi="Arial" w:cs="Arial"/>
                <w:color w:val="000000"/>
                <w:sz w:val="20"/>
                <w:szCs w:val="20"/>
              </w:rPr>
              <w:t>,</w:t>
            </w:r>
            <w:r w:rsidRPr="00E932EE">
              <w:rPr>
                <w:rFonts w:ascii="Arial" w:hAnsi="Arial" w:cs="Arial"/>
                <w:color w:val="000000"/>
                <w:sz w:val="20"/>
                <w:szCs w:val="20"/>
              </w:rPr>
              <w:t>494</w:t>
            </w:r>
          </w:p>
        </w:tc>
      </w:tr>
      <w:tr w:rsidRPr="00E932EE" w:rsidR="00E932EE" w:rsidTr="00E26F7E" w14:paraId="21C7EE76" w14:textId="77777777">
        <w:trPr>
          <w:trHeight w:val="283"/>
        </w:trPr>
        <w:tc>
          <w:tcPr>
            <w:tcW w:w="477" w:type="dxa"/>
            <w:shd w:val="clear" w:color="auto" w:fill="auto"/>
            <w:noWrap/>
            <w:vAlign w:val="bottom"/>
            <w:hideMark/>
          </w:tcPr>
          <w:p w:rsidRPr="00E932EE" w:rsidR="00E932EE" w:rsidP="00EA233F" w:rsidRDefault="00E932EE" w14:paraId="729FF13E" w14:textId="77777777">
            <w:pPr>
              <w:spacing w:before="0" w:line="240" w:lineRule="auto"/>
              <w:rPr>
                <w:rFonts w:ascii="Arial" w:hAnsi="Arial" w:cs="Arial"/>
                <w:color w:val="000000"/>
                <w:sz w:val="20"/>
                <w:szCs w:val="20"/>
              </w:rPr>
            </w:pPr>
            <w:r w:rsidRPr="00E932EE">
              <w:rPr>
                <w:rFonts w:ascii="Arial" w:hAnsi="Arial" w:cs="Arial"/>
                <w:color w:val="000000"/>
                <w:sz w:val="20"/>
                <w:szCs w:val="20"/>
              </w:rPr>
              <w:t>2011</w:t>
            </w:r>
          </w:p>
        </w:tc>
        <w:tc>
          <w:tcPr>
            <w:tcW w:w="2295" w:type="dxa"/>
            <w:shd w:val="clear" w:color="auto" w:fill="auto"/>
            <w:noWrap/>
            <w:vAlign w:val="bottom"/>
            <w:hideMark/>
          </w:tcPr>
          <w:p w:rsidRPr="00E932EE" w:rsidR="00E932EE" w:rsidP="00EA233F" w:rsidRDefault="00E932EE" w14:paraId="7CF6C3F1" w14:textId="4DF2FAD2">
            <w:pPr>
              <w:spacing w:before="0" w:line="240" w:lineRule="auto"/>
              <w:jc w:val="right"/>
              <w:rPr>
                <w:rFonts w:ascii="Arial" w:hAnsi="Arial" w:cs="Arial"/>
                <w:color w:val="000000"/>
                <w:sz w:val="20"/>
                <w:szCs w:val="20"/>
              </w:rPr>
            </w:pPr>
            <w:r w:rsidRPr="00E932EE">
              <w:rPr>
                <w:rFonts w:ascii="Arial" w:hAnsi="Arial" w:cs="Arial"/>
                <w:color w:val="000000"/>
                <w:sz w:val="20"/>
                <w:szCs w:val="20"/>
              </w:rPr>
              <w:t>710</w:t>
            </w:r>
            <w:r w:rsidR="00C13DEE">
              <w:rPr>
                <w:rFonts w:ascii="Arial" w:hAnsi="Arial" w:cs="Arial"/>
                <w:color w:val="000000"/>
                <w:sz w:val="20"/>
                <w:szCs w:val="20"/>
              </w:rPr>
              <w:t>,</w:t>
            </w:r>
            <w:r w:rsidRPr="00E932EE">
              <w:rPr>
                <w:rFonts w:ascii="Arial" w:hAnsi="Arial" w:cs="Arial"/>
                <w:color w:val="000000"/>
                <w:sz w:val="20"/>
                <w:szCs w:val="20"/>
              </w:rPr>
              <w:t>244</w:t>
            </w:r>
          </w:p>
        </w:tc>
      </w:tr>
      <w:tr w:rsidRPr="00E932EE" w:rsidR="00E932EE" w:rsidTr="00E26F7E" w14:paraId="569AE43A" w14:textId="77777777">
        <w:trPr>
          <w:trHeight w:val="283"/>
        </w:trPr>
        <w:tc>
          <w:tcPr>
            <w:tcW w:w="477" w:type="dxa"/>
            <w:shd w:val="clear" w:color="auto" w:fill="auto"/>
            <w:noWrap/>
            <w:vAlign w:val="bottom"/>
            <w:hideMark/>
          </w:tcPr>
          <w:p w:rsidRPr="00E932EE" w:rsidR="00E932EE" w:rsidP="00EA233F" w:rsidRDefault="00E932EE" w14:paraId="0E13ECBA" w14:textId="77777777">
            <w:pPr>
              <w:spacing w:before="0" w:line="240" w:lineRule="auto"/>
              <w:rPr>
                <w:rFonts w:ascii="Arial" w:hAnsi="Arial" w:cs="Arial"/>
                <w:color w:val="000000"/>
                <w:sz w:val="20"/>
                <w:szCs w:val="20"/>
              </w:rPr>
            </w:pPr>
            <w:r w:rsidRPr="00E932EE">
              <w:rPr>
                <w:rFonts w:ascii="Arial" w:hAnsi="Arial" w:cs="Arial"/>
                <w:color w:val="000000"/>
                <w:sz w:val="20"/>
                <w:szCs w:val="20"/>
              </w:rPr>
              <w:t>2012</w:t>
            </w:r>
          </w:p>
        </w:tc>
        <w:tc>
          <w:tcPr>
            <w:tcW w:w="2295" w:type="dxa"/>
            <w:shd w:val="clear" w:color="auto" w:fill="auto"/>
            <w:noWrap/>
            <w:vAlign w:val="bottom"/>
            <w:hideMark/>
          </w:tcPr>
          <w:p w:rsidRPr="00E932EE" w:rsidR="00E932EE" w:rsidP="00EA233F" w:rsidRDefault="00E932EE" w14:paraId="2D6D5677" w14:textId="7D8D264C">
            <w:pPr>
              <w:spacing w:before="0" w:line="240" w:lineRule="auto"/>
              <w:jc w:val="right"/>
              <w:rPr>
                <w:rFonts w:ascii="Arial" w:hAnsi="Arial" w:cs="Arial"/>
                <w:color w:val="000000"/>
                <w:sz w:val="20"/>
                <w:szCs w:val="20"/>
              </w:rPr>
            </w:pPr>
            <w:r w:rsidRPr="00E932EE">
              <w:rPr>
                <w:rFonts w:ascii="Arial" w:hAnsi="Arial" w:cs="Arial"/>
                <w:color w:val="000000"/>
                <w:sz w:val="20"/>
                <w:szCs w:val="20"/>
              </w:rPr>
              <w:t>730</w:t>
            </w:r>
            <w:r w:rsidR="00C13DEE">
              <w:rPr>
                <w:rFonts w:ascii="Arial" w:hAnsi="Arial" w:cs="Arial"/>
                <w:color w:val="000000"/>
                <w:sz w:val="20"/>
                <w:szCs w:val="20"/>
              </w:rPr>
              <w:t>,</w:t>
            </w:r>
            <w:r w:rsidRPr="00E932EE">
              <w:rPr>
                <w:rFonts w:ascii="Arial" w:hAnsi="Arial" w:cs="Arial"/>
                <w:color w:val="000000"/>
                <w:sz w:val="20"/>
                <w:szCs w:val="20"/>
              </w:rPr>
              <w:t>890</w:t>
            </w:r>
          </w:p>
        </w:tc>
      </w:tr>
      <w:tr w:rsidRPr="00E932EE" w:rsidR="00E932EE" w:rsidTr="00E26F7E" w14:paraId="4912F506" w14:textId="77777777">
        <w:trPr>
          <w:trHeight w:val="283"/>
        </w:trPr>
        <w:tc>
          <w:tcPr>
            <w:tcW w:w="477" w:type="dxa"/>
            <w:shd w:val="clear" w:color="auto" w:fill="auto"/>
            <w:noWrap/>
            <w:vAlign w:val="bottom"/>
            <w:hideMark/>
          </w:tcPr>
          <w:p w:rsidRPr="00E932EE" w:rsidR="00E932EE" w:rsidP="00EA233F" w:rsidRDefault="00E932EE" w14:paraId="0F326C7A" w14:textId="77777777">
            <w:pPr>
              <w:spacing w:before="0" w:line="240" w:lineRule="auto"/>
              <w:rPr>
                <w:rFonts w:ascii="Arial" w:hAnsi="Arial" w:cs="Arial"/>
                <w:color w:val="000000"/>
                <w:sz w:val="20"/>
                <w:szCs w:val="20"/>
              </w:rPr>
            </w:pPr>
            <w:r w:rsidRPr="00E932EE">
              <w:rPr>
                <w:rFonts w:ascii="Arial" w:hAnsi="Arial" w:cs="Arial"/>
                <w:color w:val="000000"/>
                <w:sz w:val="20"/>
                <w:szCs w:val="20"/>
              </w:rPr>
              <w:t>2013</w:t>
            </w:r>
          </w:p>
        </w:tc>
        <w:tc>
          <w:tcPr>
            <w:tcW w:w="2295" w:type="dxa"/>
            <w:shd w:val="clear" w:color="auto" w:fill="auto"/>
            <w:noWrap/>
            <w:vAlign w:val="bottom"/>
            <w:hideMark/>
          </w:tcPr>
          <w:p w:rsidRPr="00E932EE" w:rsidR="00E932EE" w:rsidP="00EA233F" w:rsidRDefault="00E932EE" w14:paraId="1C782AE9" w14:textId="2B0333E9">
            <w:pPr>
              <w:spacing w:before="0" w:line="240" w:lineRule="auto"/>
              <w:jc w:val="right"/>
              <w:rPr>
                <w:rFonts w:ascii="Arial" w:hAnsi="Arial" w:cs="Arial"/>
                <w:color w:val="000000"/>
                <w:sz w:val="20"/>
                <w:szCs w:val="20"/>
              </w:rPr>
            </w:pPr>
            <w:r w:rsidRPr="00E932EE">
              <w:rPr>
                <w:rFonts w:ascii="Arial" w:hAnsi="Arial" w:cs="Arial"/>
                <w:color w:val="000000"/>
                <w:sz w:val="20"/>
                <w:szCs w:val="20"/>
              </w:rPr>
              <w:t>774</w:t>
            </w:r>
            <w:r w:rsidR="00C13DEE">
              <w:rPr>
                <w:rFonts w:ascii="Arial" w:hAnsi="Arial" w:cs="Arial"/>
                <w:color w:val="000000"/>
                <w:sz w:val="20"/>
                <w:szCs w:val="20"/>
              </w:rPr>
              <w:t>,</w:t>
            </w:r>
            <w:r w:rsidRPr="00E932EE">
              <w:rPr>
                <w:rFonts w:ascii="Arial" w:hAnsi="Arial" w:cs="Arial"/>
                <w:color w:val="000000"/>
                <w:sz w:val="20"/>
                <w:szCs w:val="20"/>
              </w:rPr>
              <w:t>276</w:t>
            </w:r>
          </w:p>
        </w:tc>
      </w:tr>
      <w:tr w:rsidRPr="00E932EE" w:rsidR="00E932EE" w:rsidTr="00E26F7E" w14:paraId="485C3CC7" w14:textId="77777777">
        <w:trPr>
          <w:trHeight w:val="283"/>
        </w:trPr>
        <w:tc>
          <w:tcPr>
            <w:tcW w:w="477" w:type="dxa"/>
            <w:shd w:val="clear" w:color="auto" w:fill="auto"/>
            <w:noWrap/>
            <w:vAlign w:val="bottom"/>
            <w:hideMark/>
          </w:tcPr>
          <w:p w:rsidRPr="00E932EE" w:rsidR="00E932EE" w:rsidP="00EA233F" w:rsidRDefault="00E932EE" w14:paraId="774ED2D9" w14:textId="77777777">
            <w:pPr>
              <w:spacing w:before="0" w:line="240" w:lineRule="auto"/>
              <w:rPr>
                <w:rFonts w:ascii="Arial" w:hAnsi="Arial" w:cs="Arial"/>
                <w:color w:val="000000"/>
                <w:sz w:val="20"/>
                <w:szCs w:val="20"/>
              </w:rPr>
            </w:pPr>
            <w:r w:rsidRPr="00E932EE">
              <w:rPr>
                <w:rFonts w:ascii="Arial" w:hAnsi="Arial" w:cs="Arial"/>
                <w:color w:val="000000"/>
                <w:sz w:val="20"/>
                <w:szCs w:val="20"/>
              </w:rPr>
              <w:t>2014</w:t>
            </w:r>
          </w:p>
        </w:tc>
        <w:tc>
          <w:tcPr>
            <w:tcW w:w="2295" w:type="dxa"/>
            <w:shd w:val="clear" w:color="auto" w:fill="auto"/>
            <w:noWrap/>
            <w:vAlign w:val="bottom"/>
            <w:hideMark/>
          </w:tcPr>
          <w:p w:rsidRPr="00E932EE" w:rsidR="00E932EE" w:rsidP="00EA233F" w:rsidRDefault="00E932EE" w14:paraId="25FBCFB6" w14:textId="34EB46B0">
            <w:pPr>
              <w:spacing w:before="0" w:line="240" w:lineRule="auto"/>
              <w:jc w:val="right"/>
              <w:rPr>
                <w:rFonts w:ascii="Arial" w:hAnsi="Arial" w:cs="Arial"/>
                <w:color w:val="000000"/>
                <w:sz w:val="20"/>
                <w:szCs w:val="20"/>
              </w:rPr>
            </w:pPr>
            <w:r w:rsidRPr="00E932EE">
              <w:rPr>
                <w:rFonts w:ascii="Arial" w:hAnsi="Arial" w:cs="Arial"/>
                <w:color w:val="000000"/>
                <w:sz w:val="20"/>
                <w:szCs w:val="20"/>
              </w:rPr>
              <w:t>861</w:t>
            </w:r>
            <w:r w:rsidR="00C13DEE">
              <w:rPr>
                <w:rFonts w:ascii="Arial" w:hAnsi="Arial" w:cs="Arial"/>
                <w:color w:val="000000"/>
                <w:sz w:val="20"/>
                <w:szCs w:val="20"/>
              </w:rPr>
              <w:t>,</w:t>
            </w:r>
            <w:r w:rsidRPr="00E932EE">
              <w:rPr>
                <w:rFonts w:ascii="Arial" w:hAnsi="Arial" w:cs="Arial"/>
                <w:color w:val="000000"/>
                <w:sz w:val="20"/>
                <w:szCs w:val="20"/>
              </w:rPr>
              <w:t>312</w:t>
            </w:r>
          </w:p>
        </w:tc>
      </w:tr>
      <w:tr w:rsidRPr="00E932EE" w:rsidR="00E932EE" w:rsidTr="00E26F7E" w14:paraId="6C7C865D" w14:textId="77777777">
        <w:trPr>
          <w:trHeight w:val="283"/>
        </w:trPr>
        <w:tc>
          <w:tcPr>
            <w:tcW w:w="477" w:type="dxa"/>
            <w:shd w:val="clear" w:color="auto" w:fill="auto"/>
            <w:noWrap/>
            <w:vAlign w:val="bottom"/>
            <w:hideMark/>
          </w:tcPr>
          <w:p w:rsidRPr="00E932EE" w:rsidR="00E932EE" w:rsidP="00EA233F" w:rsidRDefault="00E932EE" w14:paraId="159478F6" w14:textId="77777777">
            <w:pPr>
              <w:spacing w:before="0" w:line="240" w:lineRule="auto"/>
              <w:rPr>
                <w:rFonts w:ascii="Arial" w:hAnsi="Arial" w:cs="Arial"/>
                <w:color w:val="000000"/>
                <w:sz w:val="20"/>
                <w:szCs w:val="20"/>
              </w:rPr>
            </w:pPr>
            <w:r w:rsidRPr="00E932EE">
              <w:rPr>
                <w:rFonts w:ascii="Arial" w:hAnsi="Arial" w:cs="Arial"/>
                <w:color w:val="000000"/>
                <w:sz w:val="20"/>
                <w:szCs w:val="20"/>
              </w:rPr>
              <w:t>2015</w:t>
            </w:r>
          </w:p>
        </w:tc>
        <w:tc>
          <w:tcPr>
            <w:tcW w:w="2295" w:type="dxa"/>
            <w:shd w:val="clear" w:color="auto" w:fill="auto"/>
            <w:noWrap/>
            <w:vAlign w:val="bottom"/>
            <w:hideMark/>
          </w:tcPr>
          <w:p w:rsidRPr="00E932EE" w:rsidR="00E932EE" w:rsidP="00EA233F" w:rsidRDefault="00E932EE" w14:paraId="7BF12099" w14:textId="4103ADFF">
            <w:pPr>
              <w:spacing w:before="0" w:line="240" w:lineRule="auto"/>
              <w:jc w:val="right"/>
              <w:rPr>
                <w:rFonts w:ascii="Arial" w:hAnsi="Arial" w:cs="Arial"/>
                <w:color w:val="000000"/>
                <w:sz w:val="20"/>
                <w:szCs w:val="20"/>
              </w:rPr>
            </w:pPr>
            <w:r w:rsidRPr="00E932EE">
              <w:rPr>
                <w:rFonts w:ascii="Arial" w:hAnsi="Arial" w:cs="Arial"/>
                <w:color w:val="000000"/>
                <w:sz w:val="20"/>
                <w:szCs w:val="20"/>
              </w:rPr>
              <w:t>914</w:t>
            </w:r>
            <w:r w:rsidR="00C13DEE">
              <w:rPr>
                <w:rFonts w:ascii="Arial" w:hAnsi="Arial" w:cs="Arial"/>
                <w:color w:val="000000"/>
                <w:sz w:val="20"/>
                <w:szCs w:val="20"/>
              </w:rPr>
              <w:t>,</w:t>
            </w:r>
            <w:r w:rsidRPr="00E932EE">
              <w:rPr>
                <w:rFonts w:ascii="Arial" w:hAnsi="Arial" w:cs="Arial"/>
                <w:color w:val="000000"/>
                <w:sz w:val="20"/>
                <w:szCs w:val="20"/>
              </w:rPr>
              <w:t>792</w:t>
            </w:r>
          </w:p>
        </w:tc>
      </w:tr>
      <w:tr w:rsidRPr="00E932EE" w:rsidR="00E932EE" w:rsidTr="00E26F7E" w14:paraId="458BE453" w14:textId="77777777">
        <w:trPr>
          <w:trHeight w:val="283"/>
        </w:trPr>
        <w:tc>
          <w:tcPr>
            <w:tcW w:w="477" w:type="dxa"/>
            <w:shd w:val="clear" w:color="auto" w:fill="auto"/>
            <w:noWrap/>
            <w:vAlign w:val="bottom"/>
            <w:hideMark/>
          </w:tcPr>
          <w:p w:rsidRPr="00E932EE" w:rsidR="00E932EE" w:rsidP="00EA233F" w:rsidRDefault="00E932EE" w14:paraId="003B9680" w14:textId="77777777">
            <w:pPr>
              <w:spacing w:before="0" w:line="240" w:lineRule="auto"/>
              <w:rPr>
                <w:rFonts w:ascii="Arial" w:hAnsi="Arial" w:cs="Arial"/>
                <w:color w:val="000000"/>
                <w:sz w:val="20"/>
                <w:szCs w:val="20"/>
              </w:rPr>
            </w:pPr>
            <w:r w:rsidRPr="00E932EE">
              <w:rPr>
                <w:rFonts w:ascii="Arial" w:hAnsi="Arial" w:cs="Arial"/>
                <w:color w:val="000000"/>
                <w:sz w:val="20"/>
                <w:szCs w:val="20"/>
              </w:rPr>
              <w:t>2016</w:t>
            </w:r>
          </w:p>
        </w:tc>
        <w:tc>
          <w:tcPr>
            <w:tcW w:w="2295" w:type="dxa"/>
            <w:shd w:val="clear" w:color="auto" w:fill="auto"/>
            <w:noWrap/>
            <w:vAlign w:val="bottom"/>
            <w:hideMark/>
          </w:tcPr>
          <w:p w:rsidRPr="00E932EE" w:rsidR="00E932EE" w:rsidP="00EA233F" w:rsidRDefault="00E932EE" w14:paraId="09095198" w14:textId="336543C7">
            <w:pPr>
              <w:spacing w:before="0" w:line="240" w:lineRule="auto"/>
              <w:jc w:val="right"/>
              <w:rPr>
                <w:rFonts w:ascii="Arial" w:hAnsi="Arial" w:cs="Arial"/>
                <w:color w:val="000000"/>
                <w:sz w:val="20"/>
                <w:szCs w:val="20"/>
              </w:rPr>
            </w:pPr>
            <w:r w:rsidRPr="00E932EE">
              <w:rPr>
                <w:rFonts w:ascii="Arial" w:hAnsi="Arial" w:cs="Arial"/>
                <w:color w:val="000000"/>
                <w:sz w:val="20"/>
                <w:szCs w:val="20"/>
              </w:rPr>
              <w:t>1</w:t>
            </w:r>
            <w:r w:rsidR="00C13DEE">
              <w:rPr>
                <w:rFonts w:ascii="Arial" w:hAnsi="Arial" w:cs="Arial"/>
                <w:color w:val="000000"/>
                <w:sz w:val="20"/>
                <w:szCs w:val="20"/>
              </w:rPr>
              <w:t>,</w:t>
            </w:r>
            <w:r w:rsidRPr="00E932EE">
              <w:rPr>
                <w:rFonts w:ascii="Arial" w:hAnsi="Arial" w:cs="Arial"/>
                <w:color w:val="000000"/>
                <w:sz w:val="20"/>
                <w:szCs w:val="20"/>
              </w:rPr>
              <w:t>003</w:t>
            </w:r>
            <w:r w:rsidR="00C13DEE">
              <w:rPr>
                <w:rFonts w:ascii="Arial" w:hAnsi="Arial" w:cs="Arial"/>
                <w:color w:val="000000"/>
                <w:sz w:val="20"/>
                <w:szCs w:val="20"/>
              </w:rPr>
              <w:t>,</w:t>
            </w:r>
            <w:r w:rsidRPr="00E932EE">
              <w:rPr>
                <w:rFonts w:ascii="Arial" w:hAnsi="Arial" w:cs="Arial"/>
                <w:color w:val="000000"/>
                <w:sz w:val="20"/>
                <w:szCs w:val="20"/>
              </w:rPr>
              <w:t>521</w:t>
            </w:r>
          </w:p>
        </w:tc>
      </w:tr>
      <w:tr w:rsidRPr="00E932EE" w:rsidR="00E932EE" w:rsidTr="00E26F7E" w14:paraId="613D42C5" w14:textId="77777777">
        <w:trPr>
          <w:trHeight w:val="283"/>
        </w:trPr>
        <w:tc>
          <w:tcPr>
            <w:tcW w:w="477" w:type="dxa"/>
            <w:shd w:val="clear" w:color="auto" w:fill="auto"/>
            <w:noWrap/>
            <w:vAlign w:val="bottom"/>
            <w:hideMark/>
          </w:tcPr>
          <w:p w:rsidRPr="00E932EE" w:rsidR="00E932EE" w:rsidP="00EA233F" w:rsidRDefault="00E932EE" w14:paraId="22C31D89" w14:textId="77777777">
            <w:pPr>
              <w:spacing w:before="0" w:line="240" w:lineRule="auto"/>
              <w:rPr>
                <w:rFonts w:ascii="Arial" w:hAnsi="Arial" w:cs="Arial"/>
                <w:color w:val="000000"/>
                <w:sz w:val="20"/>
                <w:szCs w:val="20"/>
              </w:rPr>
            </w:pPr>
            <w:r w:rsidRPr="00E932EE">
              <w:rPr>
                <w:rFonts w:ascii="Arial" w:hAnsi="Arial" w:cs="Arial"/>
                <w:color w:val="000000"/>
                <w:sz w:val="20"/>
                <w:szCs w:val="20"/>
              </w:rPr>
              <w:t>2017</w:t>
            </w:r>
          </w:p>
        </w:tc>
        <w:tc>
          <w:tcPr>
            <w:tcW w:w="2295" w:type="dxa"/>
            <w:shd w:val="clear" w:color="auto" w:fill="auto"/>
            <w:noWrap/>
            <w:vAlign w:val="bottom"/>
            <w:hideMark/>
          </w:tcPr>
          <w:p w:rsidRPr="00E932EE" w:rsidR="00E932EE" w:rsidP="00EA233F" w:rsidRDefault="00E932EE" w14:paraId="3250CFB6" w14:textId="7E2D8571">
            <w:pPr>
              <w:spacing w:before="0" w:line="240" w:lineRule="auto"/>
              <w:jc w:val="right"/>
              <w:rPr>
                <w:rFonts w:ascii="Arial" w:hAnsi="Arial" w:cs="Arial"/>
                <w:color w:val="000000"/>
                <w:sz w:val="20"/>
                <w:szCs w:val="20"/>
              </w:rPr>
            </w:pPr>
            <w:r w:rsidRPr="00E932EE">
              <w:rPr>
                <w:rFonts w:ascii="Arial" w:hAnsi="Arial" w:cs="Arial"/>
                <w:color w:val="000000"/>
                <w:sz w:val="20"/>
                <w:szCs w:val="20"/>
              </w:rPr>
              <w:t>1</w:t>
            </w:r>
            <w:r w:rsidR="00C13DEE">
              <w:rPr>
                <w:rFonts w:ascii="Arial" w:hAnsi="Arial" w:cs="Arial"/>
                <w:color w:val="000000"/>
                <w:sz w:val="20"/>
                <w:szCs w:val="20"/>
              </w:rPr>
              <w:t>,</w:t>
            </w:r>
            <w:r w:rsidRPr="00E932EE">
              <w:rPr>
                <w:rFonts w:ascii="Arial" w:hAnsi="Arial" w:cs="Arial"/>
                <w:color w:val="000000"/>
                <w:sz w:val="20"/>
                <w:szCs w:val="20"/>
              </w:rPr>
              <w:t>113</w:t>
            </w:r>
            <w:r w:rsidR="00C13DEE">
              <w:rPr>
                <w:rFonts w:ascii="Arial" w:hAnsi="Arial" w:cs="Arial"/>
                <w:color w:val="000000"/>
                <w:sz w:val="20"/>
                <w:szCs w:val="20"/>
              </w:rPr>
              <w:t>,</w:t>
            </w:r>
            <w:r w:rsidRPr="00E932EE">
              <w:rPr>
                <w:rFonts w:ascii="Arial" w:hAnsi="Arial" w:cs="Arial"/>
                <w:color w:val="000000"/>
                <w:sz w:val="20"/>
                <w:szCs w:val="20"/>
              </w:rPr>
              <w:t>512</w:t>
            </w:r>
          </w:p>
        </w:tc>
      </w:tr>
      <w:tr w:rsidRPr="00E932EE" w:rsidR="00E932EE" w:rsidTr="00E26F7E" w14:paraId="38BA9697" w14:textId="77777777">
        <w:trPr>
          <w:trHeight w:val="283"/>
        </w:trPr>
        <w:tc>
          <w:tcPr>
            <w:tcW w:w="477" w:type="dxa"/>
            <w:shd w:val="clear" w:color="auto" w:fill="auto"/>
            <w:noWrap/>
            <w:vAlign w:val="bottom"/>
            <w:hideMark/>
          </w:tcPr>
          <w:p w:rsidRPr="00E932EE" w:rsidR="00E932EE" w:rsidP="00EA233F" w:rsidRDefault="00E932EE" w14:paraId="06376E9D" w14:textId="77777777">
            <w:pPr>
              <w:spacing w:before="0" w:line="240" w:lineRule="auto"/>
              <w:rPr>
                <w:rFonts w:ascii="Arial" w:hAnsi="Arial" w:cs="Arial"/>
                <w:color w:val="000000"/>
                <w:sz w:val="20"/>
                <w:szCs w:val="20"/>
              </w:rPr>
            </w:pPr>
            <w:r w:rsidRPr="00E932EE">
              <w:rPr>
                <w:rFonts w:ascii="Arial" w:hAnsi="Arial" w:cs="Arial"/>
                <w:color w:val="000000"/>
                <w:sz w:val="20"/>
                <w:szCs w:val="20"/>
              </w:rPr>
              <w:t>2018</w:t>
            </w:r>
          </w:p>
        </w:tc>
        <w:tc>
          <w:tcPr>
            <w:tcW w:w="2295" w:type="dxa"/>
            <w:shd w:val="clear" w:color="auto" w:fill="auto"/>
            <w:noWrap/>
            <w:vAlign w:val="bottom"/>
            <w:hideMark/>
          </w:tcPr>
          <w:p w:rsidRPr="00E932EE" w:rsidR="00E932EE" w:rsidP="00EA233F" w:rsidRDefault="00E932EE" w14:paraId="179B37DB" w14:textId="1432DBF8">
            <w:pPr>
              <w:spacing w:before="0" w:line="240" w:lineRule="auto"/>
              <w:jc w:val="right"/>
              <w:rPr>
                <w:rFonts w:ascii="Arial" w:hAnsi="Arial" w:cs="Arial"/>
                <w:color w:val="000000"/>
                <w:sz w:val="20"/>
                <w:szCs w:val="20"/>
              </w:rPr>
            </w:pPr>
            <w:r w:rsidRPr="00E932EE">
              <w:rPr>
                <w:rFonts w:ascii="Arial" w:hAnsi="Arial" w:cs="Arial"/>
                <w:color w:val="000000"/>
                <w:sz w:val="20"/>
                <w:szCs w:val="20"/>
              </w:rPr>
              <w:t>1</w:t>
            </w:r>
            <w:r w:rsidR="00C13DEE">
              <w:rPr>
                <w:rFonts w:ascii="Arial" w:hAnsi="Arial" w:cs="Arial"/>
                <w:color w:val="000000"/>
                <w:sz w:val="20"/>
                <w:szCs w:val="20"/>
              </w:rPr>
              <w:t>,</w:t>
            </w:r>
            <w:r w:rsidRPr="00E932EE">
              <w:rPr>
                <w:rFonts w:ascii="Arial" w:hAnsi="Arial" w:cs="Arial"/>
                <w:color w:val="000000"/>
                <w:sz w:val="20"/>
                <w:szCs w:val="20"/>
              </w:rPr>
              <w:t>186</w:t>
            </w:r>
            <w:r w:rsidR="00C13DEE">
              <w:rPr>
                <w:rFonts w:ascii="Arial" w:hAnsi="Arial" w:cs="Arial"/>
                <w:color w:val="000000"/>
                <w:sz w:val="20"/>
                <w:szCs w:val="20"/>
              </w:rPr>
              <w:t>,</w:t>
            </w:r>
            <w:r w:rsidRPr="00E932EE">
              <w:rPr>
                <w:rFonts w:ascii="Arial" w:hAnsi="Arial" w:cs="Arial"/>
                <w:color w:val="000000"/>
                <w:sz w:val="20"/>
                <w:szCs w:val="20"/>
              </w:rPr>
              <w:t>830</w:t>
            </w:r>
          </w:p>
        </w:tc>
      </w:tr>
      <w:tr w:rsidRPr="00E932EE" w:rsidR="00E932EE" w:rsidTr="00E26F7E" w14:paraId="79FE10CE" w14:textId="77777777">
        <w:trPr>
          <w:trHeight w:val="283"/>
        </w:trPr>
        <w:tc>
          <w:tcPr>
            <w:tcW w:w="477" w:type="dxa"/>
            <w:shd w:val="clear" w:color="auto" w:fill="auto"/>
            <w:noWrap/>
            <w:vAlign w:val="bottom"/>
            <w:hideMark/>
          </w:tcPr>
          <w:p w:rsidRPr="00E932EE" w:rsidR="00E932EE" w:rsidP="00EA233F" w:rsidRDefault="00E932EE" w14:paraId="692FE403" w14:textId="77777777">
            <w:pPr>
              <w:spacing w:before="0" w:line="240" w:lineRule="auto"/>
              <w:rPr>
                <w:rFonts w:ascii="Arial" w:hAnsi="Arial" w:cs="Arial"/>
                <w:color w:val="000000"/>
                <w:sz w:val="20"/>
                <w:szCs w:val="20"/>
              </w:rPr>
            </w:pPr>
            <w:r w:rsidRPr="00E932EE">
              <w:rPr>
                <w:rFonts w:ascii="Arial" w:hAnsi="Arial" w:cs="Arial"/>
                <w:color w:val="000000"/>
                <w:sz w:val="20"/>
                <w:szCs w:val="20"/>
              </w:rPr>
              <w:t>2019</w:t>
            </w:r>
          </w:p>
        </w:tc>
        <w:tc>
          <w:tcPr>
            <w:tcW w:w="2295" w:type="dxa"/>
            <w:shd w:val="clear" w:color="auto" w:fill="auto"/>
            <w:noWrap/>
            <w:vAlign w:val="bottom"/>
            <w:hideMark/>
          </w:tcPr>
          <w:p w:rsidRPr="00E932EE" w:rsidR="00E932EE" w:rsidP="00EA233F" w:rsidRDefault="00E932EE" w14:paraId="6D4B3A07" w14:textId="1295B44E">
            <w:pPr>
              <w:spacing w:before="0" w:line="240" w:lineRule="auto"/>
              <w:jc w:val="right"/>
              <w:rPr>
                <w:rFonts w:ascii="Arial" w:hAnsi="Arial" w:cs="Arial"/>
                <w:color w:val="000000"/>
                <w:sz w:val="20"/>
                <w:szCs w:val="20"/>
              </w:rPr>
            </w:pPr>
            <w:r w:rsidRPr="00E932EE">
              <w:rPr>
                <w:rFonts w:ascii="Arial" w:hAnsi="Arial" w:cs="Arial"/>
                <w:color w:val="000000"/>
                <w:sz w:val="20"/>
                <w:szCs w:val="20"/>
              </w:rPr>
              <w:t>1</w:t>
            </w:r>
            <w:r w:rsidR="00C13DEE">
              <w:rPr>
                <w:rFonts w:ascii="Arial" w:hAnsi="Arial" w:cs="Arial"/>
                <w:color w:val="000000"/>
                <w:sz w:val="20"/>
                <w:szCs w:val="20"/>
              </w:rPr>
              <w:t>,</w:t>
            </w:r>
            <w:r w:rsidRPr="00E932EE">
              <w:rPr>
                <w:rFonts w:ascii="Arial" w:hAnsi="Arial" w:cs="Arial"/>
                <w:color w:val="000000"/>
                <w:sz w:val="20"/>
                <w:szCs w:val="20"/>
              </w:rPr>
              <w:t>295</w:t>
            </w:r>
            <w:r w:rsidR="00C13DEE">
              <w:rPr>
                <w:rFonts w:ascii="Arial" w:hAnsi="Arial" w:cs="Arial"/>
                <w:color w:val="000000"/>
                <w:sz w:val="20"/>
                <w:szCs w:val="20"/>
              </w:rPr>
              <w:t>,</w:t>
            </w:r>
            <w:r w:rsidRPr="00E932EE">
              <w:rPr>
                <w:rFonts w:ascii="Arial" w:hAnsi="Arial" w:cs="Arial"/>
                <w:color w:val="000000"/>
                <w:sz w:val="20"/>
                <w:szCs w:val="20"/>
              </w:rPr>
              <w:t>524</w:t>
            </w:r>
          </w:p>
        </w:tc>
      </w:tr>
      <w:tr w:rsidRPr="00E932EE" w:rsidR="00E932EE" w:rsidTr="00E26F7E" w14:paraId="146D1161" w14:textId="77777777">
        <w:trPr>
          <w:trHeight w:val="283"/>
        </w:trPr>
        <w:tc>
          <w:tcPr>
            <w:tcW w:w="477" w:type="dxa"/>
            <w:shd w:val="clear" w:color="auto" w:fill="auto"/>
            <w:noWrap/>
            <w:vAlign w:val="bottom"/>
            <w:hideMark/>
          </w:tcPr>
          <w:p w:rsidRPr="00E932EE" w:rsidR="00E932EE" w:rsidP="00EA233F" w:rsidRDefault="00E932EE" w14:paraId="22D7AF31" w14:textId="77777777">
            <w:pPr>
              <w:spacing w:before="0" w:line="240" w:lineRule="auto"/>
              <w:rPr>
                <w:rFonts w:ascii="Arial" w:hAnsi="Arial" w:cs="Arial"/>
                <w:color w:val="000000"/>
                <w:sz w:val="20"/>
                <w:szCs w:val="20"/>
              </w:rPr>
            </w:pPr>
            <w:r w:rsidRPr="00E932EE">
              <w:rPr>
                <w:rFonts w:ascii="Arial" w:hAnsi="Arial" w:cs="Arial"/>
                <w:color w:val="000000"/>
                <w:sz w:val="20"/>
                <w:szCs w:val="20"/>
              </w:rPr>
              <w:t>2020</w:t>
            </w:r>
          </w:p>
        </w:tc>
        <w:tc>
          <w:tcPr>
            <w:tcW w:w="2295" w:type="dxa"/>
            <w:shd w:val="clear" w:color="auto" w:fill="auto"/>
            <w:noWrap/>
            <w:vAlign w:val="bottom"/>
            <w:hideMark/>
          </w:tcPr>
          <w:p w:rsidRPr="00E932EE" w:rsidR="00E932EE" w:rsidP="00EA233F" w:rsidRDefault="00E932EE" w14:paraId="4768A41F" w14:textId="3A34B1CC">
            <w:pPr>
              <w:spacing w:before="0" w:line="240" w:lineRule="auto"/>
              <w:jc w:val="right"/>
              <w:rPr>
                <w:rFonts w:ascii="Arial" w:hAnsi="Arial" w:cs="Arial"/>
                <w:color w:val="000000"/>
                <w:sz w:val="20"/>
                <w:szCs w:val="20"/>
              </w:rPr>
            </w:pPr>
            <w:r w:rsidRPr="00E932EE">
              <w:rPr>
                <w:rFonts w:ascii="Arial" w:hAnsi="Arial" w:cs="Arial"/>
                <w:color w:val="000000"/>
                <w:sz w:val="20"/>
                <w:szCs w:val="20"/>
              </w:rPr>
              <w:t>1</w:t>
            </w:r>
            <w:r w:rsidR="00C13DEE">
              <w:rPr>
                <w:rFonts w:ascii="Arial" w:hAnsi="Arial" w:cs="Arial"/>
                <w:color w:val="000000"/>
                <w:sz w:val="20"/>
                <w:szCs w:val="20"/>
              </w:rPr>
              <w:t>,</w:t>
            </w:r>
            <w:r w:rsidRPr="00E932EE">
              <w:rPr>
                <w:rFonts w:ascii="Arial" w:hAnsi="Arial" w:cs="Arial"/>
                <w:color w:val="000000"/>
                <w:sz w:val="20"/>
                <w:szCs w:val="20"/>
              </w:rPr>
              <w:t>361</w:t>
            </w:r>
            <w:r w:rsidR="00C13DEE">
              <w:rPr>
                <w:rFonts w:ascii="Arial" w:hAnsi="Arial" w:cs="Arial"/>
                <w:color w:val="000000"/>
                <w:sz w:val="20"/>
                <w:szCs w:val="20"/>
              </w:rPr>
              <w:t>,</w:t>
            </w:r>
            <w:r w:rsidRPr="00E932EE">
              <w:rPr>
                <w:rFonts w:ascii="Arial" w:hAnsi="Arial" w:cs="Arial"/>
                <w:color w:val="000000"/>
                <w:sz w:val="20"/>
                <w:szCs w:val="20"/>
              </w:rPr>
              <w:t>265</w:t>
            </w:r>
          </w:p>
        </w:tc>
      </w:tr>
      <w:tr w:rsidRPr="00E932EE" w:rsidR="00E932EE" w:rsidTr="00E26F7E" w14:paraId="1DCDB672" w14:textId="77777777">
        <w:trPr>
          <w:trHeight w:val="283"/>
        </w:trPr>
        <w:tc>
          <w:tcPr>
            <w:tcW w:w="477" w:type="dxa"/>
            <w:shd w:val="clear" w:color="auto" w:fill="auto"/>
            <w:noWrap/>
            <w:vAlign w:val="bottom"/>
            <w:hideMark/>
          </w:tcPr>
          <w:p w:rsidRPr="00E932EE" w:rsidR="00E932EE" w:rsidP="00EA233F" w:rsidRDefault="00E932EE" w14:paraId="37408118" w14:textId="77777777">
            <w:pPr>
              <w:spacing w:before="0" w:line="240" w:lineRule="auto"/>
              <w:rPr>
                <w:rFonts w:ascii="Arial" w:hAnsi="Arial" w:cs="Arial"/>
                <w:color w:val="000000"/>
                <w:sz w:val="20"/>
                <w:szCs w:val="20"/>
              </w:rPr>
            </w:pPr>
            <w:r w:rsidRPr="00E932EE">
              <w:rPr>
                <w:rFonts w:ascii="Arial" w:hAnsi="Arial" w:cs="Arial"/>
                <w:color w:val="000000"/>
                <w:sz w:val="20"/>
                <w:szCs w:val="20"/>
              </w:rPr>
              <w:t>2021</w:t>
            </w:r>
          </w:p>
        </w:tc>
        <w:tc>
          <w:tcPr>
            <w:tcW w:w="2295" w:type="dxa"/>
            <w:shd w:val="clear" w:color="auto" w:fill="auto"/>
            <w:noWrap/>
            <w:vAlign w:val="bottom"/>
            <w:hideMark/>
          </w:tcPr>
          <w:p w:rsidRPr="00E932EE" w:rsidR="00E932EE" w:rsidP="00EA233F" w:rsidRDefault="00E932EE" w14:paraId="40A53ACE" w14:textId="68986A58">
            <w:pPr>
              <w:spacing w:before="0" w:line="240" w:lineRule="auto"/>
              <w:jc w:val="right"/>
              <w:rPr>
                <w:rFonts w:ascii="Arial" w:hAnsi="Arial" w:cs="Arial"/>
                <w:color w:val="000000"/>
                <w:sz w:val="20"/>
                <w:szCs w:val="20"/>
              </w:rPr>
            </w:pPr>
            <w:r w:rsidRPr="00E932EE">
              <w:rPr>
                <w:rFonts w:ascii="Arial" w:hAnsi="Arial" w:cs="Arial"/>
                <w:color w:val="000000"/>
                <w:sz w:val="20"/>
                <w:szCs w:val="20"/>
              </w:rPr>
              <w:t>1</w:t>
            </w:r>
            <w:r w:rsidR="00C13DEE">
              <w:rPr>
                <w:rFonts w:ascii="Arial" w:hAnsi="Arial" w:cs="Arial"/>
                <w:color w:val="000000"/>
                <w:sz w:val="20"/>
                <w:szCs w:val="20"/>
              </w:rPr>
              <w:t>,</w:t>
            </w:r>
            <w:r w:rsidRPr="00E932EE">
              <w:rPr>
                <w:rFonts w:ascii="Arial" w:hAnsi="Arial" w:cs="Arial"/>
                <w:color w:val="000000"/>
                <w:sz w:val="20"/>
                <w:szCs w:val="20"/>
              </w:rPr>
              <w:t>440</w:t>
            </w:r>
            <w:r w:rsidR="00C13DEE">
              <w:rPr>
                <w:rFonts w:ascii="Arial" w:hAnsi="Arial" w:cs="Arial"/>
                <w:color w:val="000000"/>
                <w:sz w:val="20"/>
                <w:szCs w:val="20"/>
              </w:rPr>
              <w:t>,</w:t>
            </w:r>
            <w:r w:rsidRPr="00E932EE">
              <w:rPr>
                <w:rFonts w:ascii="Arial" w:hAnsi="Arial" w:cs="Arial"/>
                <w:color w:val="000000"/>
                <w:sz w:val="20"/>
                <w:szCs w:val="20"/>
              </w:rPr>
              <w:t>878</w:t>
            </w:r>
          </w:p>
        </w:tc>
      </w:tr>
    </w:tbl>
    <w:p w:rsidR="00847903" w:rsidP="00B20CB7" w:rsidRDefault="00847903" w14:paraId="75E7CD8D" w14:textId="3BBF9A36">
      <w:pPr>
        <w:spacing w:before="0" w:line="240" w:lineRule="auto"/>
      </w:pPr>
    </w:p>
    <w:p w:rsidR="00C13DEE" w:rsidRDefault="00C13DEE" w14:paraId="704808E1" w14:textId="16898BA3">
      <w:pPr>
        <w:spacing w:before="0" w:after="160" w:line="259" w:lineRule="auto"/>
      </w:pPr>
      <w:r>
        <w:br w:type="page"/>
      </w:r>
    </w:p>
    <w:p w:rsidR="00847903" w:rsidP="00B20CB7" w:rsidRDefault="00C13DEE" w14:paraId="35BEB545" w14:textId="19DBD443">
      <w:pPr>
        <w:spacing w:before="0" w:line="240" w:lineRule="auto"/>
        <w:rPr>
          <w:b/>
          <w:bCs/>
        </w:rPr>
      </w:pPr>
      <w:r>
        <w:rPr>
          <w:b/>
          <w:bCs/>
        </w:rPr>
        <w:t xml:space="preserve">References: </w:t>
      </w:r>
    </w:p>
    <w:p w:rsidRPr="00B20CB7" w:rsidR="00E26F7E" w:rsidP="00E26F7E" w:rsidRDefault="00E26F7E" w14:paraId="127D8213" w14:textId="77777777">
      <w:pPr>
        <w:widowControl w:val="0"/>
        <w:autoSpaceDE w:val="0"/>
        <w:autoSpaceDN w:val="0"/>
        <w:adjustRightInd w:val="0"/>
        <w:spacing w:before="0" w:line="240" w:lineRule="auto"/>
        <w:ind w:left="640" w:hanging="640"/>
        <w:rPr>
          <w:noProof/>
          <w:sz w:val="20"/>
          <w:szCs w:val="20"/>
        </w:rPr>
      </w:pPr>
      <w:r w:rsidRPr="00B20CB7">
        <w:rPr>
          <w:sz w:val="20"/>
          <w:szCs w:val="20"/>
        </w:rPr>
        <w:fldChar w:fldCharType="begin" w:fldLock="1"/>
      </w:r>
      <w:r w:rsidRPr="00B20CB7">
        <w:rPr>
          <w:sz w:val="20"/>
          <w:szCs w:val="20"/>
        </w:rPr>
        <w:instrText xml:space="preserve">ADDIN Mendeley Bibliography CSL_BIBLIOGRAPHY </w:instrText>
      </w:r>
      <w:r w:rsidRPr="00B20CB7">
        <w:rPr>
          <w:sz w:val="20"/>
          <w:szCs w:val="20"/>
        </w:rPr>
        <w:fldChar w:fldCharType="separate"/>
      </w:r>
      <w:r w:rsidRPr="00B20CB7">
        <w:rPr>
          <w:noProof/>
          <w:sz w:val="20"/>
          <w:szCs w:val="20"/>
        </w:rPr>
        <w:t xml:space="preserve">1. </w:t>
      </w:r>
      <w:r w:rsidRPr="00B20CB7">
        <w:rPr>
          <w:noProof/>
          <w:sz w:val="20"/>
          <w:szCs w:val="20"/>
        </w:rPr>
        <w:tab/>
      </w:r>
      <w:r w:rsidRPr="00B20CB7">
        <w:rPr>
          <w:noProof/>
          <w:sz w:val="20"/>
          <w:szCs w:val="20"/>
        </w:rPr>
        <w:t xml:space="preserve">Kissin W, McLeod C, Sonnefeld J, Stanton A. Experiences of a National Sample of Qualified Addiction Specialists Who Have and Have Not Prescribed Buprenorphine for Opioid Dependence. </w:t>
      </w:r>
      <w:r w:rsidRPr="00B20CB7">
        <w:rPr>
          <w:i/>
          <w:iCs/>
          <w:noProof/>
          <w:sz w:val="20"/>
          <w:szCs w:val="20"/>
        </w:rPr>
        <w:t>J Addict Dis</w:t>
      </w:r>
      <w:r w:rsidRPr="00B20CB7">
        <w:rPr>
          <w:noProof/>
          <w:sz w:val="20"/>
          <w:szCs w:val="20"/>
        </w:rPr>
        <w:t>. 2006;25(4):91-103. doi:10.1300/J069v25n04_09</w:t>
      </w:r>
    </w:p>
    <w:p w:rsidRPr="00B20CB7" w:rsidR="00E26F7E" w:rsidP="00E26F7E" w:rsidRDefault="00E26F7E" w14:paraId="73F3D0DD" w14:textId="77777777">
      <w:pPr>
        <w:widowControl w:val="0"/>
        <w:autoSpaceDE w:val="0"/>
        <w:autoSpaceDN w:val="0"/>
        <w:adjustRightInd w:val="0"/>
        <w:spacing w:before="0" w:line="240" w:lineRule="auto"/>
        <w:ind w:left="640" w:hanging="640"/>
        <w:rPr>
          <w:noProof/>
          <w:sz w:val="20"/>
          <w:szCs w:val="20"/>
        </w:rPr>
      </w:pPr>
      <w:r w:rsidRPr="00B20CB7">
        <w:rPr>
          <w:noProof/>
          <w:sz w:val="20"/>
          <w:szCs w:val="20"/>
        </w:rPr>
        <w:t xml:space="preserve">2. </w:t>
      </w:r>
      <w:r w:rsidRPr="00B20CB7">
        <w:rPr>
          <w:noProof/>
          <w:sz w:val="20"/>
          <w:szCs w:val="20"/>
        </w:rPr>
        <w:tab/>
      </w:r>
      <w:r w:rsidRPr="00B20CB7">
        <w:rPr>
          <w:noProof/>
          <w:sz w:val="20"/>
          <w:szCs w:val="20"/>
        </w:rPr>
        <w:t xml:space="preserve">Jones CM, Campopiano M, Baldwin G, McCance-Katz E. National and State Treatment Need and Capacity for Opioid Agonist Medication-Assisted Treatment. </w:t>
      </w:r>
      <w:r w:rsidRPr="00B20CB7">
        <w:rPr>
          <w:i/>
          <w:iCs/>
          <w:noProof/>
          <w:sz w:val="20"/>
          <w:szCs w:val="20"/>
        </w:rPr>
        <w:t>Am J Public Health</w:t>
      </w:r>
      <w:r w:rsidRPr="00B20CB7">
        <w:rPr>
          <w:noProof/>
          <w:sz w:val="20"/>
          <w:szCs w:val="20"/>
        </w:rPr>
        <w:t>. 2015;105(8):e55-e63. doi:10.2105/AJPH.2015.302664</w:t>
      </w:r>
    </w:p>
    <w:p w:rsidRPr="00B20CB7" w:rsidR="00E26F7E" w:rsidP="00E26F7E" w:rsidRDefault="00E26F7E" w14:paraId="6BA0B6CD" w14:textId="77777777">
      <w:pPr>
        <w:widowControl w:val="0"/>
        <w:autoSpaceDE w:val="0"/>
        <w:autoSpaceDN w:val="0"/>
        <w:adjustRightInd w:val="0"/>
        <w:spacing w:before="0" w:line="240" w:lineRule="auto"/>
        <w:ind w:left="640" w:hanging="640"/>
        <w:rPr>
          <w:noProof/>
          <w:sz w:val="20"/>
          <w:szCs w:val="20"/>
        </w:rPr>
      </w:pPr>
      <w:r w:rsidRPr="00B20CB7">
        <w:rPr>
          <w:noProof/>
          <w:sz w:val="20"/>
          <w:szCs w:val="20"/>
        </w:rPr>
        <w:t xml:space="preserve">3. </w:t>
      </w:r>
      <w:r w:rsidRPr="00B20CB7">
        <w:rPr>
          <w:noProof/>
          <w:sz w:val="20"/>
          <w:szCs w:val="20"/>
        </w:rPr>
        <w:tab/>
      </w:r>
      <w:r w:rsidRPr="00B20CB7">
        <w:rPr>
          <w:noProof/>
          <w:sz w:val="20"/>
          <w:szCs w:val="20"/>
        </w:rPr>
        <w:t xml:space="preserve">Stein BD, Pacula RL, Gordon AJ, et al. Where Is Buprenorphine Dispensed to Treat Opioid Use Disorders? The Role of Private Offices, Opioid Treatment Programs, and Substance Abuse Treatment Facilities in Urban and Rural Counties. </w:t>
      </w:r>
      <w:r w:rsidRPr="00B20CB7">
        <w:rPr>
          <w:i/>
          <w:iCs/>
          <w:noProof/>
          <w:sz w:val="20"/>
          <w:szCs w:val="20"/>
        </w:rPr>
        <w:t>Milbank Q</w:t>
      </w:r>
      <w:r w:rsidRPr="00B20CB7">
        <w:rPr>
          <w:noProof/>
          <w:sz w:val="20"/>
          <w:szCs w:val="20"/>
        </w:rPr>
        <w:t>. 2015;93(3):561-583. doi:10.1111/1468-0009.12137</w:t>
      </w:r>
    </w:p>
    <w:p w:rsidRPr="00B20CB7" w:rsidR="00E26F7E" w:rsidP="00E26F7E" w:rsidRDefault="00E26F7E" w14:paraId="0F91D4E1" w14:textId="77777777">
      <w:pPr>
        <w:widowControl w:val="0"/>
        <w:autoSpaceDE w:val="0"/>
        <w:autoSpaceDN w:val="0"/>
        <w:adjustRightInd w:val="0"/>
        <w:spacing w:before="0" w:line="240" w:lineRule="auto"/>
        <w:ind w:left="640" w:hanging="640"/>
        <w:rPr>
          <w:noProof/>
          <w:sz w:val="20"/>
          <w:szCs w:val="20"/>
        </w:rPr>
      </w:pPr>
      <w:r w:rsidRPr="00B20CB7">
        <w:rPr>
          <w:noProof/>
          <w:sz w:val="20"/>
          <w:szCs w:val="20"/>
        </w:rPr>
        <w:t xml:space="preserve">4. </w:t>
      </w:r>
      <w:r w:rsidRPr="00B20CB7">
        <w:rPr>
          <w:noProof/>
          <w:sz w:val="20"/>
          <w:szCs w:val="20"/>
        </w:rPr>
        <w:tab/>
      </w:r>
      <w:r w:rsidRPr="00B20CB7">
        <w:rPr>
          <w:noProof/>
          <w:sz w:val="20"/>
          <w:szCs w:val="20"/>
        </w:rPr>
        <w:t xml:space="preserve">Fiellin DA. The First Three Years of Buprenorphine in the United States: Experience to Date and Future Directions. </w:t>
      </w:r>
      <w:r w:rsidRPr="00B20CB7">
        <w:rPr>
          <w:i/>
          <w:iCs/>
          <w:noProof/>
          <w:sz w:val="20"/>
          <w:szCs w:val="20"/>
        </w:rPr>
        <w:t>J Addict Med</w:t>
      </w:r>
      <w:r w:rsidRPr="00B20CB7">
        <w:rPr>
          <w:noProof/>
          <w:sz w:val="20"/>
          <w:szCs w:val="20"/>
        </w:rPr>
        <w:t>. 2007;1(2):62-67. doi:10.1097/ADM.0b013e3180473c11</w:t>
      </w:r>
    </w:p>
    <w:p w:rsidRPr="00B20CB7" w:rsidR="00E26F7E" w:rsidP="00E26F7E" w:rsidRDefault="00E26F7E" w14:paraId="68A07FB2" w14:textId="77777777">
      <w:pPr>
        <w:widowControl w:val="0"/>
        <w:autoSpaceDE w:val="0"/>
        <w:autoSpaceDN w:val="0"/>
        <w:adjustRightInd w:val="0"/>
        <w:spacing w:before="0" w:line="240" w:lineRule="auto"/>
        <w:ind w:left="640" w:hanging="640"/>
        <w:rPr>
          <w:noProof/>
          <w:sz w:val="20"/>
          <w:szCs w:val="20"/>
        </w:rPr>
      </w:pPr>
      <w:r w:rsidRPr="00B20CB7">
        <w:rPr>
          <w:noProof/>
          <w:sz w:val="20"/>
          <w:szCs w:val="20"/>
        </w:rPr>
        <w:t xml:space="preserve">5. </w:t>
      </w:r>
      <w:r w:rsidRPr="00B20CB7">
        <w:rPr>
          <w:noProof/>
          <w:sz w:val="20"/>
          <w:szCs w:val="20"/>
        </w:rPr>
        <w:tab/>
      </w:r>
      <w:r w:rsidRPr="00B20CB7">
        <w:rPr>
          <w:noProof/>
          <w:sz w:val="20"/>
          <w:szCs w:val="20"/>
        </w:rPr>
        <w:t xml:space="preserve">Arfken CL, Ph D, Johanson C, et al. Expanding treatment capacity for opioid dependence with office-based treatment with buprenorphine : National surveys of physicians. </w:t>
      </w:r>
      <w:r w:rsidRPr="00B20CB7">
        <w:rPr>
          <w:i/>
          <w:iCs/>
          <w:noProof/>
          <w:sz w:val="20"/>
          <w:szCs w:val="20"/>
        </w:rPr>
        <w:t>J Subst Abuse Treat</w:t>
      </w:r>
      <w:r w:rsidRPr="00B20CB7">
        <w:rPr>
          <w:noProof/>
          <w:sz w:val="20"/>
          <w:szCs w:val="20"/>
        </w:rPr>
        <w:t>. 2010;39(2):96-104. doi:10.1016/j.jsat.2010.05.004</w:t>
      </w:r>
    </w:p>
    <w:p w:rsidRPr="00B20CB7" w:rsidR="00E26F7E" w:rsidP="00E26F7E" w:rsidRDefault="00E26F7E" w14:paraId="704FC633" w14:textId="77777777">
      <w:pPr>
        <w:widowControl w:val="0"/>
        <w:autoSpaceDE w:val="0"/>
        <w:autoSpaceDN w:val="0"/>
        <w:adjustRightInd w:val="0"/>
        <w:spacing w:before="0" w:line="240" w:lineRule="auto"/>
        <w:ind w:left="640" w:hanging="640"/>
        <w:rPr>
          <w:noProof/>
          <w:sz w:val="20"/>
          <w:szCs w:val="20"/>
        </w:rPr>
      </w:pPr>
      <w:r w:rsidRPr="00B20CB7">
        <w:rPr>
          <w:noProof/>
          <w:sz w:val="20"/>
          <w:szCs w:val="20"/>
        </w:rPr>
        <w:t xml:space="preserve">6. </w:t>
      </w:r>
      <w:r w:rsidRPr="00B20CB7">
        <w:rPr>
          <w:noProof/>
          <w:sz w:val="20"/>
          <w:szCs w:val="20"/>
        </w:rPr>
        <w:tab/>
      </w:r>
      <w:r w:rsidRPr="00B20CB7">
        <w:rPr>
          <w:noProof/>
          <w:sz w:val="20"/>
          <w:szCs w:val="20"/>
        </w:rPr>
        <w:t xml:space="preserve">Knudsen HK. The supply of physicians waivered to prescribe buprenorphine for opioid use disorders in the United States: A state-level analysis. </w:t>
      </w:r>
      <w:r w:rsidRPr="00B20CB7">
        <w:rPr>
          <w:i/>
          <w:iCs/>
          <w:noProof/>
          <w:sz w:val="20"/>
          <w:szCs w:val="20"/>
        </w:rPr>
        <w:t>J Stud Alcohol Drugs</w:t>
      </w:r>
      <w:r w:rsidRPr="00B20CB7">
        <w:rPr>
          <w:noProof/>
          <w:sz w:val="20"/>
          <w:szCs w:val="20"/>
        </w:rPr>
        <w:t>. 2015;76(4):644-654. doi:10.15288/jsad.2015.76.644</w:t>
      </w:r>
    </w:p>
    <w:p w:rsidRPr="00B20CB7" w:rsidR="00E26F7E" w:rsidP="00E26F7E" w:rsidRDefault="00E26F7E" w14:paraId="3F737A01" w14:textId="77777777">
      <w:pPr>
        <w:widowControl w:val="0"/>
        <w:autoSpaceDE w:val="0"/>
        <w:autoSpaceDN w:val="0"/>
        <w:adjustRightInd w:val="0"/>
        <w:spacing w:before="0" w:line="240" w:lineRule="auto"/>
        <w:ind w:left="640" w:hanging="640"/>
        <w:rPr>
          <w:noProof/>
          <w:sz w:val="20"/>
          <w:szCs w:val="20"/>
        </w:rPr>
      </w:pPr>
      <w:r w:rsidRPr="00B20CB7">
        <w:rPr>
          <w:noProof/>
          <w:sz w:val="20"/>
          <w:szCs w:val="20"/>
        </w:rPr>
        <w:t xml:space="preserve">7. </w:t>
      </w:r>
      <w:r w:rsidRPr="00B20CB7">
        <w:rPr>
          <w:noProof/>
          <w:sz w:val="20"/>
          <w:szCs w:val="20"/>
        </w:rPr>
        <w:tab/>
      </w:r>
      <w:r w:rsidRPr="00B20CB7">
        <w:rPr>
          <w:noProof/>
          <w:sz w:val="20"/>
          <w:szCs w:val="20"/>
        </w:rPr>
        <w:t>Substance Abuse and Mental Health Services Administration. 2014 Buprenorphine Summit: Report of Proceedings. In: ; 2014. https://www.samhsa.gov/sites/default/files/proceedings_of_2014_buprenorphine_summit_030915_508.pdf. Accessed April 22, 2022.</w:t>
      </w:r>
    </w:p>
    <w:p w:rsidRPr="00B20CB7" w:rsidR="00E26F7E" w:rsidP="00E26F7E" w:rsidRDefault="00E26F7E" w14:paraId="4C1C4C5C" w14:textId="77777777">
      <w:pPr>
        <w:widowControl w:val="0"/>
        <w:autoSpaceDE w:val="0"/>
        <w:autoSpaceDN w:val="0"/>
        <w:adjustRightInd w:val="0"/>
        <w:spacing w:before="0" w:line="240" w:lineRule="auto"/>
        <w:ind w:left="640" w:hanging="640"/>
        <w:rPr>
          <w:noProof/>
          <w:sz w:val="20"/>
          <w:szCs w:val="20"/>
        </w:rPr>
      </w:pPr>
      <w:r w:rsidRPr="00B20CB7">
        <w:rPr>
          <w:noProof/>
          <w:sz w:val="20"/>
          <w:szCs w:val="20"/>
        </w:rPr>
        <w:t xml:space="preserve">8. </w:t>
      </w:r>
      <w:r w:rsidRPr="00B20CB7">
        <w:rPr>
          <w:noProof/>
          <w:sz w:val="20"/>
          <w:szCs w:val="20"/>
        </w:rPr>
        <w:tab/>
      </w:r>
      <w:r w:rsidRPr="00B20CB7">
        <w:rPr>
          <w:noProof/>
          <w:sz w:val="20"/>
          <w:szCs w:val="20"/>
        </w:rPr>
        <w:t>Health and Human Services Department. Medication Assisted Treatment for Opioid Use Disorders. 2016. https://www.federalregister.gov/documents/2016/03/30/2016-07128/medication-assisted-treatment-for-opioid-use-disorders. Accessed August 31, 2022.</w:t>
      </w:r>
    </w:p>
    <w:p w:rsidRPr="00B20CB7" w:rsidR="00E26F7E" w:rsidP="00E26F7E" w:rsidRDefault="00E26F7E" w14:paraId="74AA30A6" w14:textId="77777777">
      <w:pPr>
        <w:widowControl w:val="0"/>
        <w:autoSpaceDE w:val="0"/>
        <w:autoSpaceDN w:val="0"/>
        <w:adjustRightInd w:val="0"/>
        <w:spacing w:before="0" w:line="240" w:lineRule="auto"/>
        <w:ind w:left="640" w:hanging="640"/>
        <w:rPr>
          <w:noProof/>
          <w:sz w:val="20"/>
          <w:szCs w:val="20"/>
        </w:rPr>
      </w:pPr>
      <w:r w:rsidRPr="00B20CB7">
        <w:rPr>
          <w:noProof/>
          <w:sz w:val="20"/>
          <w:szCs w:val="20"/>
        </w:rPr>
        <w:t xml:space="preserve">9. </w:t>
      </w:r>
      <w:r w:rsidRPr="00B20CB7">
        <w:rPr>
          <w:noProof/>
          <w:sz w:val="20"/>
          <w:szCs w:val="20"/>
        </w:rPr>
        <w:tab/>
      </w:r>
      <w:r w:rsidRPr="00B20CB7">
        <w:rPr>
          <w:noProof/>
          <w:sz w:val="20"/>
          <w:szCs w:val="20"/>
        </w:rPr>
        <w:t xml:space="preserve">Abraham AJ, Andrews CM, Harris SJ, Friedmann PD. Availability of Medications for the Treatment of Alcohol and Opioid Use Disorder in the USA. </w:t>
      </w:r>
      <w:r w:rsidRPr="00B20CB7">
        <w:rPr>
          <w:i/>
          <w:iCs/>
          <w:noProof/>
          <w:sz w:val="20"/>
          <w:szCs w:val="20"/>
        </w:rPr>
        <w:t>Neurotherapeutics</w:t>
      </w:r>
      <w:r w:rsidRPr="00B20CB7">
        <w:rPr>
          <w:noProof/>
          <w:sz w:val="20"/>
          <w:szCs w:val="20"/>
        </w:rPr>
        <w:t>. 2020;17(1):55-69. doi:10.1007/s13311-019-00814-4</w:t>
      </w:r>
    </w:p>
    <w:p w:rsidRPr="00B20CB7" w:rsidR="00E26F7E" w:rsidP="00E26F7E" w:rsidRDefault="00E26F7E" w14:paraId="4019383B" w14:textId="77777777">
      <w:pPr>
        <w:widowControl w:val="0"/>
        <w:autoSpaceDE w:val="0"/>
        <w:autoSpaceDN w:val="0"/>
        <w:adjustRightInd w:val="0"/>
        <w:spacing w:before="0" w:line="240" w:lineRule="auto"/>
        <w:ind w:left="640" w:hanging="640"/>
        <w:rPr>
          <w:noProof/>
          <w:sz w:val="20"/>
          <w:szCs w:val="20"/>
        </w:rPr>
      </w:pPr>
      <w:r w:rsidRPr="00B20CB7">
        <w:rPr>
          <w:noProof/>
          <w:sz w:val="20"/>
          <w:szCs w:val="20"/>
        </w:rPr>
        <w:t xml:space="preserve">10. </w:t>
      </w:r>
      <w:r w:rsidRPr="00B20CB7">
        <w:rPr>
          <w:noProof/>
          <w:sz w:val="20"/>
          <w:szCs w:val="20"/>
        </w:rPr>
        <w:tab/>
      </w:r>
      <w:r w:rsidRPr="00B20CB7">
        <w:rPr>
          <w:noProof/>
          <w:sz w:val="20"/>
          <w:szCs w:val="20"/>
        </w:rPr>
        <w:t xml:space="preserve">Duff JH. </w:t>
      </w:r>
      <w:r w:rsidRPr="00B20CB7">
        <w:rPr>
          <w:i/>
          <w:iCs/>
          <w:noProof/>
          <w:sz w:val="20"/>
          <w:szCs w:val="20"/>
        </w:rPr>
        <w:t>Buprenorphine and the Opioid Crisis: A Primer for Congress</w:t>
      </w:r>
      <w:r w:rsidRPr="00B20CB7">
        <w:rPr>
          <w:noProof/>
          <w:sz w:val="20"/>
          <w:szCs w:val="20"/>
        </w:rPr>
        <w:t>.; 2018. https://crsreports.congress.gov.</w:t>
      </w:r>
    </w:p>
    <w:p w:rsidRPr="00B20CB7" w:rsidR="00E26F7E" w:rsidP="00E26F7E" w:rsidRDefault="00E26F7E" w14:paraId="228F06E1" w14:textId="77777777">
      <w:pPr>
        <w:widowControl w:val="0"/>
        <w:autoSpaceDE w:val="0"/>
        <w:autoSpaceDN w:val="0"/>
        <w:adjustRightInd w:val="0"/>
        <w:spacing w:before="0" w:line="240" w:lineRule="auto"/>
        <w:ind w:left="640" w:hanging="640"/>
        <w:rPr>
          <w:noProof/>
          <w:sz w:val="20"/>
          <w:szCs w:val="20"/>
        </w:rPr>
      </w:pPr>
      <w:r w:rsidRPr="00B20CB7">
        <w:rPr>
          <w:noProof/>
          <w:sz w:val="20"/>
          <w:szCs w:val="20"/>
        </w:rPr>
        <w:t xml:space="preserve">11. </w:t>
      </w:r>
      <w:r w:rsidRPr="00B20CB7">
        <w:rPr>
          <w:noProof/>
          <w:sz w:val="20"/>
          <w:szCs w:val="20"/>
        </w:rPr>
        <w:tab/>
      </w:r>
      <w:r w:rsidRPr="00B20CB7">
        <w:rPr>
          <w:noProof/>
          <w:sz w:val="20"/>
          <w:szCs w:val="20"/>
        </w:rPr>
        <w:t xml:space="preserve">Duff JH, Carter JA. </w:t>
      </w:r>
      <w:r w:rsidRPr="00B20CB7">
        <w:rPr>
          <w:i/>
          <w:iCs/>
          <w:noProof/>
          <w:sz w:val="20"/>
          <w:szCs w:val="20"/>
        </w:rPr>
        <w:t>Location of Medication-Assisted Treatment for Opioid Addiction: In Brief</w:t>
      </w:r>
      <w:r w:rsidRPr="00B20CB7">
        <w:rPr>
          <w:noProof/>
          <w:sz w:val="20"/>
          <w:szCs w:val="20"/>
        </w:rPr>
        <w:t>.; 2019. https://crsreports.congress.gov.</w:t>
      </w:r>
    </w:p>
    <w:p w:rsidRPr="00B20CB7" w:rsidR="00E26F7E" w:rsidP="00E26F7E" w:rsidRDefault="00E26F7E" w14:paraId="6407983D" w14:textId="77777777">
      <w:pPr>
        <w:widowControl w:val="0"/>
        <w:autoSpaceDE w:val="0"/>
        <w:autoSpaceDN w:val="0"/>
        <w:adjustRightInd w:val="0"/>
        <w:spacing w:before="0" w:line="240" w:lineRule="auto"/>
        <w:ind w:left="640" w:hanging="640"/>
        <w:rPr>
          <w:noProof/>
          <w:sz w:val="20"/>
          <w:szCs w:val="20"/>
        </w:rPr>
      </w:pPr>
      <w:r w:rsidRPr="00B20CB7">
        <w:rPr>
          <w:noProof/>
          <w:sz w:val="20"/>
          <w:szCs w:val="20"/>
        </w:rPr>
        <w:t xml:space="preserve">12. </w:t>
      </w:r>
      <w:r w:rsidRPr="00B20CB7">
        <w:rPr>
          <w:noProof/>
          <w:sz w:val="20"/>
          <w:szCs w:val="20"/>
        </w:rPr>
        <w:tab/>
      </w:r>
      <w:r w:rsidRPr="00B20CB7">
        <w:rPr>
          <w:noProof/>
          <w:sz w:val="20"/>
          <w:szCs w:val="20"/>
        </w:rPr>
        <w:t>Substance Abuse and Mental Health Services Administration. Practitioner and Program Data. https://www.samhsa.gov/medication-assisted-treatment/practitioner-resources/data-program-data. Published 2022. Accessed August 24, 2022.</w:t>
      </w:r>
    </w:p>
    <w:p w:rsidRPr="00E26F7E" w:rsidR="00E26F7E" w:rsidP="00E26F7E" w:rsidRDefault="00E26F7E" w14:paraId="7A5E660A" w14:textId="12684656">
      <w:pPr>
        <w:spacing w:before="0" w:line="240" w:lineRule="auto"/>
        <w:rPr>
          <w:b/>
        </w:rPr>
      </w:pPr>
      <w:r w:rsidRPr="00B20CB7">
        <w:rPr>
          <w:sz w:val="20"/>
          <w:szCs w:val="20"/>
        </w:rPr>
        <w:fldChar w:fldCharType="end"/>
      </w:r>
    </w:p>
    <w:sectPr w:rsidRPr="00E26F7E" w:rsidR="00E26F7E" w:rsidSect="000E4E1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hideSpellingErrors/>
  <w:hideGrammaticalErrors/>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LUwMTQ3sjQzMTG2NDVW0lEKTi0uzszPAykwrgUAvhBefSwAAAA="/>
  </w:docVars>
  <w:rsids>
    <w:rsidRoot w:val="00776138"/>
    <w:rsid w:val="00036070"/>
    <w:rsid w:val="00041F6C"/>
    <w:rsid w:val="00065151"/>
    <w:rsid w:val="000719AC"/>
    <w:rsid w:val="000E179F"/>
    <w:rsid w:val="000E180E"/>
    <w:rsid w:val="000E4E11"/>
    <w:rsid w:val="000E5338"/>
    <w:rsid w:val="000F0367"/>
    <w:rsid w:val="00117167"/>
    <w:rsid w:val="0015386E"/>
    <w:rsid w:val="00162C0F"/>
    <w:rsid w:val="00164691"/>
    <w:rsid w:val="0017031F"/>
    <w:rsid w:val="00170C8E"/>
    <w:rsid w:val="0017449F"/>
    <w:rsid w:val="001875B9"/>
    <w:rsid w:val="001A3840"/>
    <w:rsid w:val="001B6C3D"/>
    <w:rsid w:val="001E1804"/>
    <w:rsid w:val="001E5C2F"/>
    <w:rsid w:val="001E75B7"/>
    <w:rsid w:val="001F205D"/>
    <w:rsid w:val="001F78F1"/>
    <w:rsid w:val="00203AF6"/>
    <w:rsid w:val="00216CC9"/>
    <w:rsid w:val="0022431B"/>
    <w:rsid w:val="00232AB4"/>
    <w:rsid w:val="00260B19"/>
    <w:rsid w:val="00290A48"/>
    <w:rsid w:val="002A41DF"/>
    <w:rsid w:val="002D7048"/>
    <w:rsid w:val="002F020B"/>
    <w:rsid w:val="00307CD0"/>
    <w:rsid w:val="00351DC0"/>
    <w:rsid w:val="00361373"/>
    <w:rsid w:val="00376C22"/>
    <w:rsid w:val="00376C6C"/>
    <w:rsid w:val="00393F82"/>
    <w:rsid w:val="003B5ACB"/>
    <w:rsid w:val="003C220E"/>
    <w:rsid w:val="003E7331"/>
    <w:rsid w:val="00423DF4"/>
    <w:rsid w:val="00484319"/>
    <w:rsid w:val="004A7323"/>
    <w:rsid w:val="00526C60"/>
    <w:rsid w:val="005332FD"/>
    <w:rsid w:val="00553275"/>
    <w:rsid w:val="0055701D"/>
    <w:rsid w:val="005918B6"/>
    <w:rsid w:val="005B1D46"/>
    <w:rsid w:val="00645D06"/>
    <w:rsid w:val="00651A50"/>
    <w:rsid w:val="0067697A"/>
    <w:rsid w:val="006B5BA6"/>
    <w:rsid w:val="006C4370"/>
    <w:rsid w:val="006D427E"/>
    <w:rsid w:val="006D64A9"/>
    <w:rsid w:val="006D7516"/>
    <w:rsid w:val="00716AC9"/>
    <w:rsid w:val="007226B8"/>
    <w:rsid w:val="00757B97"/>
    <w:rsid w:val="007626C5"/>
    <w:rsid w:val="00767E7A"/>
    <w:rsid w:val="0077573F"/>
    <w:rsid w:val="00776138"/>
    <w:rsid w:val="00796725"/>
    <w:rsid w:val="007971F1"/>
    <w:rsid w:val="007C081F"/>
    <w:rsid w:val="007C0CBF"/>
    <w:rsid w:val="007F7FD9"/>
    <w:rsid w:val="00836BBF"/>
    <w:rsid w:val="0084336A"/>
    <w:rsid w:val="00845887"/>
    <w:rsid w:val="00847903"/>
    <w:rsid w:val="00872E78"/>
    <w:rsid w:val="0088650F"/>
    <w:rsid w:val="008A1D5E"/>
    <w:rsid w:val="008C1E39"/>
    <w:rsid w:val="008E3DB5"/>
    <w:rsid w:val="00946F96"/>
    <w:rsid w:val="00965787"/>
    <w:rsid w:val="009B7098"/>
    <w:rsid w:val="009C45D8"/>
    <w:rsid w:val="009E37D9"/>
    <w:rsid w:val="009F301F"/>
    <w:rsid w:val="00A24C3C"/>
    <w:rsid w:val="00A42C97"/>
    <w:rsid w:val="00A71E93"/>
    <w:rsid w:val="00A97B11"/>
    <w:rsid w:val="00AE5139"/>
    <w:rsid w:val="00B14D42"/>
    <w:rsid w:val="00B1583E"/>
    <w:rsid w:val="00B20CB7"/>
    <w:rsid w:val="00B21047"/>
    <w:rsid w:val="00B32A30"/>
    <w:rsid w:val="00B42EA9"/>
    <w:rsid w:val="00B8113C"/>
    <w:rsid w:val="00B92165"/>
    <w:rsid w:val="00BA2CDA"/>
    <w:rsid w:val="00BA5043"/>
    <w:rsid w:val="00BB0C41"/>
    <w:rsid w:val="00BD6273"/>
    <w:rsid w:val="00BD7FDD"/>
    <w:rsid w:val="00BF6260"/>
    <w:rsid w:val="00C048B6"/>
    <w:rsid w:val="00C13DEE"/>
    <w:rsid w:val="00C328C3"/>
    <w:rsid w:val="00C545C4"/>
    <w:rsid w:val="00C55D1F"/>
    <w:rsid w:val="00CC24F2"/>
    <w:rsid w:val="00CC2E07"/>
    <w:rsid w:val="00CF217A"/>
    <w:rsid w:val="00D159A3"/>
    <w:rsid w:val="00D37E2B"/>
    <w:rsid w:val="00DB2DAE"/>
    <w:rsid w:val="00DB4152"/>
    <w:rsid w:val="00DD1EAA"/>
    <w:rsid w:val="00E145E9"/>
    <w:rsid w:val="00E26F7E"/>
    <w:rsid w:val="00E56C2C"/>
    <w:rsid w:val="00E932EE"/>
    <w:rsid w:val="00E9333B"/>
    <w:rsid w:val="00E96473"/>
    <w:rsid w:val="00EA233F"/>
    <w:rsid w:val="00EA61AE"/>
    <w:rsid w:val="00EC3594"/>
    <w:rsid w:val="00EC5AAC"/>
    <w:rsid w:val="00ED3242"/>
    <w:rsid w:val="00ED6B8D"/>
    <w:rsid w:val="00F048A1"/>
    <w:rsid w:val="00F11D12"/>
    <w:rsid w:val="00F12E78"/>
    <w:rsid w:val="00F525B3"/>
    <w:rsid w:val="00F53ED3"/>
    <w:rsid w:val="00FC2F59"/>
    <w:rsid w:val="00FC42C3"/>
    <w:rsid w:val="01455C6B"/>
    <w:rsid w:val="027CEC85"/>
    <w:rsid w:val="040B5F28"/>
    <w:rsid w:val="0445A338"/>
    <w:rsid w:val="05958109"/>
    <w:rsid w:val="0E669762"/>
    <w:rsid w:val="0E8FB1F1"/>
    <w:rsid w:val="0EAC6DBC"/>
    <w:rsid w:val="0F718B62"/>
    <w:rsid w:val="10D7635F"/>
    <w:rsid w:val="12A92C24"/>
    <w:rsid w:val="13D9AE9B"/>
    <w:rsid w:val="173E9093"/>
    <w:rsid w:val="17BE8C26"/>
    <w:rsid w:val="186C2AB5"/>
    <w:rsid w:val="18DCF7D6"/>
    <w:rsid w:val="1AD2F60C"/>
    <w:rsid w:val="1CD309F2"/>
    <w:rsid w:val="1DEF96CC"/>
    <w:rsid w:val="1E06342E"/>
    <w:rsid w:val="1F89094D"/>
    <w:rsid w:val="20FF5D40"/>
    <w:rsid w:val="22C73D74"/>
    <w:rsid w:val="23534E97"/>
    <w:rsid w:val="2389FF36"/>
    <w:rsid w:val="2565C31F"/>
    <w:rsid w:val="25FEDE36"/>
    <w:rsid w:val="28C94332"/>
    <w:rsid w:val="29E41C0C"/>
    <w:rsid w:val="2BC9A483"/>
    <w:rsid w:val="37019A16"/>
    <w:rsid w:val="384D2B31"/>
    <w:rsid w:val="394FC250"/>
    <w:rsid w:val="3A2551D3"/>
    <w:rsid w:val="3DC0C6C9"/>
    <w:rsid w:val="3E79358D"/>
    <w:rsid w:val="3E835595"/>
    <w:rsid w:val="3E83AE6C"/>
    <w:rsid w:val="3EB3C195"/>
    <w:rsid w:val="3F0FAE49"/>
    <w:rsid w:val="41CBAA3C"/>
    <w:rsid w:val="42324F3D"/>
    <w:rsid w:val="43CE1F9E"/>
    <w:rsid w:val="4DC96ACF"/>
    <w:rsid w:val="519FBE93"/>
    <w:rsid w:val="51D907A7"/>
    <w:rsid w:val="55500843"/>
    <w:rsid w:val="5609F6F3"/>
    <w:rsid w:val="566F09BF"/>
    <w:rsid w:val="56AC78CA"/>
    <w:rsid w:val="570415EE"/>
    <w:rsid w:val="589CC32E"/>
    <w:rsid w:val="58BE10B7"/>
    <w:rsid w:val="591AF63B"/>
    <w:rsid w:val="59D0EED1"/>
    <w:rsid w:val="5AEB0E7D"/>
    <w:rsid w:val="5B3791D1"/>
    <w:rsid w:val="5DD2750C"/>
    <w:rsid w:val="63967432"/>
    <w:rsid w:val="68149010"/>
    <w:rsid w:val="6A6462BB"/>
    <w:rsid w:val="6D24BF51"/>
    <w:rsid w:val="6E8173B4"/>
    <w:rsid w:val="6F00143A"/>
    <w:rsid w:val="701D4415"/>
    <w:rsid w:val="70B515F1"/>
    <w:rsid w:val="73072393"/>
    <w:rsid w:val="7A4A108A"/>
    <w:rsid w:val="7CDC3B38"/>
    <w:rsid w:val="7CFB9BA6"/>
    <w:rsid w:val="7E38DBE5"/>
    <w:rsid w:val="7EDE49D8"/>
    <w:rsid w:val="7FD4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942C7"/>
  <w15:chartTrackingRefBased/>
  <w15:docId w15:val="{5565D970-37A1-4BB7-853F-398C944809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Theme="minorHAnsi"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4E11"/>
    <w:pPr>
      <w:spacing w:before="120" w:after="0" w:line="480" w:lineRule="auto"/>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0E4E11"/>
    <w:pPr>
      <w:spacing w:after="0" w:line="240" w:lineRule="auto"/>
    </w:pPr>
    <w:rPr>
      <w:rFonts w:ascii="Times New Roman" w:hAnsi="Times New Roman" w:eastAsia="Calibri" w:cs="Times New Roman"/>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EA61AE"/>
    <w:pPr>
      <w:spacing w:before="0" w:after="200" w:line="240" w:lineRule="auto"/>
    </w:pPr>
    <w:rPr>
      <w:i/>
      <w:iCs/>
      <w:color w:val="44546A" w:themeColor="text2"/>
      <w:sz w:val="18"/>
      <w:szCs w:val="18"/>
    </w:rPr>
  </w:style>
  <w:style w:type="paragraph" w:styleId="CommentText">
    <w:name w:val="annotation text"/>
    <w:basedOn w:val="Normal"/>
    <w:link w:val="CommentTextChar"/>
    <w:uiPriority w:val="99"/>
    <w:semiHidden/>
    <w:unhideWhenUsed/>
    <w:rsid w:val="001F78F1"/>
    <w:pPr>
      <w:spacing w:line="240" w:lineRule="auto"/>
    </w:pPr>
    <w:rPr>
      <w:sz w:val="20"/>
      <w:szCs w:val="20"/>
    </w:rPr>
  </w:style>
  <w:style w:type="character" w:styleId="CommentTextChar" w:customStyle="1">
    <w:name w:val="Comment Text Char"/>
    <w:basedOn w:val="DefaultParagraphFont"/>
    <w:link w:val="CommentText"/>
    <w:uiPriority w:val="99"/>
    <w:semiHidden/>
    <w:rsid w:val="001F78F1"/>
    <w:rPr>
      <w:rFonts w:ascii="Times New Roman" w:hAnsi="Times New Roman" w:eastAsia="Times New Roman" w:cs="Times New Roman"/>
      <w:szCs w:val="20"/>
    </w:rPr>
  </w:style>
  <w:style w:type="character" w:styleId="CommentReference">
    <w:name w:val="annotation reference"/>
    <w:basedOn w:val="DefaultParagraphFont"/>
    <w:uiPriority w:val="99"/>
    <w:semiHidden/>
    <w:unhideWhenUsed/>
    <w:rsid w:val="001F78F1"/>
    <w:rPr>
      <w:sz w:val="16"/>
      <w:szCs w:val="16"/>
    </w:rPr>
  </w:style>
  <w:style w:type="paragraph" w:styleId="CommentSubject">
    <w:name w:val="annotation subject"/>
    <w:basedOn w:val="CommentText"/>
    <w:next w:val="CommentText"/>
    <w:link w:val="CommentSubjectChar"/>
    <w:uiPriority w:val="99"/>
    <w:semiHidden/>
    <w:unhideWhenUsed/>
    <w:rsid w:val="00A24C3C"/>
    <w:rPr>
      <w:b/>
      <w:bCs/>
    </w:rPr>
  </w:style>
  <w:style w:type="character" w:styleId="CommentSubjectChar" w:customStyle="1">
    <w:name w:val="Comment Subject Char"/>
    <w:basedOn w:val="CommentTextChar"/>
    <w:link w:val="CommentSubject"/>
    <w:uiPriority w:val="99"/>
    <w:semiHidden/>
    <w:rsid w:val="00A24C3C"/>
    <w:rPr>
      <w:rFonts w:ascii="Times New Roman" w:hAnsi="Times New Roman" w:eastAsia="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8810">
      <w:bodyDiv w:val="1"/>
      <w:marLeft w:val="0"/>
      <w:marRight w:val="0"/>
      <w:marTop w:val="0"/>
      <w:marBottom w:val="0"/>
      <w:divBdr>
        <w:top w:val="none" w:sz="0" w:space="0" w:color="auto"/>
        <w:left w:val="none" w:sz="0" w:space="0" w:color="auto"/>
        <w:bottom w:val="none" w:sz="0" w:space="0" w:color="auto"/>
        <w:right w:val="none" w:sz="0" w:space="0" w:color="auto"/>
      </w:divBdr>
    </w:div>
    <w:div w:id="453209178">
      <w:bodyDiv w:val="1"/>
      <w:marLeft w:val="0"/>
      <w:marRight w:val="0"/>
      <w:marTop w:val="0"/>
      <w:marBottom w:val="0"/>
      <w:divBdr>
        <w:top w:val="none" w:sz="0" w:space="0" w:color="auto"/>
        <w:left w:val="none" w:sz="0" w:space="0" w:color="auto"/>
        <w:bottom w:val="none" w:sz="0" w:space="0" w:color="auto"/>
        <w:right w:val="none" w:sz="0" w:space="0" w:color="auto"/>
      </w:divBdr>
    </w:div>
    <w:div w:id="1550720906">
      <w:bodyDiv w:val="1"/>
      <w:marLeft w:val="0"/>
      <w:marRight w:val="0"/>
      <w:marTop w:val="0"/>
      <w:marBottom w:val="0"/>
      <w:divBdr>
        <w:top w:val="none" w:sz="0" w:space="0" w:color="auto"/>
        <w:left w:val="none" w:sz="0" w:space="0" w:color="auto"/>
        <w:bottom w:val="none" w:sz="0" w:space="0" w:color="auto"/>
        <w:right w:val="none" w:sz="0" w:space="0" w:color="auto"/>
      </w:divBdr>
    </w:div>
    <w:div w:id="1807434796">
      <w:bodyDiv w:val="1"/>
      <w:marLeft w:val="0"/>
      <w:marRight w:val="0"/>
      <w:marTop w:val="0"/>
      <w:marBottom w:val="0"/>
      <w:divBdr>
        <w:top w:val="none" w:sz="0" w:space="0" w:color="auto"/>
        <w:left w:val="none" w:sz="0" w:space="0" w:color="auto"/>
        <w:bottom w:val="none" w:sz="0" w:space="0" w:color="auto"/>
        <w:right w:val="none" w:sz="0" w:space="0" w:color="auto"/>
      </w:divBdr>
    </w:div>
    <w:div w:id="1873377553">
      <w:bodyDiv w:val="1"/>
      <w:marLeft w:val="0"/>
      <w:marRight w:val="0"/>
      <w:marTop w:val="0"/>
      <w:marBottom w:val="0"/>
      <w:divBdr>
        <w:top w:val="none" w:sz="0" w:space="0" w:color="auto"/>
        <w:left w:val="none" w:sz="0" w:space="0" w:color="auto"/>
        <w:bottom w:val="none" w:sz="0" w:space="0" w:color="auto"/>
        <w:right w:val="none" w:sz="0" w:space="0" w:color="auto"/>
      </w:divBdr>
    </w:div>
    <w:div w:id="206112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83296C2D9DE541958AD9D9A6E59D08" ma:contentTypeVersion="15" ma:contentTypeDescription="Create a new document." ma:contentTypeScope="" ma:versionID="8480ddd47ffc29e30036334b38ac108d">
  <xsd:schema xmlns:xsd="http://www.w3.org/2001/XMLSchema" xmlns:xs="http://www.w3.org/2001/XMLSchema" xmlns:p="http://schemas.microsoft.com/office/2006/metadata/properties" xmlns:ns2="12e73323-2992-4b61-9f89-f2ff99442528" xmlns:ns3="60bd3312-76b2-43ff-ab1e-17ba520e0d12" xmlns:ns4="d1680238-2266-4ab1-9ebd-8eb4f05a8cbc" targetNamespace="http://schemas.microsoft.com/office/2006/metadata/properties" ma:root="true" ma:fieldsID="36f2b6a034dbe630af55d1d5f818da0a" ns2:_="" ns3:_="" ns4:_="">
    <xsd:import namespace="12e73323-2992-4b61-9f89-f2ff99442528"/>
    <xsd:import namespace="60bd3312-76b2-43ff-ab1e-17ba520e0d12"/>
    <xsd:import namespace="d1680238-2266-4ab1-9ebd-8eb4f05a8c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73323-2992-4b61-9f89-f2ff99442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60c9a04-0a06-4c47-89e2-9dbcedd85f4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0bd3312-76b2-43ff-ab1e-17ba520e0d1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680238-2266-4ab1-9ebd-8eb4f05a8cb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69fc1adc-ec05-491f-a4fb-630c532ad9bc}" ma:internalName="TaxCatchAll" ma:showField="CatchAllData" ma:web="60bd3312-76b2-43ff-ab1e-17ba520e0d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d1680238-2266-4ab1-9ebd-8eb4f05a8cbc" xsi:nil="true"/>
    <lcf76f155ced4ddcb4097134ff3c332f xmlns="12e73323-2992-4b61-9f89-f2ff994425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654F270-0204-4A1B-AC32-86D23E287A94}">
  <ds:schemaRefs>
    <ds:schemaRef ds:uri="http://schemas.openxmlformats.org/officeDocument/2006/bibliography"/>
  </ds:schemaRefs>
</ds:datastoreItem>
</file>

<file path=customXml/itemProps2.xml><?xml version="1.0" encoding="utf-8"?>
<ds:datastoreItem xmlns:ds="http://schemas.openxmlformats.org/officeDocument/2006/customXml" ds:itemID="{3EB2B500-108C-451F-A8BB-248C5B6D60E4}">
  <ds:schemaRefs>
    <ds:schemaRef ds:uri="http://schemas.microsoft.com/sharepoint/v3/contenttype/forms"/>
  </ds:schemaRefs>
</ds:datastoreItem>
</file>

<file path=customXml/itemProps3.xml><?xml version="1.0" encoding="utf-8"?>
<ds:datastoreItem xmlns:ds="http://schemas.openxmlformats.org/officeDocument/2006/customXml" ds:itemID="{70B6839E-0382-4A9B-BBFD-226D432EB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73323-2992-4b61-9f89-f2ff99442528"/>
    <ds:schemaRef ds:uri="60bd3312-76b2-43ff-ab1e-17ba520e0d12"/>
    <ds:schemaRef ds:uri="d1680238-2266-4ab1-9ebd-8eb4f05a8c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07C6F8-69DB-4A05-BB8B-7A97B0957EFB}">
  <ds:schemaRefs>
    <ds:schemaRef ds:uri="http://schemas.microsoft.com/office/2006/metadata/properties"/>
    <ds:schemaRef ds:uri="http://schemas.microsoft.com/office/infopath/2007/PartnerControls"/>
    <ds:schemaRef ds:uri="d1680238-2266-4ab1-9ebd-8eb4f05a8cbc"/>
    <ds:schemaRef ds:uri="12e73323-2992-4b61-9f89-f2ff99442528"/>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8220</Words>
  <Characters>46856</Characters>
  <Application>Microsoft Office Word</Application>
  <DocSecurity>4</DocSecurity>
  <Lines>390</Lines>
  <Paragraphs>109</Paragraphs>
  <ScaleCrop>false</ScaleCrop>
  <Company/>
  <LinksUpToDate>false</LinksUpToDate>
  <CharactersWithSpaces>54967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Stringfellow, Erin J.,PHD</dc:creator>
  <cp:keywords/>
  <dc:description/>
  <cp:lastModifiedBy>Stringfellow, Erin J.,PHD</cp:lastModifiedBy>
  <cp:revision>115</cp:revision>
  <dcterms:created xsi:type="dcterms:W3CDTF">2022-08-24T22:08:00Z</dcterms:created>
  <dcterms:modified xsi:type="dcterms:W3CDTF">2022-09-13T16:39:00Z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http://www.zotero.org/styles/jama</vt:lpwstr>
  </property>
  <property fmtid="{D5CDD505-2E9C-101B-9397-08002B2CF9AE}" pid="9" name="Mendeley Recent Style Name 3_1">
    <vt:lpwstr>JAMA (The Journal of the American Medical Association)</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http://www.zotero.org/styles/pnas</vt:lpwstr>
  </property>
  <property fmtid="{D5CDD505-2E9C-101B-9397-08002B2CF9AE}" pid="13" name="Mendeley Recent Style Name 5_1">
    <vt:lpwstr>Proceedings of the National Academy of Sciences of the United States of America</vt:lpwstr>
  </property>
  <property fmtid="{D5CDD505-2E9C-101B-9397-08002B2CF9AE}" pid="14" name="Mendeley Recent Style Id 6_1">
    <vt:lpwstr>http://www.zotero.org/styles/science</vt:lpwstr>
  </property>
  <property fmtid="{D5CDD505-2E9C-101B-9397-08002B2CF9AE}" pid="15" name="Mendeley Recent Style Name 6_1">
    <vt:lpwstr>Science</vt:lpwstr>
  </property>
  <property fmtid="{D5CDD505-2E9C-101B-9397-08002B2CF9AE}" pid="16" name="Mendeley Recent Style Id 7_1">
    <vt:lpwstr>http://www.zotero.org/styles/the-lancet</vt:lpwstr>
  </property>
  <property fmtid="{D5CDD505-2E9C-101B-9397-08002B2CF9AE}" pid="17" name="Mendeley Recent Style Name 7_1">
    <vt:lpwstr>The Lancet</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http://www.zotero.org/styles/vancouver-superscript</vt:lpwstr>
  </property>
  <property fmtid="{D5CDD505-2E9C-101B-9397-08002B2CF9AE}" pid="21" name="Mendeley Recent Style Name 9_1">
    <vt:lpwstr>Vancouver (superscript)</vt:lpwstr>
  </property>
  <property fmtid="{D5CDD505-2E9C-101B-9397-08002B2CF9AE}" pid="22" name="Mendeley Document_1">
    <vt:lpwstr>True</vt:lpwstr>
  </property>
  <property fmtid="{D5CDD505-2E9C-101B-9397-08002B2CF9AE}" pid="23" name="Mendeley Unique User Id_1">
    <vt:lpwstr>987f96b0-2db6-3e0f-8992-5fa895728fbe</vt:lpwstr>
  </property>
  <property fmtid="{D5CDD505-2E9C-101B-9397-08002B2CF9AE}" pid="24" name="Mendeley Citation Style_1">
    <vt:lpwstr>http://www.zotero.org/styles/american-medical-association</vt:lpwstr>
  </property>
  <property fmtid="{D5CDD505-2E9C-101B-9397-08002B2CF9AE}" pid="25" name="ContentTypeId">
    <vt:lpwstr>0x010100A183296C2D9DE541958AD9D9A6E59D08</vt:lpwstr>
  </property>
  <property fmtid="{D5CDD505-2E9C-101B-9397-08002B2CF9AE}" pid="26" name="MediaServiceImageTags">
    <vt:lpwstr/>
  </property>
</Properties>
</file>