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CBD0B" w14:textId="5FD7A49B" w:rsidR="00D27F20" w:rsidRPr="00D27F20" w:rsidRDefault="00D27F20" w:rsidP="00BC13A7">
      <w:pPr>
        <w:pStyle w:val="Heading1"/>
        <w:jc w:val="center"/>
      </w:pPr>
      <w:r w:rsidRPr="00D27F20">
        <w:t xml:space="preserve">Data Processing Agreement </w:t>
      </w:r>
      <w:r w:rsidRPr="00BC13A7">
        <w:rPr>
          <w:rStyle w:val="IntenseEmphasis"/>
        </w:rPr>
        <w:t>for</w:t>
      </w:r>
      <w:r w:rsidRPr="00D27F20">
        <w:t xml:space="preserve"> </w:t>
      </w:r>
      <w:r>
        <w:t>Nexelus</w:t>
      </w:r>
      <w:r w:rsidRPr="00D27F20">
        <w:t xml:space="preserve"> Services</w:t>
      </w:r>
    </w:p>
    <w:p w14:paraId="121D240B" w14:textId="77777777" w:rsidR="00D27F20" w:rsidRPr="00D27F20" w:rsidRDefault="00D27F20" w:rsidP="00BC13A7">
      <w:pPr>
        <w:jc w:val="center"/>
        <w:rPr>
          <w:b/>
          <w:bCs/>
        </w:rPr>
      </w:pPr>
      <w:r w:rsidRPr="00D27F20">
        <w:rPr>
          <w:b/>
          <w:bCs/>
        </w:rPr>
        <w:t>(“Data Processing Agreement”)</w:t>
      </w:r>
    </w:p>
    <w:p w14:paraId="29EF21E6" w14:textId="0636D104" w:rsidR="00D27F20" w:rsidRPr="00D27F20" w:rsidRDefault="00D27F20" w:rsidP="00BC13A7">
      <w:pPr>
        <w:jc w:val="center"/>
      </w:pPr>
      <w:r w:rsidRPr="00D27F20">
        <w:t xml:space="preserve">Version </w:t>
      </w:r>
      <w:r>
        <w:t>August 15, 2024</w:t>
      </w:r>
    </w:p>
    <w:p w14:paraId="55F42ACE" w14:textId="77777777" w:rsidR="00D27F20" w:rsidRPr="00D27F20" w:rsidRDefault="00D27F20" w:rsidP="00D27F20"/>
    <w:p w14:paraId="131AFECD" w14:textId="77777777" w:rsidR="00D27F20" w:rsidRPr="00D27F20" w:rsidRDefault="00D27F20" w:rsidP="00D27F20">
      <w:pPr>
        <w:numPr>
          <w:ilvl w:val="0"/>
          <w:numId w:val="1"/>
        </w:numPr>
        <w:rPr>
          <w:b/>
          <w:bCs/>
        </w:rPr>
      </w:pPr>
      <w:r w:rsidRPr="00D27F20">
        <w:rPr>
          <w:b/>
          <w:bCs/>
        </w:rPr>
        <w:t>Scope and Applicability</w:t>
      </w:r>
    </w:p>
    <w:p w14:paraId="5A48D7B1" w14:textId="6633F19A" w:rsidR="00D27F20" w:rsidRPr="00D27F20" w:rsidRDefault="00D27F20" w:rsidP="00BC13A7">
      <w:pPr>
        <w:pStyle w:val="ListParagraph"/>
        <w:numPr>
          <w:ilvl w:val="1"/>
          <w:numId w:val="11"/>
        </w:numPr>
      </w:pPr>
      <w:r w:rsidRPr="00D27F20">
        <w:t xml:space="preserve">This Data Processing Agreement applies to </w:t>
      </w:r>
      <w:r>
        <w:t>Nexelus’</w:t>
      </w:r>
      <w:r w:rsidRPr="00D27F20">
        <w:t xml:space="preserve"> Processing of Personal Information on Your behalf as a Processor for the provision of the Services specified in Your Services Agreement. Unless otherwise expressly stated in Your Services Agreement, this version of the Data Processing Agreement shall be effective and remain in force for the term of Your Services Agreement.</w:t>
      </w:r>
    </w:p>
    <w:p w14:paraId="64E4D63B" w14:textId="7CB15C3B" w:rsidR="00D27F20" w:rsidRPr="00D27F20" w:rsidRDefault="00D27F20" w:rsidP="00BC13A7">
      <w:pPr>
        <w:pStyle w:val="ListParagraph"/>
        <w:numPr>
          <w:ilvl w:val="1"/>
          <w:numId w:val="11"/>
        </w:numPr>
      </w:pPr>
      <w:r w:rsidRPr="00D27F20">
        <w:t xml:space="preserve">In addition, any Processing of Personal Information subject to Applicable European Data Protection Law is subject to the additional terms of the </w:t>
      </w:r>
      <w:hyperlink w:anchor="_Exhibit_1:_European_1" w:history="1">
        <w:r w:rsidRPr="00AC1161">
          <w:rPr>
            <w:rStyle w:val="Hyperlink"/>
          </w:rPr>
          <w:t xml:space="preserve">European DPA </w:t>
        </w:r>
        <w:r w:rsidRPr="00AC1161">
          <w:rPr>
            <w:rStyle w:val="Hyperlink"/>
          </w:rPr>
          <w:t>A</w:t>
        </w:r>
        <w:r w:rsidRPr="00AC1161">
          <w:rPr>
            <w:rStyle w:val="Hyperlink"/>
          </w:rPr>
          <w:t>d</w:t>
        </w:r>
        <w:r w:rsidRPr="00AC1161">
          <w:rPr>
            <w:rStyle w:val="Hyperlink"/>
          </w:rPr>
          <w:t>d</w:t>
        </w:r>
        <w:r w:rsidRPr="00AC1161">
          <w:rPr>
            <w:rStyle w:val="Hyperlink"/>
          </w:rPr>
          <w:t>endum</w:t>
        </w:r>
      </w:hyperlink>
      <w:r w:rsidRPr="00D27F20">
        <w:t xml:space="preserve"> set out in Exhibit 1 and the </w:t>
      </w:r>
      <w:r>
        <w:t>Nexelus</w:t>
      </w:r>
      <w:r w:rsidRPr="00D27F20">
        <w:t xml:space="preserve"> Processor Code referenced therein.</w:t>
      </w:r>
    </w:p>
    <w:p w14:paraId="7E785BA2" w14:textId="77777777" w:rsidR="00D27F20" w:rsidRPr="00D27F20" w:rsidRDefault="00D27F20" w:rsidP="00D27F20">
      <w:pPr>
        <w:numPr>
          <w:ilvl w:val="0"/>
          <w:numId w:val="1"/>
        </w:numPr>
        <w:rPr>
          <w:b/>
          <w:bCs/>
        </w:rPr>
      </w:pPr>
      <w:r w:rsidRPr="00D27F20">
        <w:rPr>
          <w:b/>
          <w:bCs/>
        </w:rPr>
        <w:t>Responsibility for Processing of Personal Information and Your instructions</w:t>
      </w:r>
    </w:p>
    <w:p w14:paraId="0A9EC22F" w14:textId="4D427494" w:rsidR="00D27F20" w:rsidRPr="00D27F20" w:rsidRDefault="00D27F20" w:rsidP="00BC13A7">
      <w:pPr>
        <w:pStyle w:val="ListParagraph"/>
        <w:numPr>
          <w:ilvl w:val="1"/>
          <w:numId w:val="13"/>
        </w:numPr>
      </w:pPr>
      <w:r w:rsidRPr="00D27F20">
        <w:t xml:space="preserve">You are a Controller and </w:t>
      </w:r>
      <w:r>
        <w:t>Nexelus</w:t>
      </w:r>
      <w:r w:rsidRPr="00D27F20">
        <w:t xml:space="preserve"> is a Processor for the Processing of Personal Information as part of the provision of the Services. Each party is responsible for compliance with its respective obligations under Applicable Data Protection Law.</w:t>
      </w:r>
    </w:p>
    <w:p w14:paraId="2AACDC06" w14:textId="446A337F" w:rsidR="00D27F20" w:rsidRPr="00D27F20" w:rsidRDefault="00D27F20" w:rsidP="00BC13A7">
      <w:pPr>
        <w:pStyle w:val="ListParagraph"/>
        <w:numPr>
          <w:ilvl w:val="1"/>
          <w:numId w:val="13"/>
        </w:numPr>
      </w:pPr>
      <w:r>
        <w:t>Nexelus</w:t>
      </w:r>
      <w:r w:rsidRPr="00D27F20">
        <w:t xml:space="preserve"> will Process Personal Information solely for the purpose of providing the Services in accordance with the Services Agreement and this Data Processing Agreement.</w:t>
      </w:r>
    </w:p>
    <w:p w14:paraId="6E2B8DEE" w14:textId="6EF7D857" w:rsidR="00D27F20" w:rsidRDefault="00D27F20" w:rsidP="00BC13A7">
      <w:pPr>
        <w:numPr>
          <w:ilvl w:val="1"/>
          <w:numId w:val="13"/>
        </w:numPr>
      </w:pPr>
      <w:r w:rsidRPr="00D27F20">
        <w:t xml:space="preserve">In addition to Your instructions incorporated into the Services Agreement, </w:t>
      </w:r>
      <w:r w:rsidRPr="00D27F20">
        <w:t>you</w:t>
      </w:r>
      <w:r w:rsidRPr="00D27F20">
        <w:t xml:space="preserve"> may provide additional instructions in writing to </w:t>
      </w:r>
      <w:r>
        <w:t>Nexelus</w:t>
      </w:r>
      <w:r w:rsidRPr="00D27F20">
        <w:t xml:space="preserve"> </w:t>
      </w:r>
      <w:r w:rsidRPr="00D27F20">
        <w:t>about</w:t>
      </w:r>
      <w:r w:rsidRPr="00D27F20">
        <w:t xml:space="preserve"> Processing of Personal Information in accordance with Applicable Data Protection Law. </w:t>
      </w:r>
      <w:r>
        <w:t>Nexelus</w:t>
      </w:r>
      <w:r w:rsidRPr="00D27F20">
        <w:t xml:space="preserve"> will promptly comply with all such instructions to the extent necessary for </w:t>
      </w:r>
      <w:r>
        <w:t>Nexelus</w:t>
      </w:r>
      <w:r w:rsidRPr="00D27F20">
        <w:t xml:space="preserve"> to </w:t>
      </w:r>
    </w:p>
    <w:p w14:paraId="0F091D6B" w14:textId="6BBA3C34" w:rsidR="00D27F20" w:rsidRDefault="00D27F20" w:rsidP="00D27F20">
      <w:pPr>
        <w:pStyle w:val="ListParagraph"/>
        <w:numPr>
          <w:ilvl w:val="0"/>
          <w:numId w:val="5"/>
        </w:numPr>
      </w:pPr>
      <w:r w:rsidRPr="00D27F20">
        <w:t>comply with its Processor obligations under Applicable Data Protection Law; or</w:t>
      </w:r>
    </w:p>
    <w:p w14:paraId="3EEFF43F" w14:textId="71930B29" w:rsidR="00D27F20" w:rsidRPr="00D27F20" w:rsidRDefault="00D27F20" w:rsidP="00D27F20">
      <w:pPr>
        <w:pStyle w:val="ListParagraph"/>
        <w:numPr>
          <w:ilvl w:val="0"/>
          <w:numId w:val="5"/>
        </w:numPr>
      </w:pPr>
      <w:r w:rsidRPr="00D27F20">
        <w:t xml:space="preserve">assist </w:t>
      </w:r>
      <w:r w:rsidR="00A21C54">
        <w:t>y</w:t>
      </w:r>
      <w:r w:rsidRPr="00D27F20">
        <w:t>ou to comply with Your Controller obligations under Applicable Data Protection Law relevant to Your use of the Services.</w:t>
      </w:r>
    </w:p>
    <w:p w14:paraId="5E0A6FC7" w14:textId="2D83115C" w:rsidR="00D27F20" w:rsidRPr="00D27F20" w:rsidRDefault="00D27F20" w:rsidP="00BC13A7">
      <w:pPr>
        <w:pStyle w:val="ListParagraph"/>
        <w:numPr>
          <w:ilvl w:val="1"/>
          <w:numId w:val="13"/>
        </w:numPr>
      </w:pPr>
      <w:r>
        <w:t>Nexelus</w:t>
      </w:r>
      <w:r w:rsidRPr="00D27F20">
        <w:t xml:space="preserve"> will follow </w:t>
      </w:r>
      <w:r w:rsidR="00A21C54">
        <w:t>y</w:t>
      </w:r>
      <w:r w:rsidRPr="00D27F20">
        <w:t xml:space="preserve">our instructions at no additional cost to </w:t>
      </w:r>
      <w:r w:rsidR="00A21C54">
        <w:t>y</w:t>
      </w:r>
      <w:r w:rsidRPr="00D27F20">
        <w:t xml:space="preserve">ou and within the timeframes reasonably necessary for </w:t>
      </w:r>
      <w:r w:rsidR="00A21C54">
        <w:t>y</w:t>
      </w:r>
      <w:r w:rsidRPr="00D27F20">
        <w:t xml:space="preserve">ou to comply with your obligations under Applicable Data Protection Law. To the extent </w:t>
      </w:r>
      <w:r>
        <w:t>Nexelus</w:t>
      </w:r>
      <w:r w:rsidRPr="00D27F20">
        <w:t xml:space="preserve"> expects to incur additional charges or fees not covered by the fees for Services payable under the Services Agreement, such as additional license or third</w:t>
      </w:r>
      <w:r>
        <w:t>-</w:t>
      </w:r>
      <w:r w:rsidRPr="00D27F20">
        <w:t xml:space="preserve">party contractor fees, it will promptly inform </w:t>
      </w:r>
      <w:r w:rsidR="00A21C54">
        <w:t>y</w:t>
      </w:r>
      <w:r w:rsidRPr="00D27F20">
        <w:t xml:space="preserve">ou thereof upon receiving </w:t>
      </w:r>
      <w:r w:rsidR="00A21C54">
        <w:t>y</w:t>
      </w:r>
      <w:r w:rsidRPr="00D27F20">
        <w:t xml:space="preserve">our instructions. Without prejudice to </w:t>
      </w:r>
      <w:r>
        <w:t>Nexelus’</w:t>
      </w:r>
      <w:r w:rsidRPr="00D27F20">
        <w:t xml:space="preserve"> obligation to comply with </w:t>
      </w:r>
      <w:r w:rsidR="00A21C54">
        <w:t>y</w:t>
      </w:r>
      <w:r w:rsidRPr="00D27F20">
        <w:t>our instructions, the parties will then negotiate in good faith with respect to any such charges or fees.</w:t>
      </w:r>
    </w:p>
    <w:p w14:paraId="2AB187DA" w14:textId="108F7BFC" w:rsidR="00D27F20" w:rsidRPr="00D27F20" w:rsidRDefault="00D27F20" w:rsidP="00BC13A7">
      <w:pPr>
        <w:numPr>
          <w:ilvl w:val="1"/>
          <w:numId w:val="13"/>
        </w:numPr>
      </w:pPr>
      <w:r w:rsidRPr="00D27F20">
        <w:t xml:space="preserve">Unless otherwise specified in the Services Agreement, </w:t>
      </w:r>
      <w:r>
        <w:t>y</w:t>
      </w:r>
      <w:r w:rsidRPr="00D27F20">
        <w:t xml:space="preserve">ou may not provide </w:t>
      </w:r>
      <w:r>
        <w:t>Nexelus</w:t>
      </w:r>
      <w:r w:rsidRPr="00D27F20">
        <w:t xml:space="preserve"> with any sensitive or special Personal Information that imposes specific data security or data protection </w:t>
      </w:r>
      <w:r w:rsidRPr="00D27F20">
        <w:lastRenderedPageBreak/>
        <w:t xml:space="preserve">obligations on </w:t>
      </w:r>
      <w:r>
        <w:t>Nexelus</w:t>
      </w:r>
      <w:r w:rsidRPr="00D27F20">
        <w:t xml:space="preserve"> in addition to or different from those specified in the Data Processing Agreement or Services Agreement.</w:t>
      </w:r>
    </w:p>
    <w:p w14:paraId="099D4F61" w14:textId="77777777" w:rsidR="00D27F20" w:rsidRPr="00D27F20" w:rsidRDefault="00D27F20" w:rsidP="00BC13A7">
      <w:pPr>
        <w:numPr>
          <w:ilvl w:val="0"/>
          <w:numId w:val="13"/>
        </w:numPr>
        <w:rPr>
          <w:b/>
          <w:bCs/>
        </w:rPr>
      </w:pPr>
      <w:r w:rsidRPr="00D27F20">
        <w:rPr>
          <w:b/>
          <w:bCs/>
        </w:rPr>
        <w:t>Privacy Inquiries and Requests from Individuals</w:t>
      </w:r>
    </w:p>
    <w:p w14:paraId="75D82160" w14:textId="3F8BE14B" w:rsidR="00D27F20" w:rsidRPr="00D27F20" w:rsidRDefault="00D27F20" w:rsidP="00BC13A7">
      <w:pPr>
        <w:numPr>
          <w:ilvl w:val="1"/>
          <w:numId w:val="13"/>
        </w:numPr>
      </w:pPr>
      <w:r w:rsidRPr="00D27F20">
        <w:t>If You receive a request or inquiry from an Individual related to Personal Information processed by</w:t>
      </w:r>
      <w:r>
        <w:t xml:space="preserve"> Nexelus</w:t>
      </w:r>
      <w:r w:rsidRPr="00D27F20">
        <w:t xml:space="preserve"> for the provision of Services, You can either (</w:t>
      </w:r>
      <w:proofErr w:type="spellStart"/>
      <w:r w:rsidRPr="00D27F20">
        <w:t>i</w:t>
      </w:r>
      <w:proofErr w:type="spellEnd"/>
      <w:r w:rsidRPr="00D27F20">
        <w:t xml:space="preserve">) securely access Your Services environment that holds Personal Information to address the request, or (ii) to the extent such access is not available to You, submit a “service request” via My </w:t>
      </w:r>
      <w:r>
        <w:t>Nexelus</w:t>
      </w:r>
      <w:r w:rsidRPr="00D27F20">
        <w:t xml:space="preserve"> Support (or other applicable primary support tool or support contact provided for the Services, such as Your project manager) with detailed written instructions to </w:t>
      </w:r>
      <w:r>
        <w:t>Nexelus</w:t>
      </w:r>
      <w:r w:rsidRPr="00D27F20">
        <w:t xml:space="preserve"> on how to assist You with such request.</w:t>
      </w:r>
    </w:p>
    <w:p w14:paraId="37205AEA" w14:textId="30014AED" w:rsidR="00D27F20" w:rsidRPr="00D27F20" w:rsidRDefault="00D27F20" w:rsidP="00BC13A7">
      <w:pPr>
        <w:numPr>
          <w:ilvl w:val="1"/>
          <w:numId w:val="13"/>
        </w:numPr>
      </w:pPr>
      <w:r w:rsidRPr="00D27F20">
        <w:t xml:space="preserve">If </w:t>
      </w:r>
      <w:r>
        <w:t>Nexelus</w:t>
      </w:r>
      <w:r w:rsidRPr="00D27F20">
        <w:t xml:space="preserve"> directly receives any requests or inquiries from Individuals that have identified You as the Controller, it will promptly pass on such requests to You without responding to the Individual. Otherwise, </w:t>
      </w:r>
      <w:r>
        <w:t>Nexelus</w:t>
      </w:r>
      <w:r w:rsidRPr="00D27F20">
        <w:t xml:space="preserve"> will advise the Individual to identify and contact the relevant controller(s).</w:t>
      </w:r>
    </w:p>
    <w:p w14:paraId="6907840E" w14:textId="02611F75" w:rsidR="00D27F20" w:rsidRPr="00D27F20" w:rsidRDefault="00D27F20" w:rsidP="00BC13A7">
      <w:pPr>
        <w:pStyle w:val="ListParagraph"/>
        <w:numPr>
          <w:ilvl w:val="0"/>
          <w:numId w:val="13"/>
        </w:numPr>
        <w:rPr>
          <w:b/>
          <w:bCs/>
        </w:rPr>
      </w:pPr>
      <w:r w:rsidRPr="00D27F20">
        <w:rPr>
          <w:b/>
          <w:bCs/>
        </w:rPr>
        <w:t>Nexelus</w:t>
      </w:r>
      <w:r w:rsidRPr="00D27F20">
        <w:rPr>
          <w:b/>
          <w:bCs/>
        </w:rPr>
        <w:t xml:space="preserve"> Affiliates and Third</w:t>
      </w:r>
      <w:r w:rsidRPr="00D27F20">
        <w:rPr>
          <w:b/>
          <w:bCs/>
        </w:rPr>
        <w:t>-</w:t>
      </w:r>
      <w:r w:rsidRPr="00D27F20">
        <w:rPr>
          <w:b/>
          <w:bCs/>
        </w:rPr>
        <w:t>Party Sub</w:t>
      </w:r>
      <w:r w:rsidRPr="00D27F20">
        <w:rPr>
          <w:b/>
          <w:bCs/>
        </w:rPr>
        <w:t xml:space="preserve"> P</w:t>
      </w:r>
      <w:r w:rsidRPr="00D27F20">
        <w:rPr>
          <w:b/>
          <w:bCs/>
        </w:rPr>
        <w:t>rocessors</w:t>
      </w:r>
    </w:p>
    <w:p w14:paraId="6061F1B7" w14:textId="0F683D74" w:rsidR="00D27F20" w:rsidRPr="00D27F20" w:rsidRDefault="00D27F20" w:rsidP="00BC13A7">
      <w:pPr>
        <w:numPr>
          <w:ilvl w:val="1"/>
          <w:numId w:val="13"/>
        </w:numPr>
      </w:pPr>
      <w:r w:rsidRPr="00D27F20">
        <w:t xml:space="preserve">To the extent </w:t>
      </w:r>
      <w:r>
        <w:t>Nexelus</w:t>
      </w:r>
      <w:r w:rsidRPr="00D27F20">
        <w:t xml:space="preserve"> engages Third Party </w:t>
      </w:r>
      <w:r>
        <w:t>s</w:t>
      </w:r>
      <w:r w:rsidRPr="00D27F20">
        <w:t>ub</w:t>
      </w:r>
      <w:r>
        <w:t xml:space="preserve"> p</w:t>
      </w:r>
      <w:r w:rsidRPr="00D27F20">
        <w:t xml:space="preserve">rocessors and/or </w:t>
      </w:r>
      <w:r>
        <w:t>Nexelus</w:t>
      </w:r>
      <w:r w:rsidRPr="00D27F20">
        <w:t xml:space="preserve"> Affiliates to Process Personal Information, such entities shall be subject to the same level of data protection and security as </w:t>
      </w:r>
      <w:r>
        <w:t>Nexelus</w:t>
      </w:r>
      <w:r w:rsidRPr="00D27F20">
        <w:t xml:space="preserve"> under the terms of the Services Agreement. </w:t>
      </w:r>
      <w:r>
        <w:t>Nexelus</w:t>
      </w:r>
      <w:r w:rsidRPr="00D27F20">
        <w:t xml:space="preserve"> is responsible for the performance of the </w:t>
      </w:r>
      <w:r>
        <w:t>Nexelus</w:t>
      </w:r>
      <w:r w:rsidRPr="00D27F20">
        <w:t xml:space="preserve"> Affiliates’ and Third</w:t>
      </w:r>
      <w:r>
        <w:t>-</w:t>
      </w:r>
      <w:r w:rsidRPr="00D27F20">
        <w:t xml:space="preserve">Party </w:t>
      </w:r>
      <w:r>
        <w:t>s</w:t>
      </w:r>
      <w:r w:rsidRPr="00D27F20">
        <w:t>ub</w:t>
      </w:r>
      <w:r>
        <w:t xml:space="preserve"> </w:t>
      </w:r>
      <w:r w:rsidRPr="00D27F20">
        <w:t>processors’ obligations in compliance with the terms of this Data Processing Agreement and Applicable Data Protection Law.</w:t>
      </w:r>
    </w:p>
    <w:p w14:paraId="00C4036E" w14:textId="5A83D6F1" w:rsidR="00D27F20" w:rsidRPr="00D27F20" w:rsidRDefault="00D27F20" w:rsidP="00BC13A7">
      <w:pPr>
        <w:pStyle w:val="ListParagraph"/>
        <w:numPr>
          <w:ilvl w:val="0"/>
          <w:numId w:val="13"/>
        </w:numPr>
        <w:rPr>
          <w:b/>
          <w:bCs/>
        </w:rPr>
      </w:pPr>
      <w:r w:rsidRPr="00D27F20">
        <w:rPr>
          <w:b/>
          <w:bCs/>
        </w:rPr>
        <w:t>Cross-border data transfers</w:t>
      </w:r>
    </w:p>
    <w:p w14:paraId="59306CF1" w14:textId="557EE099" w:rsidR="00D27F20" w:rsidRPr="00D27F20" w:rsidRDefault="00D27F20" w:rsidP="00BC13A7">
      <w:pPr>
        <w:numPr>
          <w:ilvl w:val="1"/>
          <w:numId w:val="13"/>
        </w:numPr>
      </w:pPr>
      <w:r w:rsidRPr="00D27F20">
        <w:t xml:space="preserve">Without prejudice to any applicable regional data center restrictions for hosted Services specified in Your Services Agreement, </w:t>
      </w:r>
      <w:r>
        <w:t>Nexelus</w:t>
      </w:r>
      <w:r w:rsidRPr="00D27F20">
        <w:t xml:space="preserve"> may Process Personal Information globally as necessary to perform the Services.</w:t>
      </w:r>
    </w:p>
    <w:p w14:paraId="1E4732DC" w14:textId="3E9ED680" w:rsidR="00D27F20" w:rsidRPr="00D27F20" w:rsidRDefault="00D27F20" w:rsidP="00BC13A7">
      <w:pPr>
        <w:numPr>
          <w:ilvl w:val="1"/>
          <w:numId w:val="13"/>
        </w:numPr>
      </w:pPr>
      <w:r w:rsidRPr="00D27F20">
        <w:t>To the extent such global access involves a transfer of Personal Information subject to cross-border transfer restrictions under Applicable Data Protection Law, such transfers shall be subject to (</w:t>
      </w:r>
      <w:proofErr w:type="spellStart"/>
      <w:r w:rsidRPr="00D27F20">
        <w:t>i</w:t>
      </w:r>
      <w:proofErr w:type="spellEnd"/>
      <w:r w:rsidRPr="00D27F20">
        <w:t xml:space="preserve">) for transfers to </w:t>
      </w:r>
      <w:r>
        <w:t>Nexelus</w:t>
      </w:r>
      <w:r w:rsidRPr="00D27F20">
        <w:t xml:space="preserve"> Affiliates, the terms of the </w:t>
      </w:r>
      <w:r>
        <w:t>Nexelus</w:t>
      </w:r>
      <w:r w:rsidRPr="00D27F20">
        <w:t xml:space="preserve"> Intra-Company Data Transfer and Mandate Agreement, which requires all transfers of Personal Information to be made in compliance with Applicable Data Protection Law and all applicable </w:t>
      </w:r>
      <w:r>
        <w:t>Nexelus</w:t>
      </w:r>
      <w:r w:rsidRPr="00D27F20">
        <w:t xml:space="preserve"> security and data privacy policies and standards globally; and (ii) for transfers to Third Party Sub</w:t>
      </w:r>
      <w:r>
        <w:t xml:space="preserve"> P</w:t>
      </w:r>
      <w:r w:rsidRPr="00D27F20">
        <w:t>rocessors, security and data privacy requirements consistent with the relevant requirements of this Data Processing Agreement and Applicable Data Protection Law.</w:t>
      </w:r>
    </w:p>
    <w:p w14:paraId="69831215" w14:textId="01A9423C" w:rsidR="00D27F20" w:rsidRPr="00D27F20" w:rsidRDefault="00D27F20" w:rsidP="00BC13A7">
      <w:pPr>
        <w:pStyle w:val="ListParagraph"/>
        <w:numPr>
          <w:ilvl w:val="0"/>
          <w:numId w:val="13"/>
        </w:numPr>
        <w:rPr>
          <w:b/>
          <w:bCs/>
        </w:rPr>
      </w:pPr>
      <w:r w:rsidRPr="00D27F20">
        <w:rPr>
          <w:b/>
          <w:bCs/>
        </w:rPr>
        <w:t>Security and Confidentiality</w:t>
      </w:r>
    </w:p>
    <w:p w14:paraId="034375CB" w14:textId="7E9A80CE" w:rsidR="00D27F20" w:rsidRPr="00D27F20" w:rsidRDefault="00D27F20" w:rsidP="00BC13A7">
      <w:pPr>
        <w:pStyle w:val="ListParagraph"/>
        <w:numPr>
          <w:ilvl w:val="1"/>
          <w:numId w:val="13"/>
        </w:numPr>
      </w:pPr>
      <w:r>
        <w:t>Nexelus</w:t>
      </w:r>
      <w:r w:rsidRPr="00D27F20">
        <w:t xml:space="preserve"> has implemented and will maintain appropriate technical and organizational security measures for the Processing of Personal Information designed to prevent accidental or unlawful destruction, loss, alteration, unauthorized disclosure of, or access to Personal Information. These security measures govern all areas of security applicable to the Services, including </w:t>
      </w:r>
      <w:r w:rsidRPr="00D27F20">
        <w:lastRenderedPageBreak/>
        <w:t>physical access, system access, data access, transmission and encryption, input, data backup, data segregation and security oversight, enforcement and other security controls and measures. Additional details regarding the specific security measures that apply to the Services You have ordered are set out in the relevant security practices for these Services:</w:t>
      </w:r>
    </w:p>
    <w:p w14:paraId="06E870F3" w14:textId="67719F7D" w:rsidR="00D27F20" w:rsidRPr="00D27F20" w:rsidRDefault="00D27F20" w:rsidP="008D14BC">
      <w:pPr>
        <w:ind w:left="767"/>
      </w:pPr>
      <w:r w:rsidRPr="00D27F20">
        <w:t>For</w:t>
      </w:r>
      <w:r w:rsidR="005F2E79">
        <w:t xml:space="preserve"> </w:t>
      </w:r>
      <w:r w:rsidR="005F2E79" w:rsidRPr="005F2E79">
        <w:rPr>
          <w:b/>
          <w:bCs/>
        </w:rPr>
        <w:t xml:space="preserve">Nexelus </w:t>
      </w:r>
      <w:r w:rsidR="005F2E79" w:rsidRPr="005F2E79">
        <w:t>and</w:t>
      </w:r>
      <w:r w:rsidR="005F2E79" w:rsidRPr="005F2E79">
        <w:rPr>
          <w:b/>
          <w:bCs/>
        </w:rPr>
        <w:t xml:space="preserve"> </w:t>
      </w:r>
      <w:proofErr w:type="spellStart"/>
      <w:r w:rsidR="005F2E79" w:rsidRPr="005F2E79">
        <w:rPr>
          <w:b/>
          <w:bCs/>
        </w:rPr>
        <w:t>APWorks</w:t>
      </w:r>
      <w:proofErr w:type="spellEnd"/>
      <w:r w:rsidRPr="00D27F20">
        <w:t>:</w:t>
      </w:r>
      <w:r w:rsidR="008D14BC">
        <w:t xml:space="preserve"> </w:t>
      </w:r>
      <w:r w:rsidR="005F2E79">
        <w:t xml:space="preserve">Nexelus </w:t>
      </w:r>
      <w:r w:rsidRPr="00D27F20">
        <w:t>Terms</w:t>
      </w:r>
      <w:r w:rsidR="008D14BC">
        <w:t xml:space="preserve"> </w:t>
      </w:r>
      <w:r w:rsidRPr="00D27F20">
        <w:t>of</w:t>
      </w:r>
      <w:r w:rsidR="008D14BC">
        <w:t xml:space="preserve"> </w:t>
      </w:r>
      <w:r w:rsidRPr="00D27F20">
        <w:t>Service,</w:t>
      </w:r>
      <w:r w:rsidR="008D14BC">
        <w:t xml:space="preserve"> </w:t>
      </w:r>
      <w:r w:rsidRPr="00D27F20">
        <w:t>available</w:t>
      </w:r>
      <w:r w:rsidR="008D14BC">
        <w:t xml:space="preserve"> </w:t>
      </w:r>
      <w:r w:rsidRPr="00D27F20">
        <w:t xml:space="preserve">at: </w:t>
      </w:r>
      <w:commentRangeStart w:id="0"/>
      <w:r w:rsidRPr="00D27F20">
        <w:fldChar w:fldCharType="begin"/>
      </w:r>
      <w:r w:rsidRPr="00D27F20">
        <w:instrText>HYPERLINK "http://www.netsuite.com/portal/resource/terms-of-service.shtml"</w:instrText>
      </w:r>
      <w:r w:rsidRPr="00D27F20">
        <w:fldChar w:fldCharType="separate"/>
      </w:r>
      <w:r w:rsidRPr="00D27F20">
        <w:rPr>
          <w:rStyle w:val="Hyperlink"/>
        </w:rPr>
        <w:t>http://www.netsuite.com/por</w:t>
      </w:r>
      <w:r w:rsidRPr="00D27F20">
        <w:rPr>
          <w:rStyle w:val="Hyperlink"/>
        </w:rPr>
        <w:t>t</w:t>
      </w:r>
      <w:r w:rsidRPr="00D27F20">
        <w:rPr>
          <w:rStyle w:val="Hyperlink"/>
        </w:rPr>
        <w:t>al/resource/terms-of-service.shtml</w:t>
      </w:r>
      <w:r w:rsidRPr="00D27F20">
        <w:fldChar w:fldCharType="end"/>
      </w:r>
      <w:commentRangeEnd w:id="0"/>
      <w:r w:rsidR="00AC1161">
        <w:rPr>
          <w:rStyle w:val="CommentReference"/>
        </w:rPr>
        <w:commentReference w:id="0"/>
      </w:r>
      <w:r w:rsidRPr="00D27F20">
        <w:t>;</w:t>
      </w:r>
    </w:p>
    <w:p w14:paraId="1E41C105" w14:textId="6FE5ADCA" w:rsidR="00D27F20" w:rsidRPr="00D27F20" w:rsidRDefault="00D27F20" w:rsidP="008D14BC">
      <w:pPr>
        <w:ind w:left="767"/>
      </w:pPr>
      <w:r w:rsidRPr="00D27F20">
        <w:t xml:space="preserve">For </w:t>
      </w:r>
      <w:r w:rsidRPr="00D27F20">
        <w:rPr>
          <w:b/>
        </w:rPr>
        <w:t>Global Customer Support Services</w:t>
      </w:r>
      <w:r w:rsidRPr="00D27F20">
        <w:t xml:space="preserve">: </w:t>
      </w:r>
      <w:r>
        <w:t>Nexelus’</w:t>
      </w:r>
      <w:r w:rsidRPr="00D27F20">
        <w:t xml:space="preserve"> Global Customer Support Security Practices available at: </w:t>
      </w:r>
      <w:commentRangeStart w:id="1"/>
      <w:r w:rsidRPr="00D27F20">
        <w:fldChar w:fldCharType="begin"/>
      </w:r>
      <w:r w:rsidRPr="00D27F20">
        <w:instrText>HYPERLINK "https://www.oracle.com/support/policies.html"</w:instrText>
      </w:r>
      <w:r w:rsidRPr="00D27F20">
        <w:fldChar w:fldCharType="separate"/>
      </w:r>
      <w:r w:rsidRPr="00D27F20">
        <w:rPr>
          <w:rStyle w:val="Hyperlink"/>
        </w:rPr>
        <w:t>https://www.</w:t>
      </w:r>
      <w:r>
        <w:rPr>
          <w:rStyle w:val="Hyperlink"/>
        </w:rPr>
        <w:t>Nexelus</w:t>
      </w:r>
      <w:r w:rsidRPr="00D27F20">
        <w:rPr>
          <w:rStyle w:val="Hyperlink"/>
        </w:rPr>
        <w:t>.com/support/poli</w:t>
      </w:r>
      <w:r w:rsidRPr="00D27F20">
        <w:rPr>
          <w:rStyle w:val="Hyperlink"/>
        </w:rPr>
        <w:t>c</w:t>
      </w:r>
      <w:r w:rsidRPr="00D27F20">
        <w:rPr>
          <w:rStyle w:val="Hyperlink"/>
        </w:rPr>
        <w:t>ies.html</w:t>
      </w:r>
      <w:r w:rsidRPr="00D27F20">
        <w:fldChar w:fldCharType="end"/>
      </w:r>
      <w:commentRangeEnd w:id="1"/>
      <w:r w:rsidR="00AC1161">
        <w:rPr>
          <w:rStyle w:val="CommentReference"/>
        </w:rPr>
        <w:commentReference w:id="1"/>
      </w:r>
      <w:r w:rsidRPr="00D27F20">
        <w:t>;</w:t>
      </w:r>
    </w:p>
    <w:p w14:paraId="17A6EB8A" w14:textId="1354EF94" w:rsidR="00D27F20" w:rsidRPr="00D27F20" w:rsidRDefault="00D27F20" w:rsidP="00BC13A7">
      <w:pPr>
        <w:numPr>
          <w:ilvl w:val="1"/>
          <w:numId w:val="13"/>
        </w:numPr>
      </w:pPr>
      <w:r w:rsidRPr="00D27F20">
        <w:t xml:space="preserve">All </w:t>
      </w:r>
      <w:r>
        <w:t>Nexelus</w:t>
      </w:r>
      <w:r w:rsidRPr="00D27F20">
        <w:t xml:space="preserve"> and </w:t>
      </w:r>
      <w:r>
        <w:t>Nexelus</w:t>
      </w:r>
      <w:r w:rsidRPr="00D27F20">
        <w:t xml:space="preserve"> Affiliates employees, as well as any </w:t>
      </w:r>
      <w:r w:rsidR="00A21C54" w:rsidRPr="00D27F20">
        <w:t>Third-Party</w:t>
      </w:r>
      <w:r w:rsidRPr="00D27F20">
        <w:t xml:space="preserve"> </w:t>
      </w:r>
      <w:r w:rsidR="005F2E79" w:rsidRPr="00D27F20">
        <w:t>Sub processors</w:t>
      </w:r>
      <w:r w:rsidRPr="00D27F20">
        <w:t xml:space="preserve"> that Process Personal Information, are subject to appropriate written confidentiality arrangements, including confidentiality agreements, regular training on information protection, and compliance with </w:t>
      </w:r>
      <w:r>
        <w:t>Nexelus</w:t>
      </w:r>
      <w:r w:rsidRPr="00D27F20">
        <w:t xml:space="preserve"> policies concerning protection of confidential information.</w:t>
      </w:r>
    </w:p>
    <w:p w14:paraId="14EBC863" w14:textId="64F7031D" w:rsidR="00D27F20" w:rsidRPr="008D14BC" w:rsidRDefault="00D27F20" w:rsidP="00BC13A7">
      <w:pPr>
        <w:pStyle w:val="ListParagraph"/>
        <w:numPr>
          <w:ilvl w:val="0"/>
          <w:numId w:val="13"/>
        </w:numPr>
        <w:rPr>
          <w:b/>
          <w:bCs/>
        </w:rPr>
      </w:pPr>
      <w:r w:rsidRPr="008D14BC">
        <w:rPr>
          <w:b/>
          <w:bCs/>
        </w:rPr>
        <w:t>Audit Rights</w:t>
      </w:r>
    </w:p>
    <w:p w14:paraId="45C604FC" w14:textId="10DF89F1" w:rsidR="00D27F20" w:rsidRPr="00D27F20" w:rsidRDefault="00D27F20" w:rsidP="00BC13A7">
      <w:pPr>
        <w:numPr>
          <w:ilvl w:val="1"/>
          <w:numId w:val="13"/>
        </w:numPr>
      </w:pPr>
      <w:r w:rsidRPr="00D27F20">
        <w:t xml:space="preserve">You may audit </w:t>
      </w:r>
      <w:r>
        <w:t>Nexelus’</w:t>
      </w:r>
      <w:r w:rsidRPr="00D27F20">
        <w:t xml:space="preserve"> compliance with its obligations under this Data Processing Agreement up to once per year. In addition, to the extent required by Applicable Data Protection Law, You or Your Regulator may perform more frequent audits.</w:t>
      </w:r>
    </w:p>
    <w:p w14:paraId="76172AAD" w14:textId="426A217C" w:rsidR="00D27F20" w:rsidRPr="00D27F20" w:rsidRDefault="00D27F20" w:rsidP="00BC13A7">
      <w:pPr>
        <w:pStyle w:val="ListParagraph"/>
        <w:numPr>
          <w:ilvl w:val="1"/>
          <w:numId w:val="13"/>
        </w:numPr>
      </w:pPr>
      <w:r w:rsidRPr="00D27F20">
        <w:t xml:space="preserve">If a third party is to conduct the audit, the third party must be mutually agreed to by </w:t>
      </w:r>
      <w:r w:rsidR="005F2E79">
        <w:t>y</w:t>
      </w:r>
      <w:r w:rsidRPr="00D27F20">
        <w:t xml:space="preserve">ou and </w:t>
      </w:r>
      <w:r>
        <w:t>Nexelus</w:t>
      </w:r>
      <w:r w:rsidRPr="00D27F20">
        <w:t xml:space="preserve"> (except if such third party is a Regulator). </w:t>
      </w:r>
      <w:r>
        <w:t>Nexelus</w:t>
      </w:r>
      <w:r w:rsidRPr="00D27F20">
        <w:t xml:space="preserve"> will not unreasonably withhold its consent to a </w:t>
      </w:r>
      <w:r w:rsidR="005F2E79" w:rsidRPr="00D27F20">
        <w:t>third-party</w:t>
      </w:r>
      <w:r w:rsidRPr="00D27F20">
        <w:t xml:space="preserve"> auditor requested by You. The third party must execute a written confidentiality agreement acceptable to </w:t>
      </w:r>
      <w:r>
        <w:t>Nexelus</w:t>
      </w:r>
      <w:r w:rsidRPr="00D27F20">
        <w:t xml:space="preserve"> or otherwise be bound by a statutory or legal confidentiality obligation.</w:t>
      </w:r>
    </w:p>
    <w:p w14:paraId="65F20A4B" w14:textId="5A95B70D" w:rsidR="00D27F20" w:rsidRPr="00D27F20" w:rsidRDefault="00D27F20" w:rsidP="00BC13A7">
      <w:pPr>
        <w:numPr>
          <w:ilvl w:val="1"/>
          <w:numId w:val="13"/>
        </w:numPr>
      </w:pPr>
      <w:r w:rsidRPr="00D27F20">
        <w:t xml:space="preserve">To request an audit, </w:t>
      </w:r>
      <w:r w:rsidR="005F2E79" w:rsidRPr="00D27F20">
        <w:t>you</w:t>
      </w:r>
      <w:r w:rsidRPr="00D27F20">
        <w:t xml:space="preserve"> must submit a detailed proposed audit plan to </w:t>
      </w:r>
      <w:r>
        <w:t>Nexelus</w:t>
      </w:r>
      <w:r w:rsidRPr="00D27F20">
        <w:t xml:space="preserve"> at least two weeks in advance of the proposed audit date. The proposed audit plan must describe the proposed scope, duration, and start date of the audit. </w:t>
      </w:r>
      <w:r>
        <w:t>Nexelus</w:t>
      </w:r>
      <w:r w:rsidRPr="00D27F20">
        <w:t xml:space="preserve"> will review the proposed audit plan and provide You with any concerns or questions. </w:t>
      </w:r>
      <w:r>
        <w:t>Nexelus</w:t>
      </w:r>
      <w:r w:rsidRPr="00D27F20">
        <w:t xml:space="preserve"> will work cooperatively with You to agree on a final audit plan.</w:t>
      </w:r>
    </w:p>
    <w:p w14:paraId="3DFE951B" w14:textId="3825D23F" w:rsidR="00D27F20" w:rsidRPr="00D27F20" w:rsidRDefault="00D27F20" w:rsidP="00BC13A7">
      <w:pPr>
        <w:pStyle w:val="ListParagraph"/>
        <w:numPr>
          <w:ilvl w:val="1"/>
          <w:numId w:val="13"/>
        </w:numPr>
      </w:pPr>
      <w:r w:rsidRPr="00D27F20">
        <w:t xml:space="preserve">The audit must be conducted during regular business hours at the applicable facility, subject to the agreed final audit plan and </w:t>
      </w:r>
      <w:r>
        <w:t>Nexelus’</w:t>
      </w:r>
      <w:r w:rsidRPr="00D27F20">
        <w:t xml:space="preserve"> health and safety or other relevant </w:t>
      </w:r>
      <w:r w:rsidR="005F2E79" w:rsidRPr="00D27F20">
        <w:t>policies and</w:t>
      </w:r>
      <w:r w:rsidRPr="00D27F20">
        <w:t xml:space="preserve"> may not unreasonably interfere with </w:t>
      </w:r>
      <w:r>
        <w:t>Nexelus</w:t>
      </w:r>
      <w:r w:rsidRPr="00D27F20">
        <w:t xml:space="preserve"> business activities.</w:t>
      </w:r>
    </w:p>
    <w:p w14:paraId="3D56298C" w14:textId="7FB73817" w:rsidR="00D27F20" w:rsidRPr="00D27F20" w:rsidRDefault="00D27F20" w:rsidP="00BC13A7">
      <w:pPr>
        <w:pStyle w:val="ListParagraph"/>
        <w:numPr>
          <w:ilvl w:val="1"/>
          <w:numId w:val="13"/>
        </w:numPr>
      </w:pPr>
      <w:r w:rsidRPr="00D27F20">
        <w:t xml:space="preserve">Upon completion of the audit, </w:t>
      </w:r>
      <w:r w:rsidR="005F2E79" w:rsidRPr="00D27F20">
        <w:t>you</w:t>
      </w:r>
      <w:r w:rsidRPr="00D27F20">
        <w:t xml:space="preserve"> will provide </w:t>
      </w:r>
      <w:r>
        <w:t>Nexelus</w:t>
      </w:r>
      <w:r w:rsidRPr="00D27F20">
        <w:t xml:space="preserve"> with a copy of the audit report, which is subject to the confidentiality terms of Your Services Agreement. You may use the audit reports only for the purposes of meeting Your regulatory audit requirements and/or confirming compliance with the requirements of this Data Processing Agreement.</w:t>
      </w:r>
    </w:p>
    <w:p w14:paraId="5778DDD6" w14:textId="647FE515" w:rsidR="00D27F20" w:rsidRPr="00D27F20" w:rsidRDefault="00D27F20" w:rsidP="00BC13A7">
      <w:pPr>
        <w:pStyle w:val="ListParagraph"/>
        <w:numPr>
          <w:ilvl w:val="1"/>
          <w:numId w:val="13"/>
        </w:numPr>
      </w:pPr>
      <w:r w:rsidRPr="00D27F20">
        <w:t xml:space="preserve">Each party will bear its own costs in relation to the audit, unless </w:t>
      </w:r>
      <w:r>
        <w:t>Nexelus</w:t>
      </w:r>
      <w:r w:rsidRPr="00D27F20">
        <w:t xml:space="preserve"> promptly informs you upon reviewing Your audit plan that it expects to incur additional charges or fees in the performance of the audit that are not covered by the fees payable under Your Services Agreement, such as additional license or </w:t>
      </w:r>
      <w:r w:rsidR="005F2E79" w:rsidRPr="00D27F20">
        <w:t>third-party</w:t>
      </w:r>
      <w:r w:rsidRPr="00D27F20">
        <w:t xml:space="preserve"> contractor fees. The parties will negotiate in good faith with respect to any such charges or fees.</w:t>
      </w:r>
    </w:p>
    <w:p w14:paraId="73D7AD9B" w14:textId="1F97DEAD" w:rsidR="00D27F20" w:rsidRPr="00D27F20" w:rsidRDefault="00D27F20" w:rsidP="00BC13A7">
      <w:pPr>
        <w:numPr>
          <w:ilvl w:val="1"/>
          <w:numId w:val="13"/>
        </w:numPr>
      </w:pPr>
      <w:r w:rsidRPr="00D27F20">
        <w:lastRenderedPageBreak/>
        <w:t xml:space="preserve">Without prejudice to the rights granted in Section 7.1 above, if the requested audit scope is addressed in a SOC, ISO, NIST, PCI DSS, HIPAA or similar audit report issued by a qualified third party auditor within the prior twelve months and </w:t>
      </w:r>
      <w:r>
        <w:t>Nexelus</w:t>
      </w:r>
      <w:r w:rsidRPr="00D27F20">
        <w:t xml:space="preserve"> provides such report to You confirming there are no known material changes in the controls audited, You agree to accept the findings presented in the third party audit report in lieu of requesting an audit of the same controls covered by the report.</w:t>
      </w:r>
    </w:p>
    <w:p w14:paraId="177CF6CB" w14:textId="2850A100" w:rsidR="00D27F20" w:rsidRPr="00BC13A7" w:rsidRDefault="00D27F20" w:rsidP="00BC13A7">
      <w:pPr>
        <w:pStyle w:val="ListParagraph"/>
        <w:numPr>
          <w:ilvl w:val="0"/>
          <w:numId w:val="13"/>
        </w:numPr>
        <w:rPr>
          <w:b/>
          <w:bCs/>
        </w:rPr>
      </w:pPr>
      <w:r w:rsidRPr="00BC13A7">
        <w:rPr>
          <w:b/>
          <w:bCs/>
        </w:rPr>
        <w:t>Incident Management and Breach Notification</w:t>
      </w:r>
    </w:p>
    <w:p w14:paraId="5D47913C" w14:textId="74C37054" w:rsidR="00D27F20" w:rsidRPr="00D27F20" w:rsidRDefault="00D27F20" w:rsidP="00BC13A7">
      <w:pPr>
        <w:pStyle w:val="ListParagraph"/>
        <w:numPr>
          <w:ilvl w:val="1"/>
          <w:numId w:val="15"/>
        </w:numPr>
      </w:pPr>
      <w:r>
        <w:t>Nexelus</w:t>
      </w:r>
      <w:r w:rsidRPr="00D27F20">
        <w:t xml:space="preserve"> has implemented controls and policies designed to detect and promptly respond to incidents that create suspicion of or indicate destruction, loss, alteration, unauthorized disclosure or access to</w:t>
      </w:r>
      <w:r w:rsidR="003F22B9">
        <w:t xml:space="preserve"> </w:t>
      </w:r>
      <w:r w:rsidRPr="00D27F20">
        <w:t xml:space="preserve">Personal Information transmitted, stored or otherwise Processed. </w:t>
      </w:r>
      <w:r>
        <w:t>Nexelus</w:t>
      </w:r>
      <w:r w:rsidRPr="00D27F20">
        <w:t xml:space="preserve"> will promptly define escalation paths to investigate such incidents </w:t>
      </w:r>
      <w:proofErr w:type="gramStart"/>
      <w:r w:rsidRPr="00D27F20">
        <w:t>in order to</w:t>
      </w:r>
      <w:proofErr w:type="gramEnd"/>
      <w:r w:rsidRPr="00D27F20">
        <w:t xml:space="preserve"> confirm if a Personal Information Breach has occurred, and to take reasonable measures designed to identify the root cause(s) of the Personal Information Breach, mitigate any possible adverse effects and prevent a recurrence.</w:t>
      </w:r>
    </w:p>
    <w:p w14:paraId="71AF5939" w14:textId="100A2DA1" w:rsidR="00D27F20" w:rsidRPr="00D27F20" w:rsidRDefault="00D27F20" w:rsidP="00BC13A7">
      <w:pPr>
        <w:pStyle w:val="ListParagraph"/>
        <w:numPr>
          <w:ilvl w:val="1"/>
          <w:numId w:val="15"/>
        </w:numPr>
      </w:pPr>
      <w:r>
        <w:t>Nexelus</w:t>
      </w:r>
      <w:r w:rsidRPr="00D27F20">
        <w:t xml:space="preserve"> will notify you of a confirmed Personal Information Breach without undue delay but at the latest within 24 hours. </w:t>
      </w:r>
      <w:r w:rsidR="005F2E79" w:rsidRPr="00D27F20">
        <w:t>Breach</w:t>
      </w:r>
      <w:r w:rsidR="005F2E79">
        <w:t xml:space="preserve"> info</w:t>
      </w:r>
      <w:r w:rsidRPr="00D27F20">
        <w:t xml:space="preserve">rmation regarding the Personal Information Breach is collected or otherwise reasonably becomes available to </w:t>
      </w:r>
      <w:r>
        <w:t>Nexelus</w:t>
      </w:r>
      <w:r w:rsidRPr="00D27F20">
        <w:t xml:space="preserve">, </w:t>
      </w:r>
      <w:r>
        <w:t>Nexelus</w:t>
      </w:r>
      <w:r w:rsidRPr="00D27F20">
        <w:t xml:space="preserve"> will also provide You with (</w:t>
      </w:r>
      <w:proofErr w:type="spellStart"/>
      <w:r w:rsidRPr="00D27F20">
        <w:t>i</w:t>
      </w:r>
      <w:proofErr w:type="spellEnd"/>
      <w:r w:rsidRPr="00D27F20">
        <w:t xml:space="preserve">) a description of the nature and reasonably anticipated consequences of the Personal Information Breach; (ii) the measures taken to mitigate any possible adverse effects and prevent a recurrence; and (iii) where possible, information about the types of Personal Information that were the subject of the Personal Information Breach. You agree to coordinate with </w:t>
      </w:r>
      <w:r>
        <w:t>Nexelus</w:t>
      </w:r>
      <w:r w:rsidRPr="00D27F20">
        <w:t xml:space="preserve"> on the content of Your intended public statements or required notices for the affected Individuals and/or notices to the relevant Regulators regarding the Personal Information Breach.</w:t>
      </w:r>
    </w:p>
    <w:p w14:paraId="3E93D0D9" w14:textId="2F25916A" w:rsidR="00D27F20" w:rsidRPr="00BC13A7" w:rsidRDefault="00D27F20" w:rsidP="00BC13A7">
      <w:pPr>
        <w:pStyle w:val="ListParagraph"/>
        <w:numPr>
          <w:ilvl w:val="0"/>
          <w:numId w:val="15"/>
        </w:numPr>
        <w:rPr>
          <w:b/>
          <w:bCs/>
        </w:rPr>
      </w:pPr>
      <w:r w:rsidRPr="00BC13A7">
        <w:rPr>
          <w:b/>
          <w:bCs/>
        </w:rPr>
        <w:t>Return and Deletion of Personal Information</w:t>
      </w:r>
    </w:p>
    <w:p w14:paraId="29F7855D" w14:textId="6742E419" w:rsidR="00D27F20" w:rsidRPr="00D27F20" w:rsidRDefault="00D27F20" w:rsidP="00BC13A7">
      <w:pPr>
        <w:numPr>
          <w:ilvl w:val="1"/>
          <w:numId w:val="15"/>
        </w:numPr>
      </w:pPr>
      <w:r w:rsidRPr="00D27F20">
        <w:t xml:space="preserve">Upon termination of the Services, </w:t>
      </w:r>
      <w:r>
        <w:t>Nexelus</w:t>
      </w:r>
      <w:r w:rsidRPr="00D27F20">
        <w:t xml:space="preserve"> will promptly return, including by providing available data retrieval functionality, or delete any remaining copies of Personal Information on </w:t>
      </w:r>
      <w:r>
        <w:t>Nexelus</w:t>
      </w:r>
      <w:r w:rsidRPr="00D27F20">
        <w:t xml:space="preserve"> systems or Services environments, except as otherwise stated in the Services Agreement.</w:t>
      </w:r>
    </w:p>
    <w:p w14:paraId="17C40E7D" w14:textId="360670A9" w:rsidR="00D27F20" w:rsidRPr="00D27F20" w:rsidRDefault="00D27F20" w:rsidP="00BC13A7">
      <w:pPr>
        <w:pStyle w:val="ListParagraph"/>
        <w:numPr>
          <w:ilvl w:val="1"/>
          <w:numId w:val="15"/>
        </w:numPr>
      </w:pPr>
      <w:r w:rsidRPr="00D27F20">
        <w:t xml:space="preserve">For Personal Information held on Your systems or environments, or for Services for which no data retrieval functionality is provided by </w:t>
      </w:r>
      <w:r>
        <w:t>Nexelus</w:t>
      </w:r>
      <w:r w:rsidRPr="00D27F20">
        <w:t xml:space="preserve"> as part of the Services, </w:t>
      </w:r>
      <w:proofErr w:type="gramStart"/>
      <w:r w:rsidRPr="00D27F20">
        <w:t>You</w:t>
      </w:r>
      <w:proofErr w:type="gramEnd"/>
      <w:r w:rsidRPr="00D27F20">
        <w:t xml:space="preserve"> are advised to take appropriate action to back up or otherwise store separately any Personal Information while the production Services environment is still active prior to termination.</w:t>
      </w:r>
    </w:p>
    <w:p w14:paraId="7B469235" w14:textId="68A17E2E" w:rsidR="00D27F20" w:rsidRPr="003F22B9" w:rsidRDefault="00D27F20" w:rsidP="00BC13A7">
      <w:pPr>
        <w:pStyle w:val="ListParagraph"/>
        <w:numPr>
          <w:ilvl w:val="0"/>
          <w:numId w:val="15"/>
        </w:numPr>
        <w:rPr>
          <w:b/>
          <w:bCs/>
        </w:rPr>
      </w:pPr>
      <w:r w:rsidRPr="003F22B9">
        <w:rPr>
          <w:b/>
          <w:bCs/>
        </w:rPr>
        <w:t>Legal Requirements</w:t>
      </w:r>
    </w:p>
    <w:p w14:paraId="605C21B2" w14:textId="558EDB59" w:rsidR="00D27F20" w:rsidRPr="00D27F20" w:rsidRDefault="00D27F20" w:rsidP="00BC13A7">
      <w:pPr>
        <w:pStyle w:val="ListParagraph"/>
        <w:numPr>
          <w:ilvl w:val="1"/>
          <w:numId w:val="15"/>
        </w:numPr>
      </w:pPr>
      <w:r>
        <w:t>Nexelus</w:t>
      </w:r>
      <w:r w:rsidRPr="00D27F20">
        <w:t xml:space="preserve"> may be required by law to provide access to Personal Information, such as to comply with a subpoena or other legal process, or to respond to government requests, including public and government authorities for national security and/or law enforcement purposes.</w:t>
      </w:r>
    </w:p>
    <w:p w14:paraId="2226DCA2" w14:textId="11266D1B" w:rsidR="00D27F20" w:rsidRPr="00D27F20" w:rsidRDefault="00D27F20" w:rsidP="00BC13A7">
      <w:pPr>
        <w:pStyle w:val="ListParagraph"/>
        <w:numPr>
          <w:ilvl w:val="1"/>
          <w:numId w:val="15"/>
        </w:numPr>
      </w:pPr>
      <w:r>
        <w:t>Nexelus</w:t>
      </w:r>
      <w:r w:rsidRPr="00D27F20">
        <w:t xml:space="preserve"> will promptly inform You of requests to provide access to Personal Information, unless otherwise required by law.</w:t>
      </w:r>
    </w:p>
    <w:p w14:paraId="1AEEC68B" w14:textId="662AE21B" w:rsidR="00D27F20" w:rsidRPr="003F22B9" w:rsidRDefault="00D27F20" w:rsidP="00BC13A7">
      <w:pPr>
        <w:pStyle w:val="ListParagraph"/>
        <w:numPr>
          <w:ilvl w:val="0"/>
          <w:numId w:val="15"/>
        </w:numPr>
        <w:rPr>
          <w:b/>
          <w:bCs/>
        </w:rPr>
      </w:pPr>
      <w:r w:rsidRPr="003F22B9">
        <w:rPr>
          <w:b/>
          <w:bCs/>
        </w:rPr>
        <w:t>Definitions</w:t>
      </w:r>
    </w:p>
    <w:p w14:paraId="180343C7" w14:textId="77777777" w:rsidR="00D27F20" w:rsidRPr="00D27F20" w:rsidRDefault="00D27F20" w:rsidP="00BC13A7">
      <w:pPr>
        <w:numPr>
          <w:ilvl w:val="1"/>
          <w:numId w:val="15"/>
        </w:numPr>
      </w:pPr>
      <w:r w:rsidRPr="00D27F20">
        <w:lastRenderedPageBreak/>
        <w:t>“</w:t>
      </w:r>
      <w:r w:rsidRPr="00D27F20">
        <w:rPr>
          <w:b/>
        </w:rPr>
        <w:t>Applicable Data Protection Law</w:t>
      </w:r>
      <w:r w:rsidRPr="00D27F20">
        <w:t>” means all data privacy or data protection laws or regulations globally that apply to the Processing of Personal Information under this Data Processing Agreement, which may include Applicable European Data Protection Law.</w:t>
      </w:r>
    </w:p>
    <w:p w14:paraId="0C668074" w14:textId="77777777" w:rsidR="00D27F20" w:rsidRPr="00D27F20" w:rsidRDefault="00D27F20" w:rsidP="00BC13A7">
      <w:pPr>
        <w:numPr>
          <w:ilvl w:val="1"/>
          <w:numId w:val="15"/>
        </w:numPr>
      </w:pPr>
      <w:r w:rsidRPr="00D27F20">
        <w:t>“</w:t>
      </w:r>
      <w:r w:rsidRPr="00D27F20">
        <w:rPr>
          <w:b/>
        </w:rPr>
        <w:t>Applicable European Data Protection Law</w:t>
      </w:r>
      <w:r w:rsidRPr="00D27F20">
        <w:t>” means (</w:t>
      </w:r>
      <w:proofErr w:type="spellStart"/>
      <w:r w:rsidRPr="00D27F20">
        <w:t>i</w:t>
      </w:r>
      <w:proofErr w:type="spellEnd"/>
      <w:r w:rsidRPr="00D27F20">
        <w:t>) the EU General Data Protection Regulation EU/2016/679, as supplemented by applicable EU Member State law and as incorporated into the EEA Agreement; (ii) the Swiss Federal Act of 19 June 1992 on Data Protection, as amended; and (iii) the UK Data Protection Act 2018.</w:t>
      </w:r>
    </w:p>
    <w:p w14:paraId="55B1B9FE" w14:textId="77777777" w:rsidR="00D27F20" w:rsidRPr="00D27F20" w:rsidRDefault="00D27F20" w:rsidP="00BC13A7">
      <w:pPr>
        <w:numPr>
          <w:ilvl w:val="1"/>
          <w:numId w:val="15"/>
        </w:numPr>
      </w:pPr>
      <w:r w:rsidRPr="00D27F20">
        <w:t>“</w:t>
      </w:r>
      <w:r w:rsidRPr="00D27F20">
        <w:rPr>
          <w:b/>
        </w:rPr>
        <w:t xml:space="preserve">Europe” </w:t>
      </w:r>
      <w:r w:rsidRPr="00D27F20">
        <w:t>means for the purposes of this Data Processing Agreement (</w:t>
      </w:r>
      <w:proofErr w:type="spellStart"/>
      <w:r w:rsidRPr="00D27F20">
        <w:t>i</w:t>
      </w:r>
      <w:proofErr w:type="spellEnd"/>
      <w:r w:rsidRPr="00D27F20">
        <w:t>) the European Economic Area, consisting of the EU Member States, Iceland, Lichtenstein and Norway; (ii) Switzerland and (iii) the UK after it withdraws from the EU.</w:t>
      </w:r>
    </w:p>
    <w:p w14:paraId="10125138" w14:textId="77777777" w:rsidR="00D27F20" w:rsidRPr="00D27F20" w:rsidRDefault="00D27F20" w:rsidP="00BC13A7">
      <w:pPr>
        <w:numPr>
          <w:ilvl w:val="1"/>
          <w:numId w:val="15"/>
        </w:numPr>
      </w:pPr>
      <w:r w:rsidRPr="00D27F20">
        <w:t>“</w:t>
      </w:r>
      <w:r w:rsidRPr="00D27F20">
        <w:rPr>
          <w:b/>
        </w:rPr>
        <w:t xml:space="preserve">Individual” </w:t>
      </w:r>
      <w:r w:rsidRPr="00D27F20">
        <w:t>shall have the same meaning as the term “data subject” or the equivalent term under Applicable Data Protection Law.</w:t>
      </w:r>
    </w:p>
    <w:p w14:paraId="2842C8E2" w14:textId="77777777" w:rsidR="00D27F20" w:rsidRPr="00D27F20" w:rsidRDefault="00D27F20" w:rsidP="00BC13A7">
      <w:pPr>
        <w:numPr>
          <w:ilvl w:val="1"/>
          <w:numId w:val="15"/>
        </w:numPr>
      </w:pPr>
      <w:r w:rsidRPr="00D27F20">
        <w:t>“</w:t>
      </w:r>
      <w:r w:rsidRPr="00D27F20">
        <w:rPr>
          <w:b/>
        </w:rPr>
        <w:t>Process/Processing</w:t>
      </w:r>
      <w:r w:rsidRPr="00D27F20">
        <w:t>”, “</w:t>
      </w:r>
      <w:r w:rsidRPr="00D27F20">
        <w:rPr>
          <w:b/>
        </w:rPr>
        <w:t>Controller</w:t>
      </w:r>
      <w:r w:rsidRPr="00D27F20">
        <w:t>”, “</w:t>
      </w:r>
      <w:r w:rsidRPr="00D27F20">
        <w:rPr>
          <w:b/>
        </w:rPr>
        <w:t>Processor</w:t>
      </w:r>
      <w:r w:rsidRPr="00D27F20">
        <w:t>” and “</w:t>
      </w:r>
      <w:r w:rsidRPr="00D27F20">
        <w:rPr>
          <w:b/>
        </w:rPr>
        <w:t>Binding Corporate Rules</w:t>
      </w:r>
      <w:r w:rsidRPr="00D27F20">
        <w:t>” (or the equivalent terms) have the meaning set forth under Applicable Data Protection Law.</w:t>
      </w:r>
    </w:p>
    <w:p w14:paraId="096AF4C2" w14:textId="769B5A7B" w:rsidR="00D27F20" w:rsidRPr="00D27F20" w:rsidRDefault="00D27F20" w:rsidP="00BC13A7">
      <w:pPr>
        <w:numPr>
          <w:ilvl w:val="1"/>
          <w:numId w:val="15"/>
        </w:numPr>
      </w:pPr>
      <w:r w:rsidRPr="00D27F20">
        <w:t>“</w:t>
      </w:r>
      <w:r>
        <w:rPr>
          <w:b/>
        </w:rPr>
        <w:t>Nexelus</w:t>
      </w:r>
      <w:r w:rsidRPr="00D27F20">
        <w:rPr>
          <w:b/>
        </w:rPr>
        <w:t xml:space="preserve"> Affiliate(s)</w:t>
      </w:r>
      <w:r w:rsidRPr="00D27F20">
        <w:t xml:space="preserve">” means the </w:t>
      </w:r>
      <w:r w:rsidR="00AC1161" w:rsidRPr="00D27F20">
        <w:t>subsidiary</w:t>
      </w:r>
      <w:r w:rsidRPr="00D27F20">
        <w:t>(</w:t>
      </w:r>
      <w:commentRangeStart w:id="2"/>
      <w:proofErr w:type="spellStart"/>
      <w:r w:rsidRPr="00D27F20">
        <w:t>ies</w:t>
      </w:r>
      <w:commentRangeEnd w:id="2"/>
      <w:proofErr w:type="spellEnd"/>
      <w:r w:rsidR="00AC1161">
        <w:rPr>
          <w:rStyle w:val="CommentReference"/>
        </w:rPr>
        <w:commentReference w:id="2"/>
      </w:r>
      <w:r w:rsidRPr="00D27F20">
        <w:t xml:space="preserve">) of </w:t>
      </w:r>
      <w:r>
        <w:t>Nexelus</w:t>
      </w:r>
      <w:r w:rsidRPr="00D27F20">
        <w:t xml:space="preserve"> Corporation that may Process Personal Information as set forth in Section 4.</w:t>
      </w:r>
    </w:p>
    <w:p w14:paraId="11D3BD2C" w14:textId="5DFE8D23" w:rsidR="00D27F20" w:rsidRPr="00D27F20" w:rsidRDefault="00D27F20" w:rsidP="00BC13A7">
      <w:pPr>
        <w:numPr>
          <w:ilvl w:val="1"/>
          <w:numId w:val="15"/>
        </w:numPr>
      </w:pPr>
      <w:r w:rsidRPr="00D27F20">
        <w:t>“</w:t>
      </w:r>
      <w:r>
        <w:rPr>
          <w:b/>
        </w:rPr>
        <w:t>Nexelus</w:t>
      </w:r>
      <w:r w:rsidRPr="00D27F20">
        <w:rPr>
          <w:b/>
        </w:rPr>
        <w:t xml:space="preserve"> Intra-Company Data Transfer and Mandate Agreement” </w:t>
      </w:r>
      <w:r w:rsidRPr="00D27F20">
        <w:t xml:space="preserve">means the </w:t>
      </w:r>
      <w:r>
        <w:t>Nexelus</w:t>
      </w:r>
      <w:r w:rsidRPr="00D27F20">
        <w:t xml:space="preserve"> Intra-Company Data Transfer and Mandate Agreement for Customer Services Personal Information </w:t>
      </w:r>
      <w:r w:rsidR="00AC1161" w:rsidRPr="00D27F20">
        <w:t>entered</w:t>
      </w:r>
      <w:r w:rsidRPr="00D27F20">
        <w:t xml:space="preserve"> between </w:t>
      </w:r>
      <w:r>
        <w:t>Nexelus</w:t>
      </w:r>
      <w:r w:rsidRPr="00D27F20">
        <w:t xml:space="preserve"> Corporation and the </w:t>
      </w:r>
      <w:r>
        <w:t>Nexelus</w:t>
      </w:r>
      <w:r w:rsidRPr="00D27F20">
        <w:t xml:space="preserve"> Affiliates.</w:t>
      </w:r>
    </w:p>
    <w:p w14:paraId="23DCFB1A" w14:textId="521C1005" w:rsidR="00D27F20" w:rsidRPr="00D27F20" w:rsidRDefault="00D27F20" w:rsidP="00BC13A7">
      <w:pPr>
        <w:numPr>
          <w:ilvl w:val="1"/>
          <w:numId w:val="15"/>
        </w:numPr>
      </w:pPr>
      <w:r w:rsidRPr="00D27F20">
        <w:t>“</w:t>
      </w:r>
      <w:r>
        <w:rPr>
          <w:b/>
        </w:rPr>
        <w:t>Nexelus</w:t>
      </w:r>
      <w:r w:rsidRPr="00D27F20">
        <w:rPr>
          <w:b/>
        </w:rPr>
        <w:t xml:space="preserve"> Processor Code</w:t>
      </w:r>
      <w:r w:rsidRPr="00D27F20">
        <w:t xml:space="preserve">” means </w:t>
      </w:r>
      <w:r>
        <w:t>Nexelus’</w:t>
      </w:r>
      <w:r w:rsidRPr="00D27F20">
        <w:t xml:space="preserve"> Privacy Code for Processing Personal Information of Customer Individuals referenced in the European DPA Addendum.</w:t>
      </w:r>
    </w:p>
    <w:p w14:paraId="7A6F27B5" w14:textId="19F2F61A" w:rsidR="00D27F20" w:rsidRPr="00D27F20" w:rsidRDefault="00D27F20" w:rsidP="00BC13A7">
      <w:pPr>
        <w:numPr>
          <w:ilvl w:val="1"/>
          <w:numId w:val="15"/>
        </w:numPr>
      </w:pPr>
      <w:r w:rsidRPr="00D27F20">
        <w:t>“</w:t>
      </w:r>
      <w:r>
        <w:rPr>
          <w:b/>
        </w:rPr>
        <w:t>Nexelus</w:t>
      </w:r>
      <w:r w:rsidRPr="00D27F20">
        <w:t xml:space="preserve">” means the </w:t>
      </w:r>
      <w:r>
        <w:t>Nexelus</w:t>
      </w:r>
      <w:r w:rsidRPr="00D27F20">
        <w:t xml:space="preserve"> Affiliate that has executed the Services Agreement.</w:t>
      </w:r>
    </w:p>
    <w:p w14:paraId="35AEFEED" w14:textId="77777777" w:rsidR="00D27F20" w:rsidRPr="00D27F20" w:rsidRDefault="00D27F20" w:rsidP="00BC13A7">
      <w:pPr>
        <w:numPr>
          <w:ilvl w:val="1"/>
          <w:numId w:val="15"/>
        </w:numPr>
      </w:pPr>
      <w:r w:rsidRPr="00D27F20">
        <w:t>“</w:t>
      </w:r>
      <w:r w:rsidRPr="00D27F20">
        <w:rPr>
          <w:b/>
        </w:rPr>
        <w:t>Personal Information</w:t>
      </w:r>
      <w:r w:rsidRPr="00D27F20">
        <w:t>” shall have the same meaning as the term “personal data”, “personally identifiable information (PII)” or the equivalent term under Applicable Data Protection Law.</w:t>
      </w:r>
    </w:p>
    <w:p w14:paraId="0311A4A6" w14:textId="337E46FF" w:rsidR="00D27F20" w:rsidRPr="00D27F20" w:rsidRDefault="00D27F20" w:rsidP="00BC13A7">
      <w:pPr>
        <w:numPr>
          <w:ilvl w:val="1"/>
          <w:numId w:val="15"/>
        </w:numPr>
      </w:pPr>
      <w:r w:rsidRPr="00D27F20">
        <w:t>“</w:t>
      </w:r>
      <w:r w:rsidRPr="00D27F20">
        <w:rPr>
          <w:b/>
        </w:rPr>
        <w:t xml:space="preserve">Personal Information Breach” </w:t>
      </w:r>
      <w:r w:rsidRPr="00D27F20">
        <w:t xml:space="preserve">means a breach of security leading to the misappropriation or accidental or unlawful destruction, loss, alteration, unauthorized disclosure of, or access to, Personal Information transmitted, stored or otherwise Processed on </w:t>
      </w:r>
      <w:r>
        <w:t>Nexelus</w:t>
      </w:r>
      <w:r w:rsidRPr="00D27F20">
        <w:t xml:space="preserve"> systems or the Services environment that compromises the security, confidentiality or integrity of such Personal Information.</w:t>
      </w:r>
    </w:p>
    <w:p w14:paraId="565A57C9" w14:textId="77777777" w:rsidR="00D27F20" w:rsidRPr="00D27F20" w:rsidRDefault="00D27F20" w:rsidP="00BC13A7">
      <w:pPr>
        <w:numPr>
          <w:ilvl w:val="1"/>
          <w:numId w:val="15"/>
        </w:numPr>
      </w:pPr>
      <w:r w:rsidRPr="00D27F20">
        <w:t>“</w:t>
      </w:r>
      <w:r w:rsidRPr="00D27F20">
        <w:rPr>
          <w:b/>
        </w:rPr>
        <w:t>Regulator</w:t>
      </w:r>
      <w:r w:rsidRPr="00D27F20">
        <w:t>” shall have the same meaning as the term “supervisory authority”, “data protection authority” or the equivalent term under Applicable Data Protection Law.</w:t>
      </w:r>
    </w:p>
    <w:p w14:paraId="4660C6F3" w14:textId="77777777" w:rsidR="00D27F20" w:rsidRPr="00D27F20" w:rsidRDefault="00D27F20" w:rsidP="00BC13A7">
      <w:pPr>
        <w:numPr>
          <w:ilvl w:val="1"/>
          <w:numId w:val="15"/>
        </w:numPr>
      </w:pPr>
      <w:r w:rsidRPr="00D27F20">
        <w:t>“</w:t>
      </w:r>
      <w:r w:rsidRPr="00D27F20">
        <w:rPr>
          <w:b/>
        </w:rPr>
        <w:t>Services</w:t>
      </w:r>
      <w:r w:rsidRPr="00D27F20">
        <w:t>” or the equivalent terms “Service Offerings” or “services” means the Cloud, Advanced Customer Support, Consulting, or Global Technical Support services specified in the Services Agreement.</w:t>
      </w:r>
    </w:p>
    <w:p w14:paraId="3C82E030" w14:textId="06101D6A" w:rsidR="00D27F20" w:rsidRPr="00D27F20" w:rsidRDefault="00D27F20" w:rsidP="00BC13A7">
      <w:pPr>
        <w:numPr>
          <w:ilvl w:val="1"/>
          <w:numId w:val="15"/>
        </w:numPr>
      </w:pPr>
      <w:r w:rsidRPr="00D27F20">
        <w:lastRenderedPageBreak/>
        <w:t>“</w:t>
      </w:r>
      <w:r w:rsidRPr="00D27F20">
        <w:rPr>
          <w:b/>
        </w:rPr>
        <w:t>Services Agreement</w:t>
      </w:r>
      <w:r w:rsidRPr="00D27F20">
        <w:t>” means (</w:t>
      </w:r>
      <w:proofErr w:type="spellStart"/>
      <w:r w:rsidRPr="00D27F20">
        <w:t>i</w:t>
      </w:r>
      <w:proofErr w:type="spellEnd"/>
      <w:r w:rsidRPr="00D27F20">
        <w:t xml:space="preserve">) the applicable order for the Services you have purchased from </w:t>
      </w:r>
      <w:r w:rsidR="00AC1161">
        <w:t>Nexelus</w:t>
      </w:r>
      <w:r w:rsidR="00AC1161" w:rsidRPr="00D27F20">
        <w:t>.</w:t>
      </w:r>
    </w:p>
    <w:p w14:paraId="03DF6E21" w14:textId="77777777" w:rsidR="00D27F20" w:rsidRPr="00D27F20" w:rsidRDefault="00D27F20" w:rsidP="00BC13A7">
      <w:pPr>
        <w:numPr>
          <w:ilvl w:val="1"/>
          <w:numId w:val="15"/>
        </w:numPr>
      </w:pPr>
      <w:r w:rsidRPr="00D27F20">
        <w:t>(ii) the applicable master agreement referenced in the applicable order, and (iii) the Service Specifications.</w:t>
      </w:r>
    </w:p>
    <w:p w14:paraId="1DDFEA78" w14:textId="72089726" w:rsidR="00D27F20" w:rsidRPr="00D27F20" w:rsidRDefault="00D27F20" w:rsidP="00BC13A7">
      <w:pPr>
        <w:numPr>
          <w:ilvl w:val="1"/>
          <w:numId w:val="15"/>
        </w:numPr>
      </w:pPr>
      <w:r w:rsidRPr="00D27F20">
        <w:t>“</w:t>
      </w:r>
      <w:r w:rsidRPr="00D27F20">
        <w:rPr>
          <w:b/>
        </w:rPr>
        <w:t xml:space="preserve">Third Party </w:t>
      </w:r>
      <w:r w:rsidR="00AC1161" w:rsidRPr="00D27F20">
        <w:rPr>
          <w:b/>
        </w:rPr>
        <w:t>Sub processor</w:t>
      </w:r>
      <w:r w:rsidRPr="00D27F20">
        <w:t xml:space="preserve">” means a third party, other than an </w:t>
      </w:r>
      <w:r>
        <w:t>Nexelus</w:t>
      </w:r>
      <w:r w:rsidRPr="00D27F20">
        <w:t xml:space="preserve"> Affiliate, which </w:t>
      </w:r>
      <w:r>
        <w:t>Nexelus</w:t>
      </w:r>
      <w:r w:rsidRPr="00D27F20">
        <w:t xml:space="preserve"> subcontracts with and which may Process Personal Information as set forth in Section 4.</w:t>
      </w:r>
    </w:p>
    <w:p w14:paraId="5E246CAF" w14:textId="77777777" w:rsidR="00D27F20" w:rsidRPr="00D27F20" w:rsidRDefault="00D27F20" w:rsidP="00BC13A7">
      <w:pPr>
        <w:numPr>
          <w:ilvl w:val="1"/>
          <w:numId w:val="15"/>
        </w:numPr>
      </w:pPr>
      <w:r w:rsidRPr="00D27F20">
        <w:t>“</w:t>
      </w:r>
      <w:r w:rsidRPr="00D27F20">
        <w:rPr>
          <w:b/>
        </w:rPr>
        <w:t>You</w:t>
      </w:r>
      <w:r w:rsidRPr="00D27F20">
        <w:t>” means the customer entity that has executed the Services Agreement.</w:t>
      </w:r>
    </w:p>
    <w:p w14:paraId="5983A47B" w14:textId="7D7A941C" w:rsidR="00BC13A7" w:rsidRDefault="00D27F20" w:rsidP="00BC13A7">
      <w:pPr>
        <w:numPr>
          <w:ilvl w:val="1"/>
          <w:numId w:val="15"/>
        </w:numPr>
      </w:pPr>
      <w:r w:rsidRPr="00D27F20">
        <w:t>Other capitalized terms have the definitions provided for them in the Services Agreement.</w:t>
      </w:r>
    </w:p>
    <w:p w14:paraId="32CE5ADB" w14:textId="77777777" w:rsidR="000F2B38" w:rsidRDefault="000F2B38">
      <w:pPr>
        <w:rPr>
          <w:rFonts w:asciiTheme="majorHAnsi" w:eastAsiaTheme="majorEastAsia" w:hAnsiTheme="majorHAnsi" w:cstheme="majorBidi"/>
          <w:color w:val="0F4761" w:themeColor="accent1" w:themeShade="BF"/>
          <w:sz w:val="40"/>
          <w:szCs w:val="40"/>
        </w:rPr>
      </w:pPr>
      <w:bookmarkStart w:id="3" w:name="_bookmark0"/>
      <w:bookmarkStart w:id="4" w:name="_Exhibit_1:_European"/>
      <w:bookmarkEnd w:id="3"/>
      <w:bookmarkEnd w:id="4"/>
      <w:r>
        <w:br w:type="page"/>
      </w:r>
    </w:p>
    <w:p w14:paraId="628A4064" w14:textId="5D0F6624" w:rsidR="00D27F20" w:rsidRPr="00D27F20" w:rsidRDefault="00D27F20" w:rsidP="003F22B9">
      <w:pPr>
        <w:pStyle w:val="Heading1"/>
        <w:jc w:val="center"/>
      </w:pPr>
      <w:bookmarkStart w:id="5" w:name="_Exhibit_1:_European_1"/>
      <w:bookmarkEnd w:id="5"/>
      <w:r w:rsidRPr="00D27F20">
        <w:lastRenderedPageBreak/>
        <w:t xml:space="preserve">Exhibit 1: European Data Processing Addendum for </w:t>
      </w:r>
      <w:r>
        <w:t>Nexelus</w:t>
      </w:r>
      <w:r w:rsidRPr="00D27F20">
        <w:t xml:space="preserve"> Services</w:t>
      </w:r>
    </w:p>
    <w:p w14:paraId="5748BBBE" w14:textId="7AFB29C7" w:rsidR="00D27F20" w:rsidRPr="00D27F20" w:rsidRDefault="00D27F20" w:rsidP="003F22B9">
      <w:pPr>
        <w:ind w:left="1127"/>
        <w:jc w:val="center"/>
        <w:rPr>
          <w:b/>
          <w:bCs/>
        </w:rPr>
      </w:pPr>
      <w:r w:rsidRPr="00D27F20">
        <w:rPr>
          <w:b/>
          <w:bCs/>
        </w:rPr>
        <w:t>(“European DPA Addendum”)</w:t>
      </w:r>
    </w:p>
    <w:p w14:paraId="1C574EFA" w14:textId="77777777" w:rsidR="00D27F20" w:rsidRPr="00D27F20" w:rsidRDefault="00D27F20" w:rsidP="003F22B9">
      <w:r w:rsidRPr="00D27F20">
        <w:t>This European DPA Addendum supplements the Data Processing Agreement to include additional Processor terms applicable to the Processing of Personal Information subject to Applicable European Data Protection Law.</w:t>
      </w:r>
    </w:p>
    <w:p w14:paraId="75B10E2C" w14:textId="77777777" w:rsidR="003F22B9" w:rsidRDefault="00D27F20" w:rsidP="003F22B9">
      <w:r w:rsidRPr="00D27F20">
        <w:t xml:space="preserve">Except as expressly stated otherwise in the Data Processing Agreement, the Services Agreement, this European DPA Addendum or the </w:t>
      </w:r>
      <w:r>
        <w:t>Nexelus</w:t>
      </w:r>
      <w:r w:rsidRPr="00D27F20">
        <w:t xml:space="preserve"> Processor Code, in the event of any conflict between these documents, the following order of precedence applies (in descending order): (</w:t>
      </w:r>
      <w:proofErr w:type="spellStart"/>
      <w:r w:rsidRPr="00D27F20">
        <w:t>i</w:t>
      </w:r>
      <w:proofErr w:type="spellEnd"/>
      <w:r w:rsidRPr="00D27F20">
        <w:t xml:space="preserve">) the </w:t>
      </w:r>
      <w:r>
        <w:t>Nexelus</w:t>
      </w:r>
      <w:r w:rsidRPr="00D27F20">
        <w:t xml:space="preserve"> Processor Code;</w:t>
      </w:r>
      <w:r w:rsidR="003F22B9">
        <w:t xml:space="preserve"> </w:t>
      </w:r>
      <w:r w:rsidRPr="00D27F20">
        <w:t>(ii) this European DPA Addendum; (iii) the body of the Data Processing Agreement; and (iv) the Services Agreement.</w:t>
      </w:r>
    </w:p>
    <w:p w14:paraId="66A25B27" w14:textId="61AFE5DB" w:rsidR="003F22B9" w:rsidRPr="003F22B9" w:rsidRDefault="00D27F20" w:rsidP="00BC13A7">
      <w:pPr>
        <w:pStyle w:val="ListParagraph"/>
        <w:numPr>
          <w:ilvl w:val="0"/>
          <w:numId w:val="16"/>
        </w:numPr>
      </w:pPr>
      <w:r w:rsidRPr="00BC13A7">
        <w:rPr>
          <w:b/>
          <w:bCs/>
        </w:rPr>
        <w:t xml:space="preserve">Cross-Border Data Transfers – </w:t>
      </w:r>
      <w:r w:rsidRPr="00BC13A7">
        <w:rPr>
          <w:b/>
          <w:bCs/>
        </w:rPr>
        <w:t>Nexelus</w:t>
      </w:r>
      <w:r w:rsidRPr="00BC13A7">
        <w:rPr>
          <w:b/>
          <w:bCs/>
        </w:rPr>
        <w:t xml:space="preserve"> Processor Code</w:t>
      </w:r>
    </w:p>
    <w:p w14:paraId="376C5F70" w14:textId="762C5D3D" w:rsidR="00D27F20" w:rsidRPr="00D27F20" w:rsidRDefault="00D27F20" w:rsidP="00BC13A7">
      <w:pPr>
        <w:pStyle w:val="ListParagraph"/>
        <w:numPr>
          <w:ilvl w:val="1"/>
          <w:numId w:val="16"/>
        </w:numPr>
      </w:pPr>
      <w:r w:rsidRPr="00D27F20">
        <w:t xml:space="preserve">The </w:t>
      </w:r>
      <w:r>
        <w:t>Nexelus</w:t>
      </w:r>
      <w:r w:rsidRPr="00D27F20">
        <w:t xml:space="preserve"> Processor Code (Binding Corporate Rules for Processors) applies to the Processing of Personal Information by </w:t>
      </w:r>
      <w:r>
        <w:t>Nexelus</w:t>
      </w:r>
      <w:r w:rsidRPr="00D27F20">
        <w:t xml:space="preserve"> on Your behalf in its role as a Processor as part of the provision of Services under the Services Agreement and this European DPA Addendum, where such Personal Information is:</w:t>
      </w:r>
      <w:r w:rsidR="003F22B9">
        <w:t xml:space="preserve"> </w:t>
      </w:r>
      <w:r w:rsidRPr="00D27F20">
        <w:t>(</w:t>
      </w:r>
      <w:proofErr w:type="spellStart"/>
      <w:r w:rsidRPr="00D27F20">
        <w:t>i</w:t>
      </w:r>
      <w:proofErr w:type="spellEnd"/>
      <w:r w:rsidRPr="00D27F20">
        <w:t xml:space="preserve">) subject to any data transfer restrictions under Applicable European Data Protection Law; and (ii) processed by </w:t>
      </w:r>
      <w:r>
        <w:t>Nexelus</w:t>
      </w:r>
      <w:r w:rsidRPr="00D27F20">
        <w:t xml:space="preserve"> or an </w:t>
      </w:r>
      <w:r>
        <w:t>Nexelus</w:t>
      </w:r>
      <w:r w:rsidRPr="00D27F20">
        <w:t xml:space="preserve"> Affiliate in a country outside Europe.</w:t>
      </w:r>
    </w:p>
    <w:p w14:paraId="53962B85" w14:textId="53CABC1D" w:rsidR="00D27F20" w:rsidRPr="00D27F20" w:rsidRDefault="00D27F20" w:rsidP="00BC13A7">
      <w:pPr>
        <w:pStyle w:val="ListParagraph"/>
        <w:numPr>
          <w:ilvl w:val="1"/>
          <w:numId w:val="16"/>
        </w:numPr>
      </w:pPr>
      <w:r w:rsidRPr="00D27F20">
        <w:t xml:space="preserve">The most current version of the </w:t>
      </w:r>
      <w:r>
        <w:t>Nexelus</w:t>
      </w:r>
      <w:r w:rsidRPr="00D27F20">
        <w:t xml:space="preserve"> Processor Code is available on https://</w:t>
      </w:r>
      <w:commentRangeStart w:id="6"/>
      <w:r w:rsidRPr="00D27F20">
        <w:fldChar w:fldCharType="begin"/>
      </w:r>
      <w:r w:rsidRPr="00D27F20">
        <w:instrText>HYPERLINK "http://www.oracle.com/a/ocom/docs/corporate/bcr-privacy-code-051719.pdf"</w:instrText>
      </w:r>
      <w:r w:rsidRPr="00D27F20">
        <w:fldChar w:fldCharType="separate"/>
      </w:r>
      <w:r w:rsidRPr="00D27F20">
        <w:rPr>
          <w:rStyle w:val="Hyperlink"/>
        </w:rPr>
        <w:t>www.</w:t>
      </w:r>
      <w:r>
        <w:rPr>
          <w:rStyle w:val="Hyperlink"/>
        </w:rPr>
        <w:t>Nexelus</w:t>
      </w:r>
      <w:r w:rsidRPr="00D27F20">
        <w:rPr>
          <w:rStyle w:val="Hyperlink"/>
        </w:rPr>
        <w:t>.com/a/oc</w:t>
      </w:r>
      <w:r w:rsidRPr="00D27F20">
        <w:rPr>
          <w:rStyle w:val="Hyperlink"/>
        </w:rPr>
        <w:t>o</w:t>
      </w:r>
      <w:r w:rsidRPr="00D27F20">
        <w:rPr>
          <w:rStyle w:val="Hyperlink"/>
        </w:rPr>
        <w:t>m/docs/corporate/bcr-privacy-code-051719.pdf,</w:t>
      </w:r>
      <w:r w:rsidRPr="00D27F20">
        <w:fldChar w:fldCharType="end"/>
      </w:r>
      <w:commentRangeEnd w:id="6"/>
      <w:r w:rsidR="00AC1161">
        <w:rPr>
          <w:rStyle w:val="CommentReference"/>
        </w:rPr>
        <w:commentReference w:id="6"/>
      </w:r>
      <w:r w:rsidRPr="00D27F20">
        <w:t xml:space="preserve"> and is incorporated by reference into the Services Agreement and this European DPA Addendum. </w:t>
      </w:r>
      <w:r>
        <w:t>Nexelus</w:t>
      </w:r>
      <w:r w:rsidRPr="00D27F20">
        <w:t xml:space="preserve"> has obtained EEA authorization for its Processor Code and will maintain such authorization for the duration of the Services Agreement.</w:t>
      </w:r>
    </w:p>
    <w:p w14:paraId="4310735E" w14:textId="3216EA6D" w:rsidR="00D27F20" w:rsidRPr="00D27F20" w:rsidRDefault="00D27F20" w:rsidP="00BC13A7">
      <w:pPr>
        <w:numPr>
          <w:ilvl w:val="1"/>
          <w:numId w:val="16"/>
        </w:numPr>
      </w:pPr>
      <w:r w:rsidRPr="00D27F20">
        <w:t xml:space="preserve">Transfers to Third Party </w:t>
      </w:r>
      <w:r w:rsidR="00AC1161" w:rsidRPr="00D27F20">
        <w:t>Sub processors</w:t>
      </w:r>
      <w:r w:rsidRPr="00D27F20">
        <w:t xml:space="preserve"> shall be subject to security and data privacy requirements consistent with the </w:t>
      </w:r>
      <w:r>
        <w:t>Nexelus</w:t>
      </w:r>
      <w:r w:rsidRPr="00D27F20">
        <w:t xml:space="preserve"> Processor Code, the Data Processing Agreement and the Services Agreement.</w:t>
      </w:r>
    </w:p>
    <w:p w14:paraId="75A5906E" w14:textId="0D00B780" w:rsidR="00D27F20" w:rsidRPr="003F22B9" w:rsidRDefault="00D27F20" w:rsidP="00BC13A7">
      <w:pPr>
        <w:pStyle w:val="ListParagraph"/>
        <w:numPr>
          <w:ilvl w:val="0"/>
          <w:numId w:val="16"/>
        </w:numPr>
        <w:rPr>
          <w:b/>
          <w:bCs/>
        </w:rPr>
      </w:pPr>
      <w:r w:rsidRPr="003F22B9">
        <w:rPr>
          <w:b/>
          <w:bCs/>
        </w:rPr>
        <w:t>Description of Processing</w:t>
      </w:r>
    </w:p>
    <w:p w14:paraId="5D996EEF" w14:textId="782E6B0E" w:rsidR="00D27F20" w:rsidRPr="00D27F20" w:rsidRDefault="00D27F20" w:rsidP="00BC13A7">
      <w:pPr>
        <w:numPr>
          <w:ilvl w:val="1"/>
          <w:numId w:val="16"/>
        </w:numPr>
      </w:pPr>
      <w:r w:rsidRPr="00D27F20">
        <w:rPr>
          <w:i/>
        </w:rPr>
        <w:t>Duration of processing activities</w:t>
      </w:r>
      <w:r w:rsidRPr="00D27F20">
        <w:t xml:space="preserve">. </w:t>
      </w:r>
      <w:r>
        <w:t>Nexelus</w:t>
      </w:r>
      <w:r w:rsidRPr="00D27F20">
        <w:t xml:space="preserve"> may Process Personal Information during the term of the Services Agreement and to perform its obligations under Section 9 of the Data Processing Agreement, unless otherwise required by applicable law.</w:t>
      </w:r>
    </w:p>
    <w:p w14:paraId="0DA8C9CF" w14:textId="3EB8E206" w:rsidR="00D27F20" w:rsidRPr="00D27F20" w:rsidRDefault="00D27F20" w:rsidP="00BC13A7">
      <w:pPr>
        <w:numPr>
          <w:ilvl w:val="1"/>
          <w:numId w:val="16"/>
        </w:numPr>
      </w:pPr>
      <w:r w:rsidRPr="00D27F20">
        <w:rPr>
          <w:i/>
        </w:rPr>
        <w:t xml:space="preserve">Processing activities. </w:t>
      </w:r>
      <w:r>
        <w:t>Nexelus</w:t>
      </w:r>
      <w:r w:rsidRPr="00D27F20">
        <w:t xml:space="preserve"> may Process Personal Information as necessary to perform the Services, including where applicable for hosting and storage; backup and disaster recovery; service change management; issue resolution; applying new product or system versions,</w:t>
      </w:r>
      <w:r w:rsidR="000F2B38">
        <w:t xml:space="preserve"> </w:t>
      </w:r>
      <w:r w:rsidRPr="00D27F20">
        <w:t xml:space="preserve">patches, updates and upgrades; monitoring and testing system use and performance; IT </w:t>
      </w:r>
      <w:r w:rsidR="000F2B38">
        <w:t>s</w:t>
      </w:r>
      <w:r w:rsidRPr="00D27F20">
        <w:t>ecurity purposes including incident management; maintenance and performance of technical support systems and IT infrastructure; and migration, implementation, configuration and performance testing.</w:t>
      </w:r>
    </w:p>
    <w:p w14:paraId="6B827E0F" w14:textId="153FAF8D" w:rsidR="00D27F20" w:rsidRPr="00D27F20" w:rsidRDefault="00D27F20" w:rsidP="00BC13A7">
      <w:pPr>
        <w:pStyle w:val="ListParagraph"/>
        <w:numPr>
          <w:ilvl w:val="1"/>
          <w:numId w:val="16"/>
        </w:numPr>
      </w:pPr>
      <w:r w:rsidRPr="00BC13A7">
        <w:rPr>
          <w:i/>
        </w:rPr>
        <w:lastRenderedPageBreak/>
        <w:t xml:space="preserve">Categories of Personal Information. </w:t>
      </w:r>
      <w:r w:rsidRPr="00D27F20">
        <w:t xml:space="preserve">In order to perform the Services and depending on the Services You have ordered, </w:t>
      </w:r>
      <w:r>
        <w:t>Nexelus</w:t>
      </w:r>
      <w:r w:rsidRPr="00D27F20">
        <w:t xml:space="preserve"> may Process some or all of the following categories of Personal Information: personal contact information such as name, home address, home telephone or mobile number, fax</w:t>
      </w:r>
      <w:r w:rsidR="003F22B9">
        <w:t xml:space="preserve"> </w:t>
      </w:r>
      <w:r w:rsidRPr="00D27F20">
        <w:t>number, email address, and passwords; information concerning family, lifestyle and social circumstances including age, date of birth, marital status, number of children and name(s) of spouse and/or children; employment details including employer name, job title and function, employment history, salary and other benefits, job performance and other capabilities, education/qualification, identification numbers, and business contact details; financial details; goods and services provided; unique IDs collected from mobile devices, network carriers or data providers; IP addresses and online behavior and interest data.</w:t>
      </w:r>
    </w:p>
    <w:p w14:paraId="74D2716E" w14:textId="67C1460C" w:rsidR="00D27F20" w:rsidRPr="00D27F20" w:rsidRDefault="00D27F20" w:rsidP="00BC13A7">
      <w:pPr>
        <w:numPr>
          <w:ilvl w:val="1"/>
          <w:numId w:val="16"/>
        </w:numPr>
      </w:pPr>
      <w:r w:rsidRPr="00D27F20">
        <w:rPr>
          <w:i/>
        </w:rPr>
        <w:t xml:space="preserve">Categories of Data Subjects. </w:t>
      </w:r>
      <w:r w:rsidRPr="00D27F20">
        <w:t xml:space="preserve">Categories of Data Subjects whose Personal Information may be Processed </w:t>
      </w:r>
      <w:r w:rsidR="000F2B38" w:rsidRPr="00D27F20">
        <w:t>to</w:t>
      </w:r>
      <w:r w:rsidRPr="00D27F20">
        <w:t xml:space="preserve"> perform the Services may include, among others, Your representatives and end users, such as Your employees, job applicants, contractors, collaborators, partners, suppliers, customers and clients.</w:t>
      </w:r>
    </w:p>
    <w:p w14:paraId="39DECD2F" w14:textId="430E4B4E" w:rsidR="00D27F20" w:rsidRPr="00D27F20" w:rsidRDefault="00D27F20" w:rsidP="00BC13A7">
      <w:pPr>
        <w:numPr>
          <w:ilvl w:val="1"/>
          <w:numId w:val="16"/>
        </w:numPr>
      </w:pPr>
      <w:r w:rsidRPr="00D27F20">
        <w:t>Additional or more specific descriptions of Processing activities, categories of Personal Information and Data Subjects may be described in the Services Agreement.</w:t>
      </w:r>
    </w:p>
    <w:p w14:paraId="41B577C8" w14:textId="0D40F0EA" w:rsidR="00D27F20" w:rsidRPr="003F22B9" w:rsidRDefault="00D27F20" w:rsidP="00BC13A7">
      <w:pPr>
        <w:pStyle w:val="ListParagraph"/>
        <w:numPr>
          <w:ilvl w:val="0"/>
          <w:numId w:val="16"/>
        </w:numPr>
        <w:rPr>
          <w:b/>
          <w:bCs/>
        </w:rPr>
      </w:pPr>
      <w:r w:rsidRPr="003F22B9">
        <w:rPr>
          <w:b/>
          <w:bCs/>
        </w:rPr>
        <w:t>Your Instructions</w:t>
      </w:r>
    </w:p>
    <w:p w14:paraId="2BFF0C07" w14:textId="26A310D5" w:rsidR="00D27F20" w:rsidRPr="00D27F20" w:rsidRDefault="00D27F20" w:rsidP="00BC13A7">
      <w:pPr>
        <w:numPr>
          <w:ilvl w:val="1"/>
          <w:numId w:val="16"/>
        </w:numPr>
      </w:pPr>
      <w:r w:rsidRPr="00D27F20">
        <w:t xml:space="preserve">Your right to provide instructions to </w:t>
      </w:r>
      <w:r>
        <w:t>Nexelus</w:t>
      </w:r>
      <w:r w:rsidRPr="00D27F20">
        <w:t xml:space="preserve"> as specified in Section 2 of the Data Processing Agreement encompasses instructions regarding (</w:t>
      </w:r>
      <w:proofErr w:type="spellStart"/>
      <w:r w:rsidRPr="00D27F20">
        <w:t>i</w:t>
      </w:r>
      <w:proofErr w:type="spellEnd"/>
      <w:r w:rsidRPr="00D27F20">
        <w:t>) data transfers as set forth in Section 1 of this European DPA Addendum; and (ii) assistance with Data Subject requests to access, delete or erase, restrict, rectify, receive and transmit (data portability), block access to or object to Processing of specific Personal Information or sets of Personal Information as described in Section 3 of the Data Processing Agreement.</w:t>
      </w:r>
    </w:p>
    <w:p w14:paraId="4A099F8A" w14:textId="0465D2F8" w:rsidR="00D27F20" w:rsidRPr="00D27F20" w:rsidRDefault="00D27F20" w:rsidP="00BC13A7">
      <w:pPr>
        <w:numPr>
          <w:ilvl w:val="1"/>
          <w:numId w:val="16"/>
        </w:numPr>
      </w:pPr>
      <w:r w:rsidRPr="00D27F20">
        <w:t xml:space="preserve">To the extent required by the Applicable EEA Data Protection Law, </w:t>
      </w:r>
      <w:r>
        <w:t>Nexelus</w:t>
      </w:r>
      <w:r w:rsidRPr="00D27F20">
        <w:t xml:space="preserve"> will immediately inform You if, in its opinion, </w:t>
      </w:r>
      <w:r w:rsidR="00A21C54" w:rsidRPr="00D27F20">
        <w:t>your</w:t>
      </w:r>
      <w:r w:rsidRPr="00D27F20">
        <w:t xml:space="preserve"> instruction infringes Applicable European Data Protection Law. You acknowledge and agree that </w:t>
      </w:r>
      <w:r>
        <w:t>Nexelus</w:t>
      </w:r>
      <w:r w:rsidRPr="00D27F20">
        <w:t xml:space="preserve"> is not responsible for performing legal research and/or for providing legal advice to You.</w:t>
      </w:r>
    </w:p>
    <w:p w14:paraId="506EA0B1" w14:textId="6C9E2377" w:rsidR="00D27F20" w:rsidRPr="003F22B9" w:rsidRDefault="00D27F20" w:rsidP="00BC13A7">
      <w:pPr>
        <w:pStyle w:val="ListParagraph"/>
        <w:numPr>
          <w:ilvl w:val="0"/>
          <w:numId w:val="16"/>
        </w:numPr>
        <w:rPr>
          <w:b/>
          <w:bCs/>
        </w:rPr>
      </w:pPr>
      <w:r w:rsidRPr="003F22B9">
        <w:rPr>
          <w:b/>
          <w:bCs/>
        </w:rPr>
        <w:t xml:space="preserve">Notice and Objection Right to New </w:t>
      </w:r>
      <w:r w:rsidRPr="003F22B9">
        <w:rPr>
          <w:b/>
          <w:bCs/>
        </w:rPr>
        <w:t>Nexelus</w:t>
      </w:r>
      <w:r w:rsidRPr="003F22B9">
        <w:rPr>
          <w:b/>
          <w:bCs/>
        </w:rPr>
        <w:t xml:space="preserve"> Affiliates and </w:t>
      </w:r>
      <w:r w:rsidR="00AC1161" w:rsidRPr="003F22B9">
        <w:rPr>
          <w:b/>
          <w:bCs/>
        </w:rPr>
        <w:t>Third-Party</w:t>
      </w:r>
      <w:r w:rsidRPr="003F22B9">
        <w:rPr>
          <w:b/>
          <w:bCs/>
        </w:rPr>
        <w:t xml:space="preserve"> </w:t>
      </w:r>
      <w:r w:rsidR="00AC1161" w:rsidRPr="003F22B9">
        <w:rPr>
          <w:b/>
          <w:bCs/>
        </w:rPr>
        <w:t>Sub processors</w:t>
      </w:r>
    </w:p>
    <w:p w14:paraId="3F17956B" w14:textId="520A1AA2" w:rsidR="00D27F20" w:rsidRPr="00D27F20" w:rsidRDefault="00D27F20" w:rsidP="00BC13A7">
      <w:pPr>
        <w:numPr>
          <w:ilvl w:val="1"/>
          <w:numId w:val="16"/>
        </w:numPr>
      </w:pPr>
      <w:r w:rsidRPr="00D27F20">
        <w:t xml:space="preserve">Subject to the terms and restrictions specified in this Section 4 of the European DPA Addendum and Section 4 of the Data Processing Agreement, </w:t>
      </w:r>
      <w:r w:rsidR="000F2B38" w:rsidRPr="00D27F20">
        <w:t>you</w:t>
      </w:r>
      <w:r w:rsidRPr="00D27F20">
        <w:t xml:space="preserve"> provide </w:t>
      </w:r>
      <w:r>
        <w:t>Nexelus</w:t>
      </w:r>
      <w:r w:rsidRPr="00D27F20">
        <w:t xml:space="preserve"> general written authorization to engage </w:t>
      </w:r>
      <w:r>
        <w:t>Nexelus</w:t>
      </w:r>
      <w:r w:rsidRPr="00D27F20">
        <w:t xml:space="preserve"> Affiliates and </w:t>
      </w:r>
      <w:r w:rsidR="009721BE" w:rsidRPr="00D27F20">
        <w:t>Third-Party</w:t>
      </w:r>
      <w:r w:rsidRPr="00D27F20">
        <w:t xml:space="preserve"> </w:t>
      </w:r>
      <w:r w:rsidR="000F2B38" w:rsidRPr="00D27F20">
        <w:t>Sub processors</w:t>
      </w:r>
      <w:r w:rsidRPr="00D27F20">
        <w:t xml:space="preserve"> to assist in the performance of the Services.</w:t>
      </w:r>
    </w:p>
    <w:p w14:paraId="6413D5E3" w14:textId="4A5205B7" w:rsidR="00D27F20" w:rsidRPr="00D27F20" w:rsidRDefault="00D27F20" w:rsidP="00EE0951">
      <w:pPr>
        <w:numPr>
          <w:ilvl w:val="1"/>
          <w:numId w:val="16"/>
        </w:numPr>
      </w:pPr>
      <w:r>
        <w:t>Nexelus</w:t>
      </w:r>
      <w:r w:rsidRPr="00D27F20">
        <w:t xml:space="preserve"> maintains lists of </w:t>
      </w:r>
      <w:r>
        <w:t>Nexelus</w:t>
      </w:r>
      <w:r w:rsidRPr="00D27F20">
        <w:t xml:space="preserve"> Affiliates and </w:t>
      </w:r>
      <w:r w:rsidR="009721BE" w:rsidRPr="00D27F20">
        <w:t>Third-Party</w:t>
      </w:r>
      <w:r w:rsidRPr="00D27F20">
        <w:t xml:space="preserve"> </w:t>
      </w:r>
      <w:r w:rsidR="000F2B38" w:rsidRPr="00D27F20">
        <w:t>Sub processors</w:t>
      </w:r>
      <w:r w:rsidRPr="00D27F20">
        <w:t xml:space="preserve"> that may Process Personal Information. These lists are available </w:t>
      </w:r>
      <w:commentRangeStart w:id="7"/>
      <w:r w:rsidRPr="00D27F20">
        <w:t xml:space="preserve">via </w:t>
      </w:r>
      <w:r w:rsidR="00AC1161" w:rsidRPr="00AC1161">
        <w:rPr>
          <w:highlight w:val="yellow"/>
        </w:rPr>
        <w:t>Link to Page with Nexelus Affiliates</w:t>
      </w:r>
      <w:r w:rsidR="00AC1161">
        <w:t xml:space="preserve"> </w:t>
      </w:r>
      <w:commentRangeEnd w:id="7"/>
      <w:r w:rsidR="00AC1161">
        <w:rPr>
          <w:rStyle w:val="CommentReference"/>
        </w:rPr>
        <w:commentReference w:id="7"/>
      </w:r>
      <w:r w:rsidRPr="00D27F20">
        <w:t xml:space="preserve">(or other applicable primary support tool, user interface or contact provided for the Services. If You would like to receive notice of any intended changes to these lists of </w:t>
      </w:r>
      <w:r>
        <w:t>Nexelus</w:t>
      </w:r>
      <w:r w:rsidRPr="00D27F20">
        <w:t xml:space="preserve"> Affiliates and </w:t>
      </w:r>
      <w:r w:rsidR="003F22B9" w:rsidRPr="00D27F20">
        <w:t>Third-Party</w:t>
      </w:r>
      <w:r w:rsidRPr="00D27F20">
        <w:t xml:space="preserve"> </w:t>
      </w:r>
      <w:r w:rsidR="003F22B9" w:rsidRPr="00D27F20">
        <w:t>Sub processors</w:t>
      </w:r>
      <w:r w:rsidRPr="00D27F20">
        <w:t xml:space="preserve">, </w:t>
      </w:r>
      <w:r w:rsidR="00EE0951" w:rsidRPr="00D27F20">
        <w:t>you</w:t>
      </w:r>
      <w:r w:rsidRPr="00D27F20">
        <w:t xml:space="preserve"> can</w:t>
      </w:r>
      <w:r w:rsidR="009721BE">
        <w:t xml:space="preserve"> send request to </w:t>
      </w:r>
      <w:hyperlink r:id="rId12" w:history="1">
        <w:r w:rsidR="009721BE" w:rsidRPr="00D9037F">
          <w:rPr>
            <w:rStyle w:val="Hyperlink"/>
          </w:rPr>
          <w:t>support@nexelus.net</w:t>
        </w:r>
      </w:hyperlink>
      <w:r w:rsidR="009721BE">
        <w:t>.</w:t>
      </w:r>
      <w:r w:rsidRPr="00D27F20">
        <w:t xml:space="preserve"> </w:t>
      </w:r>
      <w:r>
        <w:t>Nexelus</w:t>
      </w:r>
      <w:r w:rsidRPr="00D27F20">
        <w:t xml:space="preserve"> will provide </w:t>
      </w:r>
      <w:r w:rsidR="00EE0951" w:rsidRPr="00D27F20">
        <w:lastRenderedPageBreak/>
        <w:t>you with</w:t>
      </w:r>
      <w:r w:rsidRPr="00D27F20">
        <w:t xml:space="preserve"> notice of intended changes where a </w:t>
      </w:r>
      <w:r w:rsidR="009721BE" w:rsidRPr="00D27F20">
        <w:t>sign-up</w:t>
      </w:r>
      <w:r w:rsidRPr="00D27F20">
        <w:t xml:space="preserve"> mechanism is not available. For </w:t>
      </w:r>
      <w:r w:rsidR="009721BE">
        <w:t xml:space="preserve">Nexelus </w:t>
      </w:r>
      <w:r w:rsidRPr="00D27F20">
        <w:t xml:space="preserve">and </w:t>
      </w:r>
      <w:proofErr w:type="spellStart"/>
      <w:r w:rsidR="009721BE">
        <w:t>APWorks</w:t>
      </w:r>
      <w:proofErr w:type="spellEnd"/>
      <w:r w:rsidRPr="00D27F20">
        <w:t xml:space="preserve">, any additional </w:t>
      </w:r>
      <w:r w:rsidR="003F22B9" w:rsidRPr="00D27F20">
        <w:t>Third-Party</w:t>
      </w:r>
      <w:r w:rsidRPr="00D27F20">
        <w:t xml:space="preserve"> </w:t>
      </w:r>
      <w:r w:rsidR="003F22B9" w:rsidRPr="00D27F20">
        <w:t>Sub processors</w:t>
      </w:r>
      <w:r w:rsidRPr="00D27F20">
        <w:t xml:space="preserve"> that </w:t>
      </w:r>
      <w:r>
        <w:t>Nexelus</w:t>
      </w:r>
      <w:r w:rsidRPr="00D27F20">
        <w:t xml:space="preserve"> intends to use will be listed in Your order for </w:t>
      </w:r>
      <w:r w:rsidR="00EE0951">
        <w:t xml:space="preserve">Nexelus or </w:t>
      </w:r>
      <w:proofErr w:type="spellStart"/>
      <w:r w:rsidR="00EE0951">
        <w:t>APWorks</w:t>
      </w:r>
      <w:proofErr w:type="spellEnd"/>
      <w:r w:rsidRPr="00D27F20">
        <w:t>, or in a subsequent “</w:t>
      </w:r>
      <w:r>
        <w:t>Nexelus</w:t>
      </w:r>
      <w:r w:rsidRPr="00D27F20">
        <w:t xml:space="preserve"> </w:t>
      </w:r>
      <w:r w:rsidR="003F22B9" w:rsidRPr="00D27F20">
        <w:t>Sub processor</w:t>
      </w:r>
      <w:r w:rsidRPr="00D27F20">
        <w:t xml:space="preserve"> Notice”, which </w:t>
      </w:r>
      <w:r>
        <w:t>Nexelus</w:t>
      </w:r>
      <w:r w:rsidRPr="00D27F20">
        <w:t xml:space="preserve"> will send to you by e-mail as necessary.</w:t>
      </w:r>
    </w:p>
    <w:p w14:paraId="32898B0B" w14:textId="77777777" w:rsidR="000F2B38" w:rsidRDefault="00D27F20" w:rsidP="000F2B38">
      <w:pPr>
        <w:numPr>
          <w:ilvl w:val="1"/>
          <w:numId w:val="16"/>
        </w:numPr>
      </w:pPr>
      <w:r w:rsidRPr="00D27F20">
        <w:t xml:space="preserve">Within fourteen (14) calendar days of </w:t>
      </w:r>
      <w:r>
        <w:t>Nexelus</w:t>
      </w:r>
      <w:r w:rsidRPr="00D27F20">
        <w:t xml:space="preserve"> providing such notice to You under Section 4.2 above, You may object to the intended involvement of a Third Party </w:t>
      </w:r>
      <w:r w:rsidR="003F22B9" w:rsidRPr="00D27F20">
        <w:t>Sub processor</w:t>
      </w:r>
      <w:r w:rsidRPr="00D27F20">
        <w:t xml:space="preserve"> or </w:t>
      </w:r>
      <w:r>
        <w:t>Nexelus</w:t>
      </w:r>
      <w:r w:rsidRPr="00D27F20">
        <w:t xml:space="preserve"> Affiliate in the performance of the Services, providing objective justifiable grounds related to the ability of such </w:t>
      </w:r>
      <w:proofErr w:type="gramStart"/>
      <w:r w:rsidRPr="00D27F20">
        <w:t>Third Party</w:t>
      </w:r>
      <w:proofErr w:type="gramEnd"/>
      <w:r w:rsidRPr="00D27F20">
        <w:t xml:space="preserve"> </w:t>
      </w:r>
      <w:r w:rsidR="003F22B9" w:rsidRPr="00D27F20">
        <w:t>Sub processor</w:t>
      </w:r>
      <w:r w:rsidRPr="00D27F20">
        <w:t xml:space="preserve"> or </w:t>
      </w:r>
      <w:r>
        <w:t>Nexelus</w:t>
      </w:r>
      <w:r w:rsidRPr="00D27F20">
        <w:t xml:space="preserve"> Affiliate to adequately protect Personal Information in accordance with the Data Processing Agreement or Applicable European Data Protection Law in writing by submitting a “service</w:t>
      </w:r>
      <w:r w:rsidR="000F2B38">
        <w:t xml:space="preserve"> </w:t>
      </w:r>
      <w:r w:rsidRPr="00D27F20">
        <w:t xml:space="preserve">request” via </w:t>
      </w:r>
    </w:p>
    <w:p w14:paraId="04B18BE0" w14:textId="2A4FC4FA" w:rsidR="000F2B38" w:rsidRDefault="00D27F20" w:rsidP="000F2B38">
      <w:pPr>
        <w:pStyle w:val="ListParagraph"/>
        <w:numPr>
          <w:ilvl w:val="0"/>
          <w:numId w:val="18"/>
        </w:numPr>
      </w:pPr>
      <w:r w:rsidRPr="00D27F20">
        <w:t xml:space="preserve">My </w:t>
      </w:r>
      <w:r>
        <w:t>Nexelus</w:t>
      </w:r>
      <w:r w:rsidRPr="00D27F20">
        <w:t xml:space="preserve"> Support (or other applicable primary support tool) or </w:t>
      </w:r>
    </w:p>
    <w:p w14:paraId="3EAABC92" w14:textId="3129C213" w:rsidR="000F2B38" w:rsidRDefault="00D27F20" w:rsidP="000F2B38">
      <w:pPr>
        <w:pStyle w:val="ListParagraph"/>
        <w:numPr>
          <w:ilvl w:val="0"/>
          <w:numId w:val="18"/>
        </w:numPr>
      </w:pPr>
      <w:r w:rsidRPr="00D27F20">
        <w:t xml:space="preserve">for ACS and Consulting Services, the project manager for the Services. You and </w:t>
      </w:r>
      <w:r>
        <w:t>Nexelus</w:t>
      </w:r>
      <w:r w:rsidRPr="00D27F20">
        <w:t xml:space="preserve"> will work together in good faith to find a mutually acceptable resolution to address such objection, including but not limited to reviewing additional documentation supporting the </w:t>
      </w:r>
      <w:r w:rsidR="006734D3" w:rsidRPr="00D27F20">
        <w:t>Third-Party</w:t>
      </w:r>
      <w:r w:rsidRPr="00D27F20">
        <w:t xml:space="preserve"> </w:t>
      </w:r>
      <w:r w:rsidR="006734D3" w:rsidRPr="00D27F20">
        <w:t>Sub processor’s</w:t>
      </w:r>
      <w:r w:rsidRPr="00D27F20">
        <w:t xml:space="preserve"> or </w:t>
      </w:r>
      <w:r>
        <w:t>Nexelus</w:t>
      </w:r>
      <w:r w:rsidRPr="00D27F20">
        <w:t xml:space="preserve"> Affiliate’s compliance with the Data Processing Agreement or Applicable European Data Protection Law, or delivering the Services without the involvement of such </w:t>
      </w:r>
      <w:r w:rsidR="00AC1161" w:rsidRPr="00D27F20">
        <w:t>Third-Party</w:t>
      </w:r>
      <w:r w:rsidRPr="00D27F20">
        <w:t xml:space="preserve"> </w:t>
      </w:r>
      <w:r w:rsidR="006734D3" w:rsidRPr="00D27F20">
        <w:t>Sub processor</w:t>
      </w:r>
      <w:r w:rsidRPr="00D27F20">
        <w:t xml:space="preserve">. To the extent You and </w:t>
      </w:r>
      <w:r>
        <w:t>Nexelus</w:t>
      </w:r>
      <w:r w:rsidRPr="00D27F20">
        <w:t xml:space="preserve"> do not reach a mutually acceptable resolution within a reasonable timeframe, </w:t>
      </w:r>
      <w:r w:rsidR="006734D3" w:rsidRPr="00D27F20">
        <w:t>you</w:t>
      </w:r>
      <w:r w:rsidRPr="00D27F20">
        <w:t xml:space="preserve"> shall have the right to terminate the relevant Services </w:t>
      </w:r>
    </w:p>
    <w:p w14:paraId="21956AAF" w14:textId="60F1B2DE" w:rsidR="000F2B38" w:rsidRDefault="00D27F20" w:rsidP="000F2B38">
      <w:pPr>
        <w:pStyle w:val="ListParagraph"/>
        <w:numPr>
          <w:ilvl w:val="0"/>
          <w:numId w:val="19"/>
        </w:numPr>
      </w:pPr>
      <w:r w:rsidRPr="00D27F20">
        <w:t xml:space="preserve">upon serving thirty (30) days prior </w:t>
      </w:r>
      <w:r w:rsidR="00AC1161" w:rsidRPr="00D27F20">
        <w:t>notice.</w:t>
      </w:r>
      <w:r w:rsidRPr="00D27F20">
        <w:t xml:space="preserve"> </w:t>
      </w:r>
    </w:p>
    <w:p w14:paraId="443AC24B" w14:textId="77777777" w:rsidR="000F2B38" w:rsidRDefault="00D27F20" w:rsidP="000F2B38">
      <w:pPr>
        <w:pStyle w:val="ListParagraph"/>
        <w:numPr>
          <w:ilvl w:val="0"/>
          <w:numId w:val="19"/>
        </w:numPr>
      </w:pPr>
      <w:r w:rsidRPr="00D27F20">
        <w:t xml:space="preserve">without liability to You or </w:t>
      </w:r>
      <w:r>
        <w:t>Nexelus</w:t>
      </w:r>
      <w:r w:rsidRPr="00D27F20">
        <w:t xml:space="preserve"> and </w:t>
      </w:r>
    </w:p>
    <w:p w14:paraId="4001D523" w14:textId="77777777" w:rsidR="000F2B38" w:rsidRDefault="00D27F20" w:rsidP="000F2B38">
      <w:pPr>
        <w:pStyle w:val="ListParagraph"/>
        <w:numPr>
          <w:ilvl w:val="0"/>
          <w:numId w:val="19"/>
        </w:numPr>
      </w:pPr>
      <w:r w:rsidRPr="00D27F20">
        <w:t xml:space="preserve">without relieving You from Your payment obligations under the Services Agreement up to the date of termination. </w:t>
      </w:r>
    </w:p>
    <w:p w14:paraId="59101D45" w14:textId="170BEFF9" w:rsidR="00D27F20" w:rsidRPr="00D27F20" w:rsidRDefault="00D27F20" w:rsidP="000F2B38">
      <w:pPr>
        <w:ind w:left="1080"/>
      </w:pPr>
      <w:r w:rsidRPr="00D27F20">
        <w:t xml:space="preserve">If the termination in accordance with this Section 4.3 only pertains to a portion of Services under an order, </w:t>
      </w:r>
      <w:r w:rsidR="006734D3" w:rsidRPr="00D27F20">
        <w:t>you</w:t>
      </w:r>
      <w:r w:rsidRPr="00D27F20">
        <w:t xml:space="preserve"> will </w:t>
      </w:r>
      <w:r w:rsidR="006734D3" w:rsidRPr="00D27F20">
        <w:t>enter</w:t>
      </w:r>
      <w:r w:rsidRPr="00D27F20">
        <w:t xml:space="preserve"> an amendment or replacement order to reflect such partial termination.</w:t>
      </w:r>
    </w:p>
    <w:p w14:paraId="5B35FAA8" w14:textId="29FC6E12" w:rsidR="00D27F20" w:rsidRPr="003F22B9" w:rsidRDefault="00D27F20" w:rsidP="00BC13A7">
      <w:pPr>
        <w:pStyle w:val="ListParagraph"/>
        <w:numPr>
          <w:ilvl w:val="0"/>
          <w:numId w:val="16"/>
        </w:numPr>
        <w:rPr>
          <w:b/>
          <w:bCs/>
        </w:rPr>
      </w:pPr>
      <w:r w:rsidRPr="003F22B9">
        <w:rPr>
          <w:b/>
          <w:bCs/>
        </w:rPr>
        <w:t>Information and Assistance</w:t>
      </w:r>
    </w:p>
    <w:p w14:paraId="1C7096AF" w14:textId="3D1EAC1C" w:rsidR="00D27F20" w:rsidRPr="00D27F20" w:rsidRDefault="00D27F20" w:rsidP="00BC13A7">
      <w:pPr>
        <w:numPr>
          <w:ilvl w:val="1"/>
          <w:numId w:val="16"/>
        </w:numPr>
      </w:pPr>
      <w:r w:rsidRPr="00D27F20">
        <w:t xml:space="preserve">For hosted Services, </w:t>
      </w:r>
      <w:r w:rsidR="00AC1161" w:rsidRPr="00D27F20">
        <w:t>your</w:t>
      </w:r>
      <w:r w:rsidRPr="00D27F20">
        <w:t xml:space="preserve"> audit rights under Section 7 of the Data Processing Agreement include the right to conduct inspections of the applicable Services data center facility that hosts Personal Information.</w:t>
      </w:r>
    </w:p>
    <w:p w14:paraId="1CE65F00" w14:textId="14F664D2" w:rsidR="00D27F20" w:rsidRPr="00D27F20" w:rsidRDefault="00D27F20" w:rsidP="00BC13A7">
      <w:pPr>
        <w:numPr>
          <w:ilvl w:val="1"/>
          <w:numId w:val="16"/>
        </w:numPr>
      </w:pPr>
      <w:r w:rsidRPr="00D27F20">
        <w:t xml:space="preserve">In addition, </w:t>
      </w:r>
      <w:r w:rsidR="00AC1161" w:rsidRPr="00D27F20">
        <w:t>you</w:t>
      </w:r>
      <w:r w:rsidRPr="00D27F20">
        <w:t xml:space="preserve"> may request that </w:t>
      </w:r>
      <w:r>
        <w:t>Nexelus</w:t>
      </w:r>
      <w:r w:rsidRPr="00D27F20">
        <w:t xml:space="preserve"> audit a </w:t>
      </w:r>
      <w:r w:rsidR="00AC1161" w:rsidRPr="00D27F20">
        <w:t>Third-Party</w:t>
      </w:r>
      <w:r w:rsidRPr="00D27F20">
        <w:t xml:space="preserve"> </w:t>
      </w:r>
      <w:r w:rsidR="00FC09A3" w:rsidRPr="00D27F20">
        <w:t>Sub processor</w:t>
      </w:r>
      <w:r w:rsidRPr="00D27F20">
        <w:t xml:space="preserve"> or provide confirmation that such an audit has occurred (or, where available, obtain or assist You in obtaining a third-party audit report concerning the </w:t>
      </w:r>
      <w:r w:rsidR="009721BE" w:rsidRPr="00D27F20">
        <w:t>Third-Party</w:t>
      </w:r>
      <w:r w:rsidRPr="00D27F20">
        <w:t xml:space="preserve"> </w:t>
      </w:r>
      <w:r w:rsidR="00FC09A3" w:rsidRPr="00D27F20">
        <w:t>Sub processor’s</w:t>
      </w:r>
      <w:r w:rsidRPr="00D27F20">
        <w:t xml:space="preserve"> operations) to verify compliance with the </w:t>
      </w:r>
      <w:r w:rsidR="00EE0951" w:rsidRPr="00D27F20">
        <w:t>Third-Party</w:t>
      </w:r>
      <w:r w:rsidRPr="00D27F20">
        <w:t xml:space="preserve"> </w:t>
      </w:r>
      <w:r w:rsidR="00FC09A3" w:rsidRPr="00D27F20">
        <w:t>Sub processor’s</w:t>
      </w:r>
      <w:r w:rsidRPr="00D27F20">
        <w:t xml:space="preserve"> obligations. You will also be entitled, upon written request, to receive copies of the relevant privacy and security terms of </w:t>
      </w:r>
      <w:r>
        <w:t>Nexelus’</w:t>
      </w:r>
      <w:r w:rsidRPr="00D27F20">
        <w:t xml:space="preserve"> agreement with any </w:t>
      </w:r>
      <w:r w:rsidR="009721BE" w:rsidRPr="00D27F20">
        <w:t>Third-Party</w:t>
      </w:r>
      <w:r w:rsidRPr="00D27F20">
        <w:t xml:space="preserve"> </w:t>
      </w:r>
      <w:r w:rsidR="00FC09A3" w:rsidRPr="00D27F20">
        <w:t>Sub processors</w:t>
      </w:r>
      <w:r w:rsidRPr="00D27F20">
        <w:t xml:space="preserve"> and </w:t>
      </w:r>
      <w:r>
        <w:t>Nexelus</w:t>
      </w:r>
      <w:r w:rsidRPr="00D27F20">
        <w:t xml:space="preserve"> Affiliates that may Process Personal Information.</w:t>
      </w:r>
    </w:p>
    <w:p w14:paraId="2C5B89DC" w14:textId="370D743A" w:rsidR="00D27F20" w:rsidRPr="00D27F20" w:rsidRDefault="00D27F20" w:rsidP="00BC13A7">
      <w:pPr>
        <w:numPr>
          <w:ilvl w:val="1"/>
          <w:numId w:val="16"/>
        </w:numPr>
      </w:pPr>
      <w:r>
        <w:t>Nexelus</w:t>
      </w:r>
      <w:r w:rsidRPr="00D27F20">
        <w:t xml:space="preserve"> provides You with information and assistance </w:t>
      </w:r>
      <w:r w:rsidR="00FC09A3" w:rsidRPr="00D27F20">
        <w:t>reasonably</w:t>
      </w:r>
      <w:r w:rsidRPr="00D27F20">
        <w:t xml:space="preserve"> necessary for You to conduct Your data protection impact assessments or consult with Your Regulator(s), by granting You </w:t>
      </w:r>
      <w:r w:rsidRPr="00D27F20">
        <w:lastRenderedPageBreak/>
        <w:t xml:space="preserve">electronic access to a record of Processing activities and any available privacy &amp; security functionality guides for the Services. </w:t>
      </w:r>
    </w:p>
    <w:p w14:paraId="634671A3" w14:textId="01F177FC" w:rsidR="00D27F20" w:rsidRPr="003F22B9" w:rsidRDefault="00D27F20" w:rsidP="00BC13A7">
      <w:pPr>
        <w:pStyle w:val="ListParagraph"/>
        <w:numPr>
          <w:ilvl w:val="0"/>
          <w:numId w:val="16"/>
        </w:numPr>
        <w:rPr>
          <w:b/>
          <w:bCs/>
        </w:rPr>
      </w:pPr>
      <w:r w:rsidRPr="003F22B9">
        <w:rPr>
          <w:b/>
          <w:bCs/>
        </w:rPr>
        <w:t>Data Protection Officer</w:t>
      </w:r>
    </w:p>
    <w:p w14:paraId="43B9E4EE" w14:textId="34DA6019" w:rsidR="00D27F20" w:rsidRPr="00D27F20" w:rsidRDefault="00D27F20" w:rsidP="00BC13A7">
      <w:pPr>
        <w:numPr>
          <w:ilvl w:val="1"/>
          <w:numId w:val="16"/>
        </w:numPr>
        <w:rPr>
          <w:highlight w:val="yellow"/>
        </w:rPr>
      </w:pPr>
      <w:r>
        <w:t>Nexelus</w:t>
      </w:r>
      <w:r w:rsidRPr="00D27F20">
        <w:t xml:space="preserve"> has appointed a Global Data Protection Officer and, in some European countries, a local Data Protection Officer. Further details on how to contact </w:t>
      </w:r>
      <w:r>
        <w:t>Nexelus’</w:t>
      </w:r>
      <w:r w:rsidRPr="00D27F20">
        <w:t xml:space="preserve"> Global Data Protection Officer and, where applicable, the local Data Protection Officer, are available </w:t>
      </w:r>
      <w:commentRangeStart w:id="8"/>
      <w:r w:rsidRPr="00D27F20">
        <w:rPr>
          <w:highlight w:val="yellow"/>
        </w:rPr>
        <w:fldChar w:fldCharType="begin"/>
      </w:r>
      <w:r w:rsidRPr="00D27F20">
        <w:rPr>
          <w:highlight w:val="yellow"/>
        </w:rPr>
        <w:instrText>HYPERLINK "https://www.oracle.com/legal/privacy/index.html"</w:instrText>
      </w:r>
      <w:r w:rsidRPr="00D27F20">
        <w:rPr>
          <w:highlight w:val="yellow"/>
        </w:rPr>
      </w:r>
      <w:r w:rsidRPr="00D27F20">
        <w:rPr>
          <w:highlight w:val="yellow"/>
        </w:rPr>
        <w:fldChar w:fldCharType="separate"/>
      </w:r>
      <w:r w:rsidRPr="00D27F20">
        <w:rPr>
          <w:rStyle w:val="Hyperlink"/>
          <w:highlight w:val="yellow"/>
        </w:rPr>
        <w:t>he</w:t>
      </w:r>
      <w:r w:rsidRPr="00D27F20">
        <w:rPr>
          <w:rStyle w:val="Hyperlink"/>
          <w:highlight w:val="yellow"/>
        </w:rPr>
        <w:t>r</w:t>
      </w:r>
      <w:r w:rsidRPr="00D27F20">
        <w:rPr>
          <w:rStyle w:val="Hyperlink"/>
          <w:highlight w:val="yellow"/>
        </w:rPr>
        <w:t>e.</w:t>
      </w:r>
      <w:r w:rsidRPr="00D27F20">
        <w:rPr>
          <w:highlight w:val="yellow"/>
        </w:rPr>
        <w:fldChar w:fldCharType="end"/>
      </w:r>
      <w:commentRangeEnd w:id="8"/>
      <w:r w:rsidR="00AC1161">
        <w:rPr>
          <w:rStyle w:val="CommentReference"/>
        </w:rPr>
        <w:commentReference w:id="8"/>
      </w:r>
    </w:p>
    <w:p w14:paraId="1F9193BE" w14:textId="78E72B94" w:rsidR="00D27F20" w:rsidRPr="00D27F20" w:rsidRDefault="00D27F20" w:rsidP="00BC13A7">
      <w:pPr>
        <w:numPr>
          <w:ilvl w:val="1"/>
          <w:numId w:val="16"/>
        </w:numPr>
      </w:pPr>
      <w:r w:rsidRPr="00D27F20">
        <w:t xml:space="preserve">If You have appointed a Data Protection Officer, </w:t>
      </w:r>
      <w:proofErr w:type="gramStart"/>
      <w:r w:rsidRPr="00D27F20">
        <w:t>You</w:t>
      </w:r>
      <w:proofErr w:type="gramEnd"/>
      <w:r w:rsidRPr="00D27F20">
        <w:t xml:space="preserve"> may request </w:t>
      </w:r>
      <w:r>
        <w:t>Nexelus</w:t>
      </w:r>
      <w:r w:rsidRPr="00D27F20">
        <w:t xml:space="preserve"> to include the contact details of Your Data Protection Officer in the relevant Services order.</w:t>
      </w:r>
    </w:p>
    <w:p w14:paraId="52C9328B" w14:textId="77777777" w:rsidR="00157136" w:rsidRDefault="00157136"/>
    <w:sectPr w:rsidR="00157136">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auseef Shezad" w:date="2024-08-15T14:04:00Z" w:initials="TS">
    <w:p w14:paraId="40EB211C" w14:textId="77777777" w:rsidR="00AC1161" w:rsidRDefault="00AC1161" w:rsidP="00AC1161">
      <w:pPr>
        <w:pStyle w:val="CommentText"/>
      </w:pPr>
      <w:r>
        <w:rPr>
          <w:rStyle w:val="CommentReference"/>
        </w:rPr>
        <w:annotationRef/>
      </w:r>
      <w:r>
        <w:t>Terms of Service needs to be developed.</w:t>
      </w:r>
    </w:p>
  </w:comment>
  <w:comment w:id="1" w:author="Tauseef Shezad" w:date="2024-08-15T14:06:00Z" w:initials="TS">
    <w:p w14:paraId="3B2C50E6" w14:textId="77777777" w:rsidR="00AC1161" w:rsidRDefault="00AC1161" w:rsidP="00AC1161">
      <w:pPr>
        <w:pStyle w:val="CommentText"/>
      </w:pPr>
      <w:r>
        <w:rPr>
          <w:rStyle w:val="CommentReference"/>
        </w:rPr>
        <w:annotationRef/>
      </w:r>
      <w:r>
        <w:t>Support with respect to GDPR needs to be developed for Nexelus</w:t>
      </w:r>
    </w:p>
  </w:comment>
  <w:comment w:id="2" w:author="Tauseef Shezad" w:date="2024-08-15T14:07:00Z" w:initials="TS">
    <w:p w14:paraId="63971A77" w14:textId="77777777" w:rsidR="00A21C54" w:rsidRDefault="00AC1161" w:rsidP="00A21C54">
      <w:pPr>
        <w:pStyle w:val="CommentText"/>
      </w:pPr>
      <w:r>
        <w:rPr>
          <w:rStyle w:val="CommentReference"/>
        </w:rPr>
        <w:annotationRef/>
      </w:r>
      <w:r w:rsidR="00A21C54">
        <w:t>This means HiquSystems and/or any other affliliate</w:t>
      </w:r>
    </w:p>
  </w:comment>
  <w:comment w:id="6" w:author="Tauseef Shezad" w:date="2024-08-15T14:08:00Z" w:initials="TS">
    <w:p w14:paraId="33452BDF" w14:textId="71E55308" w:rsidR="00A21C54" w:rsidRDefault="00AC1161" w:rsidP="00A21C54">
      <w:pPr>
        <w:pStyle w:val="CommentText"/>
      </w:pPr>
      <w:r>
        <w:rPr>
          <w:rStyle w:val="CommentReference"/>
        </w:rPr>
        <w:annotationRef/>
      </w:r>
      <w:r w:rsidR="00A21C54">
        <w:t>This needs to be developed and provided on our Website. This can be a PDF file of a web page</w:t>
      </w:r>
    </w:p>
  </w:comment>
  <w:comment w:id="7" w:author="Tauseef Shezad" w:date="2024-08-15T14:09:00Z" w:initials="TS">
    <w:p w14:paraId="4F4C23A9" w14:textId="623BFB7B" w:rsidR="00AC1161" w:rsidRDefault="00AC1161" w:rsidP="00AC1161">
      <w:pPr>
        <w:pStyle w:val="CommentText"/>
      </w:pPr>
      <w:r>
        <w:rPr>
          <w:rStyle w:val="CommentReference"/>
        </w:rPr>
        <w:annotationRef/>
      </w:r>
      <w:r>
        <w:t>Link to a website page with Nexelus Subsidiaries</w:t>
      </w:r>
    </w:p>
  </w:comment>
  <w:comment w:id="8" w:author="Tauseef Shezad" w:date="2024-08-15T14:00:00Z" w:initials="TS">
    <w:p w14:paraId="76E8BC8B" w14:textId="79CCA539" w:rsidR="00AC1161" w:rsidRDefault="00AC1161" w:rsidP="00AC1161">
      <w:pPr>
        <w:pStyle w:val="CommentText"/>
      </w:pPr>
      <w:r>
        <w:rPr>
          <w:rStyle w:val="CommentReference"/>
        </w:rPr>
        <w:annotationRef/>
      </w:r>
      <w:r>
        <w:t>We need to have a privacy policy on our website and provide a link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EB211C" w15:done="0"/>
  <w15:commentEx w15:paraId="3B2C50E6" w15:done="0"/>
  <w15:commentEx w15:paraId="63971A77" w15:done="0"/>
  <w15:commentEx w15:paraId="33452BDF" w15:done="0"/>
  <w15:commentEx w15:paraId="4F4C23A9" w15:done="0"/>
  <w15:commentEx w15:paraId="76E8BC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3B3035" w16cex:dateUtc="2024-08-15T09:04:00Z"/>
  <w16cex:commentExtensible w16cex:durableId="47169A33" w16cex:dateUtc="2024-08-15T09:06:00Z"/>
  <w16cex:commentExtensible w16cex:durableId="6AA450B4" w16cex:dateUtc="2024-08-15T09:07:00Z"/>
  <w16cex:commentExtensible w16cex:durableId="2F0F57E4" w16cex:dateUtc="2024-08-15T09:08:00Z"/>
  <w16cex:commentExtensible w16cex:durableId="2C8E2DB4" w16cex:dateUtc="2024-08-15T09:09:00Z"/>
  <w16cex:commentExtensible w16cex:durableId="3A0E7BA4" w16cex:dateUtc="2024-08-15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EB211C" w16cid:durableId="7B3B3035"/>
  <w16cid:commentId w16cid:paraId="3B2C50E6" w16cid:durableId="47169A33"/>
  <w16cid:commentId w16cid:paraId="63971A77" w16cid:durableId="6AA450B4"/>
  <w16cid:commentId w16cid:paraId="33452BDF" w16cid:durableId="2F0F57E4"/>
  <w16cid:commentId w16cid:paraId="4F4C23A9" w16cid:durableId="2C8E2DB4"/>
  <w16cid:commentId w16cid:paraId="76E8BC8B" w16cid:durableId="3A0E7B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2E8D1" w14:textId="77777777" w:rsidR="00A37BAC" w:rsidRDefault="00A37BAC" w:rsidP="00D27F20">
      <w:pPr>
        <w:spacing w:after="0" w:line="240" w:lineRule="auto"/>
      </w:pPr>
      <w:r>
        <w:separator/>
      </w:r>
    </w:p>
  </w:endnote>
  <w:endnote w:type="continuationSeparator" w:id="0">
    <w:p w14:paraId="23829FB6" w14:textId="77777777" w:rsidR="00A37BAC" w:rsidRDefault="00A37BAC" w:rsidP="00D2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AB1BC" w14:textId="77777777" w:rsidR="00A37BAC" w:rsidRDefault="00A37BAC" w:rsidP="00D27F20">
      <w:pPr>
        <w:spacing w:after="0" w:line="240" w:lineRule="auto"/>
      </w:pPr>
      <w:r>
        <w:separator/>
      </w:r>
    </w:p>
  </w:footnote>
  <w:footnote w:type="continuationSeparator" w:id="0">
    <w:p w14:paraId="3C76153F" w14:textId="77777777" w:rsidR="00A37BAC" w:rsidRDefault="00A37BAC" w:rsidP="00D27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83FB" w14:textId="2373876A" w:rsidR="00D27F20" w:rsidRDefault="00D27F20" w:rsidP="00D27F20">
    <w:pPr>
      <w:pStyle w:val="Header"/>
      <w:pBdr>
        <w:bottom w:val="single" w:sz="4" w:space="1" w:color="auto"/>
      </w:pBdr>
    </w:pPr>
    <w:r>
      <w:rPr>
        <w:noProof/>
      </w:rPr>
      <w:drawing>
        <wp:anchor distT="0" distB="0" distL="114300" distR="114300" simplePos="0" relativeHeight="251659264" behindDoc="1" locked="0" layoutInCell="1" allowOverlap="1" wp14:anchorId="275F229F" wp14:editId="68597EA8">
          <wp:simplePos x="0" y="0"/>
          <wp:positionH relativeFrom="column">
            <wp:posOffset>0</wp:posOffset>
          </wp:positionH>
          <wp:positionV relativeFrom="paragraph">
            <wp:posOffset>171450</wp:posOffset>
          </wp:positionV>
          <wp:extent cx="1409282" cy="419100"/>
          <wp:effectExtent l="0" t="0" r="0" b="0"/>
          <wp:wrapTopAndBottom/>
          <wp:docPr id="70368000" name="Picture 3"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282" cy="419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0AF"/>
    <w:multiLevelType w:val="hybridMultilevel"/>
    <w:tmpl w:val="BACA8F3A"/>
    <w:lvl w:ilvl="0" w:tplc="47B6A4A4">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1687D82"/>
    <w:multiLevelType w:val="multilevel"/>
    <w:tmpl w:val="870C7C6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12793B"/>
    <w:multiLevelType w:val="hybridMultilevel"/>
    <w:tmpl w:val="721AE56C"/>
    <w:lvl w:ilvl="0" w:tplc="DA128916">
      <w:start w:val="1"/>
      <w:numFmt w:val="lowerRoman"/>
      <w:lvlText w:val="(%1)"/>
      <w:lvlJc w:val="left"/>
      <w:pPr>
        <w:ind w:left="1487" w:hanging="720"/>
      </w:pPr>
      <w:rPr>
        <w:rFonts w:hint="default"/>
      </w:rPr>
    </w:lvl>
    <w:lvl w:ilvl="1" w:tplc="04090019" w:tentative="1">
      <w:start w:val="1"/>
      <w:numFmt w:val="lowerLetter"/>
      <w:lvlText w:val="%2."/>
      <w:lvlJc w:val="left"/>
      <w:pPr>
        <w:ind w:left="1847" w:hanging="360"/>
      </w:pPr>
    </w:lvl>
    <w:lvl w:ilvl="2" w:tplc="0409001B" w:tentative="1">
      <w:start w:val="1"/>
      <w:numFmt w:val="lowerRoman"/>
      <w:lvlText w:val="%3."/>
      <w:lvlJc w:val="right"/>
      <w:pPr>
        <w:ind w:left="2567" w:hanging="180"/>
      </w:pPr>
    </w:lvl>
    <w:lvl w:ilvl="3" w:tplc="0409000F" w:tentative="1">
      <w:start w:val="1"/>
      <w:numFmt w:val="decimal"/>
      <w:lvlText w:val="%4."/>
      <w:lvlJc w:val="left"/>
      <w:pPr>
        <w:ind w:left="3287" w:hanging="360"/>
      </w:pPr>
    </w:lvl>
    <w:lvl w:ilvl="4" w:tplc="04090019" w:tentative="1">
      <w:start w:val="1"/>
      <w:numFmt w:val="lowerLetter"/>
      <w:lvlText w:val="%5."/>
      <w:lvlJc w:val="left"/>
      <w:pPr>
        <w:ind w:left="4007" w:hanging="360"/>
      </w:pPr>
    </w:lvl>
    <w:lvl w:ilvl="5" w:tplc="0409001B" w:tentative="1">
      <w:start w:val="1"/>
      <w:numFmt w:val="lowerRoman"/>
      <w:lvlText w:val="%6."/>
      <w:lvlJc w:val="right"/>
      <w:pPr>
        <w:ind w:left="4727" w:hanging="180"/>
      </w:pPr>
    </w:lvl>
    <w:lvl w:ilvl="6" w:tplc="0409000F" w:tentative="1">
      <w:start w:val="1"/>
      <w:numFmt w:val="decimal"/>
      <w:lvlText w:val="%7."/>
      <w:lvlJc w:val="left"/>
      <w:pPr>
        <w:ind w:left="5447" w:hanging="360"/>
      </w:pPr>
    </w:lvl>
    <w:lvl w:ilvl="7" w:tplc="04090019" w:tentative="1">
      <w:start w:val="1"/>
      <w:numFmt w:val="lowerLetter"/>
      <w:lvlText w:val="%8."/>
      <w:lvlJc w:val="left"/>
      <w:pPr>
        <w:ind w:left="6167" w:hanging="360"/>
      </w:pPr>
    </w:lvl>
    <w:lvl w:ilvl="8" w:tplc="0409001B" w:tentative="1">
      <w:start w:val="1"/>
      <w:numFmt w:val="lowerRoman"/>
      <w:lvlText w:val="%9."/>
      <w:lvlJc w:val="right"/>
      <w:pPr>
        <w:ind w:left="6887" w:hanging="180"/>
      </w:pPr>
    </w:lvl>
  </w:abstractNum>
  <w:abstractNum w:abstractNumId="3" w15:restartNumberingAfterBreak="0">
    <w:nsid w:val="19B91496"/>
    <w:multiLevelType w:val="hybridMultilevel"/>
    <w:tmpl w:val="4682709A"/>
    <w:lvl w:ilvl="0" w:tplc="3140B6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F666B9"/>
    <w:multiLevelType w:val="multilevel"/>
    <w:tmpl w:val="F6DCEDE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0C2FBA"/>
    <w:multiLevelType w:val="hybridMultilevel"/>
    <w:tmpl w:val="3D624686"/>
    <w:lvl w:ilvl="0" w:tplc="866699E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06591"/>
    <w:multiLevelType w:val="hybridMultilevel"/>
    <w:tmpl w:val="7F509EC4"/>
    <w:lvl w:ilvl="0" w:tplc="677C9668">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01F61"/>
    <w:multiLevelType w:val="hybridMultilevel"/>
    <w:tmpl w:val="76E6BE50"/>
    <w:lvl w:ilvl="0" w:tplc="91AE5FAA">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107876"/>
    <w:multiLevelType w:val="multilevel"/>
    <w:tmpl w:val="1B60B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D01908"/>
    <w:multiLevelType w:val="multilevel"/>
    <w:tmpl w:val="41B8B918"/>
    <w:lvl w:ilvl="0">
      <w:start w:val="1"/>
      <w:numFmt w:val="decimal"/>
      <w:lvlText w:val="%1."/>
      <w:lvlJc w:val="left"/>
      <w:pPr>
        <w:ind w:left="468" w:hanging="360"/>
      </w:pPr>
      <w:rPr>
        <w:rFonts w:ascii="Arial" w:eastAsia="Arial" w:hAnsi="Arial" w:cs="Arial" w:hint="default"/>
        <w:b/>
        <w:bCs/>
        <w:i w:val="0"/>
        <w:iCs w:val="0"/>
        <w:spacing w:val="-1"/>
        <w:w w:val="99"/>
        <w:sz w:val="20"/>
        <w:szCs w:val="20"/>
        <w:lang w:val="en-US" w:eastAsia="en-US" w:bidi="ar-SA"/>
      </w:rPr>
    </w:lvl>
    <w:lvl w:ilvl="1">
      <w:start w:val="1"/>
      <w:numFmt w:val="decimal"/>
      <w:lvlText w:val="%1.%2"/>
      <w:lvlJc w:val="left"/>
      <w:pPr>
        <w:ind w:left="108" w:hanging="351"/>
      </w:pPr>
      <w:rPr>
        <w:rFonts w:ascii="Arial MT" w:eastAsia="Arial MT" w:hAnsi="Arial MT" w:cs="Arial MT" w:hint="default"/>
        <w:b w:val="0"/>
        <w:bCs w:val="0"/>
        <w:i w:val="0"/>
        <w:iCs w:val="0"/>
        <w:spacing w:val="0"/>
        <w:w w:val="99"/>
        <w:sz w:val="20"/>
        <w:szCs w:val="20"/>
        <w:lang w:val="en-US" w:eastAsia="en-US" w:bidi="ar-SA"/>
      </w:rPr>
    </w:lvl>
    <w:lvl w:ilvl="2">
      <w:numFmt w:val="bullet"/>
      <w:lvlText w:val="•"/>
      <w:lvlJc w:val="left"/>
      <w:pPr>
        <w:ind w:left="1466" w:hanging="351"/>
      </w:pPr>
      <w:rPr>
        <w:lang w:val="en-US" w:eastAsia="en-US" w:bidi="ar-SA"/>
      </w:rPr>
    </w:lvl>
    <w:lvl w:ilvl="3">
      <w:numFmt w:val="bullet"/>
      <w:lvlText w:val="•"/>
      <w:lvlJc w:val="left"/>
      <w:pPr>
        <w:ind w:left="2473" w:hanging="351"/>
      </w:pPr>
      <w:rPr>
        <w:lang w:val="en-US" w:eastAsia="en-US" w:bidi="ar-SA"/>
      </w:rPr>
    </w:lvl>
    <w:lvl w:ilvl="4">
      <w:numFmt w:val="bullet"/>
      <w:lvlText w:val="•"/>
      <w:lvlJc w:val="left"/>
      <w:pPr>
        <w:ind w:left="3480" w:hanging="351"/>
      </w:pPr>
      <w:rPr>
        <w:lang w:val="en-US" w:eastAsia="en-US" w:bidi="ar-SA"/>
      </w:rPr>
    </w:lvl>
    <w:lvl w:ilvl="5">
      <w:numFmt w:val="bullet"/>
      <w:lvlText w:val="•"/>
      <w:lvlJc w:val="left"/>
      <w:pPr>
        <w:ind w:left="4486" w:hanging="351"/>
      </w:pPr>
      <w:rPr>
        <w:lang w:val="en-US" w:eastAsia="en-US" w:bidi="ar-SA"/>
      </w:rPr>
    </w:lvl>
    <w:lvl w:ilvl="6">
      <w:numFmt w:val="bullet"/>
      <w:lvlText w:val="•"/>
      <w:lvlJc w:val="left"/>
      <w:pPr>
        <w:ind w:left="5493" w:hanging="351"/>
      </w:pPr>
      <w:rPr>
        <w:lang w:val="en-US" w:eastAsia="en-US" w:bidi="ar-SA"/>
      </w:rPr>
    </w:lvl>
    <w:lvl w:ilvl="7">
      <w:numFmt w:val="bullet"/>
      <w:lvlText w:val="•"/>
      <w:lvlJc w:val="left"/>
      <w:pPr>
        <w:ind w:left="6500" w:hanging="351"/>
      </w:pPr>
      <w:rPr>
        <w:lang w:val="en-US" w:eastAsia="en-US" w:bidi="ar-SA"/>
      </w:rPr>
    </w:lvl>
    <w:lvl w:ilvl="8">
      <w:numFmt w:val="bullet"/>
      <w:lvlText w:val="•"/>
      <w:lvlJc w:val="left"/>
      <w:pPr>
        <w:ind w:left="7506" w:hanging="351"/>
      </w:pPr>
      <w:rPr>
        <w:lang w:val="en-US" w:eastAsia="en-US" w:bidi="ar-SA"/>
      </w:rPr>
    </w:lvl>
  </w:abstractNum>
  <w:abstractNum w:abstractNumId="10" w15:restartNumberingAfterBreak="0">
    <w:nsid w:val="471B16E9"/>
    <w:multiLevelType w:val="multilevel"/>
    <w:tmpl w:val="B97A0A6E"/>
    <w:lvl w:ilvl="0">
      <w:start w:val="1"/>
      <w:numFmt w:val="decimal"/>
      <w:lvlText w:val="%1."/>
      <w:lvlJc w:val="left"/>
      <w:pPr>
        <w:ind w:left="329" w:hanging="221"/>
      </w:pPr>
      <w:rPr>
        <w:rFonts w:ascii="Arial" w:eastAsia="Arial" w:hAnsi="Arial" w:cs="Arial" w:hint="default"/>
        <w:b/>
        <w:bCs/>
        <w:i w:val="0"/>
        <w:iCs w:val="0"/>
        <w:spacing w:val="0"/>
        <w:w w:val="99"/>
        <w:sz w:val="20"/>
        <w:szCs w:val="20"/>
        <w:lang w:val="en-US" w:eastAsia="en-US" w:bidi="ar-SA"/>
      </w:rPr>
    </w:lvl>
    <w:lvl w:ilvl="1">
      <w:start w:val="1"/>
      <w:numFmt w:val="bullet"/>
      <w:lvlText w:val=""/>
      <w:lvlJc w:val="left"/>
      <w:pPr>
        <w:ind w:left="810" w:hanging="360"/>
      </w:pPr>
      <w:rPr>
        <w:rFonts w:ascii="Symbol" w:hAnsi="Symbol" w:hint="default"/>
      </w:rPr>
    </w:lvl>
    <w:lvl w:ilvl="2">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820" w:hanging="360"/>
      </w:pPr>
      <w:rPr>
        <w:lang w:val="en-US" w:eastAsia="en-US" w:bidi="ar-SA"/>
      </w:rPr>
    </w:lvl>
    <w:lvl w:ilvl="4">
      <w:numFmt w:val="bullet"/>
      <w:lvlText w:val="•"/>
      <w:lvlJc w:val="left"/>
      <w:pPr>
        <w:ind w:left="2062" w:hanging="360"/>
      </w:pPr>
      <w:rPr>
        <w:lang w:val="en-US" w:eastAsia="en-US" w:bidi="ar-SA"/>
      </w:rPr>
    </w:lvl>
    <w:lvl w:ilvl="5">
      <w:numFmt w:val="bullet"/>
      <w:lvlText w:val="•"/>
      <w:lvlJc w:val="left"/>
      <w:pPr>
        <w:ind w:left="3305" w:hanging="360"/>
      </w:pPr>
      <w:rPr>
        <w:lang w:val="en-US" w:eastAsia="en-US" w:bidi="ar-SA"/>
      </w:rPr>
    </w:lvl>
    <w:lvl w:ilvl="6">
      <w:numFmt w:val="bullet"/>
      <w:lvlText w:val="•"/>
      <w:lvlJc w:val="left"/>
      <w:pPr>
        <w:ind w:left="4548" w:hanging="360"/>
      </w:pPr>
      <w:rPr>
        <w:lang w:val="en-US" w:eastAsia="en-US" w:bidi="ar-SA"/>
      </w:rPr>
    </w:lvl>
    <w:lvl w:ilvl="7">
      <w:numFmt w:val="bullet"/>
      <w:lvlText w:val="•"/>
      <w:lvlJc w:val="left"/>
      <w:pPr>
        <w:ind w:left="5791" w:hanging="360"/>
      </w:pPr>
      <w:rPr>
        <w:lang w:val="en-US" w:eastAsia="en-US" w:bidi="ar-SA"/>
      </w:rPr>
    </w:lvl>
    <w:lvl w:ilvl="8">
      <w:numFmt w:val="bullet"/>
      <w:lvlText w:val="•"/>
      <w:lvlJc w:val="left"/>
      <w:pPr>
        <w:ind w:left="7034" w:hanging="360"/>
      </w:pPr>
      <w:rPr>
        <w:lang w:val="en-US" w:eastAsia="en-US" w:bidi="ar-SA"/>
      </w:rPr>
    </w:lvl>
  </w:abstractNum>
  <w:abstractNum w:abstractNumId="11" w15:restartNumberingAfterBreak="0">
    <w:nsid w:val="4E0671BD"/>
    <w:multiLevelType w:val="multilevel"/>
    <w:tmpl w:val="9274F988"/>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A1E7BDE"/>
    <w:multiLevelType w:val="hybridMultilevel"/>
    <w:tmpl w:val="399A194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D33D2"/>
    <w:multiLevelType w:val="multilevel"/>
    <w:tmpl w:val="58786A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59352B"/>
    <w:multiLevelType w:val="multilevel"/>
    <w:tmpl w:val="BE2662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BFC3A9E"/>
    <w:multiLevelType w:val="hybridMultilevel"/>
    <w:tmpl w:val="EF542968"/>
    <w:lvl w:ilvl="0" w:tplc="5A9EC2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26163"/>
    <w:multiLevelType w:val="multilevel"/>
    <w:tmpl w:val="B97A0A6E"/>
    <w:lvl w:ilvl="0">
      <w:start w:val="1"/>
      <w:numFmt w:val="decimal"/>
      <w:lvlText w:val="%1."/>
      <w:lvlJc w:val="left"/>
      <w:pPr>
        <w:ind w:left="329" w:hanging="221"/>
      </w:pPr>
      <w:rPr>
        <w:rFonts w:ascii="Arial" w:eastAsia="Arial" w:hAnsi="Arial" w:cs="Arial" w:hint="default"/>
        <w:b/>
        <w:bCs/>
        <w:i w:val="0"/>
        <w:iCs w:val="0"/>
        <w:spacing w:val="0"/>
        <w:w w:val="99"/>
        <w:sz w:val="20"/>
        <w:szCs w:val="20"/>
        <w:lang w:val="en-US" w:eastAsia="en-US" w:bidi="ar-SA"/>
      </w:rPr>
    </w:lvl>
    <w:lvl w:ilvl="1">
      <w:start w:val="1"/>
      <w:numFmt w:val="bullet"/>
      <w:lvlText w:val=""/>
      <w:lvlJc w:val="left"/>
      <w:pPr>
        <w:ind w:left="810" w:hanging="360"/>
      </w:pPr>
      <w:rPr>
        <w:rFonts w:ascii="Symbol" w:hAnsi="Symbol" w:hint="default"/>
      </w:rPr>
    </w:lvl>
    <w:lvl w:ilvl="2">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820" w:hanging="360"/>
      </w:pPr>
      <w:rPr>
        <w:rFonts w:hint="default"/>
        <w:lang w:val="en-US" w:eastAsia="en-US" w:bidi="ar-SA"/>
      </w:rPr>
    </w:lvl>
    <w:lvl w:ilvl="4">
      <w:numFmt w:val="bullet"/>
      <w:lvlText w:val="•"/>
      <w:lvlJc w:val="left"/>
      <w:pPr>
        <w:ind w:left="2062" w:hanging="360"/>
      </w:pPr>
      <w:rPr>
        <w:rFonts w:hint="default"/>
        <w:lang w:val="en-US" w:eastAsia="en-US" w:bidi="ar-SA"/>
      </w:rPr>
    </w:lvl>
    <w:lvl w:ilvl="5">
      <w:numFmt w:val="bullet"/>
      <w:lvlText w:val="•"/>
      <w:lvlJc w:val="left"/>
      <w:pPr>
        <w:ind w:left="3305" w:hanging="360"/>
      </w:pPr>
      <w:rPr>
        <w:rFonts w:hint="default"/>
        <w:lang w:val="en-US" w:eastAsia="en-US" w:bidi="ar-SA"/>
      </w:rPr>
    </w:lvl>
    <w:lvl w:ilvl="6">
      <w:numFmt w:val="bullet"/>
      <w:lvlText w:val="•"/>
      <w:lvlJc w:val="left"/>
      <w:pPr>
        <w:ind w:left="4548" w:hanging="360"/>
      </w:pPr>
      <w:rPr>
        <w:rFonts w:hint="default"/>
        <w:lang w:val="en-US" w:eastAsia="en-US" w:bidi="ar-SA"/>
      </w:rPr>
    </w:lvl>
    <w:lvl w:ilvl="7">
      <w:numFmt w:val="bullet"/>
      <w:lvlText w:val="•"/>
      <w:lvlJc w:val="left"/>
      <w:pPr>
        <w:ind w:left="5791" w:hanging="360"/>
      </w:pPr>
      <w:rPr>
        <w:rFonts w:hint="default"/>
        <w:lang w:val="en-US" w:eastAsia="en-US" w:bidi="ar-SA"/>
      </w:rPr>
    </w:lvl>
    <w:lvl w:ilvl="8">
      <w:numFmt w:val="bullet"/>
      <w:lvlText w:val="•"/>
      <w:lvlJc w:val="left"/>
      <w:pPr>
        <w:ind w:left="7034" w:hanging="360"/>
      </w:pPr>
      <w:rPr>
        <w:rFonts w:hint="default"/>
        <w:lang w:val="en-US" w:eastAsia="en-US" w:bidi="ar-SA"/>
      </w:rPr>
    </w:lvl>
  </w:abstractNum>
  <w:num w:numId="1" w16cid:durableId="326714767">
    <w:abstractNumId w:val="10"/>
  </w:num>
  <w:num w:numId="2" w16cid:durableId="137037312">
    <w:abstractNumId w:val="10"/>
  </w:num>
  <w:num w:numId="3" w16cid:durableId="1377504533">
    <w:abstractNumId w:val="9"/>
  </w:num>
  <w:num w:numId="4" w16cid:durableId="282198098">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95489964">
    <w:abstractNumId w:val="2"/>
  </w:num>
  <w:num w:numId="6" w16cid:durableId="872306977">
    <w:abstractNumId w:val="1"/>
  </w:num>
  <w:num w:numId="7" w16cid:durableId="1799836685">
    <w:abstractNumId w:val="7"/>
  </w:num>
  <w:num w:numId="8" w16cid:durableId="1238445304">
    <w:abstractNumId w:val="16"/>
  </w:num>
  <w:num w:numId="9" w16cid:durableId="1976134178">
    <w:abstractNumId w:val="6"/>
  </w:num>
  <w:num w:numId="10" w16cid:durableId="1152871510">
    <w:abstractNumId w:val="14"/>
  </w:num>
  <w:num w:numId="11" w16cid:durableId="1872450800">
    <w:abstractNumId w:val="8"/>
  </w:num>
  <w:num w:numId="12" w16cid:durableId="1883443966">
    <w:abstractNumId w:val="5"/>
  </w:num>
  <w:num w:numId="13" w16cid:durableId="1019745705">
    <w:abstractNumId w:val="13"/>
  </w:num>
  <w:num w:numId="14" w16cid:durableId="746732071">
    <w:abstractNumId w:val="12"/>
  </w:num>
  <w:num w:numId="15" w16cid:durableId="567957947">
    <w:abstractNumId w:val="4"/>
  </w:num>
  <w:num w:numId="16" w16cid:durableId="879513974">
    <w:abstractNumId w:val="11"/>
  </w:num>
  <w:num w:numId="17" w16cid:durableId="869033671">
    <w:abstractNumId w:val="0"/>
  </w:num>
  <w:num w:numId="18" w16cid:durableId="693117177">
    <w:abstractNumId w:val="15"/>
  </w:num>
  <w:num w:numId="19" w16cid:durableId="15219672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useef Shezad">
    <w15:presenceInfo w15:providerId="AD" w15:userId="S::TauseefS@nexelus.net::25ce2c96-a1b9-43f5-b144-a323e33a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20"/>
    <w:rsid w:val="000F2B38"/>
    <w:rsid w:val="00157136"/>
    <w:rsid w:val="003F22B9"/>
    <w:rsid w:val="005F2E79"/>
    <w:rsid w:val="006734D3"/>
    <w:rsid w:val="008D14BC"/>
    <w:rsid w:val="009721BE"/>
    <w:rsid w:val="009D4FCB"/>
    <w:rsid w:val="00A21C54"/>
    <w:rsid w:val="00A37BAC"/>
    <w:rsid w:val="00AC1161"/>
    <w:rsid w:val="00BC13A7"/>
    <w:rsid w:val="00D27F20"/>
    <w:rsid w:val="00E42800"/>
    <w:rsid w:val="00EE0951"/>
    <w:rsid w:val="00FC0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D61E"/>
  <w15:chartTrackingRefBased/>
  <w15:docId w15:val="{18DD2CDD-DC2B-41A0-9561-9BB7D35D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F20"/>
    <w:rPr>
      <w:rFonts w:eastAsiaTheme="majorEastAsia" w:cstheme="majorBidi"/>
      <w:color w:val="272727" w:themeColor="text1" w:themeTint="D8"/>
    </w:rPr>
  </w:style>
  <w:style w:type="paragraph" w:styleId="Title">
    <w:name w:val="Title"/>
    <w:basedOn w:val="Normal"/>
    <w:next w:val="Normal"/>
    <w:link w:val="TitleChar"/>
    <w:uiPriority w:val="10"/>
    <w:qFormat/>
    <w:rsid w:val="00D27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F20"/>
    <w:pPr>
      <w:spacing w:before="160"/>
      <w:jc w:val="center"/>
    </w:pPr>
    <w:rPr>
      <w:i/>
      <w:iCs/>
      <w:color w:val="404040" w:themeColor="text1" w:themeTint="BF"/>
    </w:rPr>
  </w:style>
  <w:style w:type="character" w:customStyle="1" w:styleId="QuoteChar">
    <w:name w:val="Quote Char"/>
    <w:basedOn w:val="DefaultParagraphFont"/>
    <w:link w:val="Quote"/>
    <w:uiPriority w:val="29"/>
    <w:rsid w:val="00D27F20"/>
    <w:rPr>
      <w:i/>
      <w:iCs/>
      <w:color w:val="404040" w:themeColor="text1" w:themeTint="BF"/>
    </w:rPr>
  </w:style>
  <w:style w:type="paragraph" w:styleId="ListParagraph">
    <w:name w:val="List Paragraph"/>
    <w:basedOn w:val="Normal"/>
    <w:uiPriority w:val="1"/>
    <w:qFormat/>
    <w:rsid w:val="00D27F20"/>
    <w:pPr>
      <w:ind w:left="720"/>
      <w:contextualSpacing/>
    </w:pPr>
  </w:style>
  <w:style w:type="character" w:styleId="IntenseEmphasis">
    <w:name w:val="Intense Emphasis"/>
    <w:basedOn w:val="DefaultParagraphFont"/>
    <w:uiPriority w:val="21"/>
    <w:qFormat/>
    <w:rsid w:val="00D27F20"/>
    <w:rPr>
      <w:i/>
      <w:iCs/>
      <w:color w:val="0F4761" w:themeColor="accent1" w:themeShade="BF"/>
    </w:rPr>
  </w:style>
  <w:style w:type="paragraph" w:styleId="IntenseQuote">
    <w:name w:val="Intense Quote"/>
    <w:basedOn w:val="Normal"/>
    <w:next w:val="Normal"/>
    <w:link w:val="IntenseQuoteChar"/>
    <w:uiPriority w:val="30"/>
    <w:qFormat/>
    <w:rsid w:val="00D27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F20"/>
    <w:rPr>
      <w:i/>
      <w:iCs/>
      <w:color w:val="0F4761" w:themeColor="accent1" w:themeShade="BF"/>
    </w:rPr>
  </w:style>
  <w:style w:type="character" w:styleId="IntenseReference">
    <w:name w:val="Intense Reference"/>
    <w:basedOn w:val="DefaultParagraphFont"/>
    <w:uiPriority w:val="32"/>
    <w:qFormat/>
    <w:rsid w:val="00D27F20"/>
    <w:rPr>
      <w:b/>
      <w:bCs/>
      <w:smallCaps/>
      <w:color w:val="0F4761" w:themeColor="accent1" w:themeShade="BF"/>
      <w:spacing w:val="5"/>
    </w:rPr>
  </w:style>
  <w:style w:type="character" w:styleId="Hyperlink">
    <w:name w:val="Hyperlink"/>
    <w:basedOn w:val="DefaultParagraphFont"/>
    <w:uiPriority w:val="99"/>
    <w:unhideWhenUsed/>
    <w:rsid w:val="00D27F20"/>
    <w:rPr>
      <w:color w:val="467886" w:themeColor="hyperlink"/>
      <w:u w:val="single"/>
    </w:rPr>
  </w:style>
  <w:style w:type="character" w:styleId="UnresolvedMention">
    <w:name w:val="Unresolved Mention"/>
    <w:basedOn w:val="DefaultParagraphFont"/>
    <w:uiPriority w:val="99"/>
    <w:semiHidden/>
    <w:unhideWhenUsed/>
    <w:rsid w:val="00D27F20"/>
    <w:rPr>
      <w:color w:val="605E5C"/>
      <w:shd w:val="clear" w:color="auto" w:fill="E1DFDD"/>
    </w:rPr>
  </w:style>
  <w:style w:type="paragraph" w:styleId="BodyText">
    <w:name w:val="Body Text"/>
    <w:basedOn w:val="Normal"/>
    <w:link w:val="BodyTextChar"/>
    <w:uiPriority w:val="1"/>
    <w:semiHidden/>
    <w:unhideWhenUsed/>
    <w:qFormat/>
    <w:rsid w:val="00D27F20"/>
    <w:pPr>
      <w:spacing w:after="120"/>
    </w:pPr>
  </w:style>
  <w:style w:type="character" w:customStyle="1" w:styleId="BodyTextChar">
    <w:name w:val="Body Text Char"/>
    <w:basedOn w:val="DefaultParagraphFont"/>
    <w:link w:val="BodyText"/>
    <w:uiPriority w:val="1"/>
    <w:semiHidden/>
    <w:rsid w:val="00D27F20"/>
  </w:style>
  <w:style w:type="character" w:styleId="FollowedHyperlink">
    <w:name w:val="FollowedHyperlink"/>
    <w:basedOn w:val="DefaultParagraphFont"/>
    <w:uiPriority w:val="99"/>
    <w:semiHidden/>
    <w:unhideWhenUsed/>
    <w:rsid w:val="00D27F20"/>
    <w:rPr>
      <w:color w:val="96607D" w:themeColor="followedHyperlink"/>
      <w:u w:val="single"/>
    </w:rPr>
  </w:style>
  <w:style w:type="paragraph" w:customStyle="1" w:styleId="msonormal0">
    <w:name w:val="msonormal"/>
    <w:basedOn w:val="Normal"/>
    <w:rsid w:val="00D27F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D27F20"/>
    <w:pPr>
      <w:widowControl w:val="0"/>
      <w:autoSpaceDE w:val="0"/>
      <w:autoSpaceDN w:val="0"/>
      <w:spacing w:after="0" w:line="240" w:lineRule="auto"/>
    </w:pPr>
    <w:rPr>
      <w:rFonts w:ascii="Arial MT" w:eastAsia="Arial MT" w:hAnsi="Arial MT" w:cs="Arial MT"/>
      <w:kern w:val="0"/>
      <w14:ligatures w14:val="none"/>
    </w:rPr>
  </w:style>
  <w:style w:type="paragraph" w:styleId="Header">
    <w:name w:val="header"/>
    <w:basedOn w:val="Normal"/>
    <w:link w:val="HeaderChar"/>
    <w:uiPriority w:val="99"/>
    <w:unhideWhenUsed/>
    <w:rsid w:val="00D2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20"/>
  </w:style>
  <w:style w:type="paragraph" w:styleId="Footer">
    <w:name w:val="footer"/>
    <w:basedOn w:val="Normal"/>
    <w:link w:val="FooterChar"/>
    <w:uiPriority w:val="99"/>
    <w:unhideWhenUsed/>
    <w:rsid w:val="00D2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20"/>
  </w:style>
  <w:style w:type="character" w:styleId="CommentReference">
    <w:name w:val="annotation reference"/>
    <w:basedOn w:val="DefaultParagraphFont"/>
    <w:uiPriority w:val="99"/>
    <w:semiHidden/>
    <w:unhideWhenUsed/>
    <w:rsid w:val="00AC1161"/>
    <w:rPr>
      <w:sz w:val="16"/>
      <w:szCs w:val="16"/>
    </w:rPr>
  </w:style>
  <w:style w:type="paragraph" w:styleId="CommentText">
    <w:name w:val="annotation text"/>
    <w:basedOn w:val="Normal"/>
    <w:link w:val="CommentTextChar"/>
    <w:uiPriority w:val="99"/>
    <w:unhideWhenUsed/>
    <w:rsid w:val="00AC1161"/>
    <w:pPr>
      <w:spacing w:line="240" w:lineRule="auto"/>
    </w:pPr>
    <w:rPr>
      <w:sz w:val="20"/>
      <w:szCs w:val="20"/>
    </w:rPr>
  </w:style>
  <w:style w:type="character" w:customStyle="1" w:styleId="CommentTextChar">
    <w:name w:val="Comment Text Char"/>
    <w:basedOn w:val="DefaultParagraphFont"/>
    <w:link w:val="CommentText"/>
    <w:uiPriority w:val="99"/>
    <w:rsid w:val="00AC1161"/>
    <w:rPr>
      <w:sz w:val="20"/>
      <w:szCs w:val="20"/>
    </w:rPr>
  </w:style>
  <w:style w:type="paragraph" w:styleId="CommentSubject">
    <w:name w:val="annotation subject"/>
    <w:basedOn w:val="CommentText"/>
    <w:next w:val="CommentText"/>
    <w:link w:val="CommentSubjectChar"/>
    <w:uiPriority w:val="99"/>
    <w:semiHidden/>
    <w:unhideWhenUsed/>
    <w:rsid w:val="00AC1161"/>
    <w:rPr>
      <w:b/>
      <w:bCs/>
    </w:rPr>
  </w:style>
  <w:style w:type="character" w:customStyle="1" w:styleId="CommentSubjectChar">
    <w:name w:val="Comment Subject Char"/>
    <w:basedOn w:val="CommentTextChar"/>
    <w:link w:val="CommentSubject"/>
    <w:uiPriority w:val="99"/>
    <w:semiHidden/>
    <w:rsid w:val="00AC11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697161">
      <w:bodyDiv w:val="1"/>
      <w:marLeft w:val="0"/>
      <w:marRight w:val="0"/>
      <w:marTop w:val="0"/>
      <w:marBottom w:val="0"/>
      <w:divBdr>
        <w:top w:val="none" w:sz="0" w:space="0" w:color="auto"/>
        <w:left w:val="none" w:sz="0" w:space="0" w:color="auto"/>
        <w:bottom w:val="none" w:sz="0" w:space="0" w:color="auto"/>
        <w:right w:val="none" w:sz="0" w:space="0" w:color="auto"/>
      </w:divBdr>
    </w:div>
    <w:div w:id="1086270214">
      <w:bodyDiv w:val="1"/>
      <w:marLeft w:val="0"/>
      <w:marRight w:val="0"/>
      <w:marTop w:val="0"/>
      <w:marBottom w:val="0"/>
      <w:divBdr>
        <w:top w:val="none" w:sz="0" w:space="0" w:color="auto"/>
        <w:left w:val="none" w:sz="0" w:space="0" w:color="auto"/>
        <w:bottom w:val="none" w:sz="0" w:space="0" w:color="auto"/>
        <w:right w:val="none" w:sz="0" w:space="0" w:color="auto"/>
      </w:divBdr>
    </w:div>
    <w:div w:id="1757630580">
      <w:bodyDiv w:val="1"/>
      <w:marLeft w:val="0"/>
      <w:marRight w:val="0"/>
      <w:marTop w:val="0"/>
      <w:marBottom w:val="0"/>
      <w:divBdr>
        <w:top w:val="none" w:sz="0" w:space="0" w:color="auto"/>
        <w:left w:val="none" w:sz="0" w:space="0" w:color="auto"/>
        <w:bottom w:val="none" w:sz="0" w:space="0" w:color="auto"/>
        <w:right w:val="none" w:sz="0" w:space="0" w:color="auto"/>
      </w:divBdr>
    </w:div>
    <w:div w:id="21021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nexelus.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2F90F-79C5-4712-A64E-22DA0A0F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1</cp:revision>
  <dcterms:created xsi:type="dcterms:W3CDTF">2024-08-15T06:02:00Z</dcterms:created>
  <dcterms:modified xsi:type="dcterms:W3CDTF">2024-08-15T10:49:00Z</dcterms:modified>
</cp:coreProperties>
</file>