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85A39" w14:textId="77777777" w:rsidR="0063065A" w:rsidRPr="0063065A" w:rsidRDefault="0063065A" w:rsidP="0063065A">
      <w:pPr>
        <w:rPr>
          <w:b/>
          <w:bCs/>
        </w:rPr>
      </w:pPr>
      <w:r w:rsidRPr="0063065A">
        <w:rPr>
          <w:b/>
          <w:bCs/>
        </w:rPr>
        <w:t>Business Requirements Document (BRD): Ad Tech Fee Markup</w:t>
      </w:r>
    </w:p>
    <w:p w14:paraId="4E39FEB8" w14:textId="77777777" w:rsidR="0063065A" w:rsidRPr="0063065A" w:rsidRDefault="0063065A" w:rsidP="0063065A">
      <w:r w:rsidRPr="0063065A">
        <w:pict w14:anchorId="66F046B8">
          <v:rect id="_x0000_i1123" style="width:0;height:1.5pt" o:hralign="center" o:hrstd="t" o:hr="t" fillcolor="#a0a0a0" stroked="f"/>
        </w:pict>
      </w:r>
    </w:p>
    <w:p w14:paraId="21EDB3A9" w14:textId="77777777" w:rsidR="0063065A" w:rsidRPr="0063065A" w:rsidRDefault="0063065A" w:rsidP="0063065A">
      <w:pPr>
        <w:rPr>
          <w:b/>
          <w:bCs/>
        </w:rPr>
      </w:pPr>
      <w:r w:rsidRPr="0063065A">
        <w:rPr>
          <w:b/>
          <w:bCs/>
        </w:rPr>
        <w:t>Problem Statement</w:t>
      </w:r>
    </w:p>
    <w:p w14:paraId="37121391" w14:textId="77777777" w:rsidR="0063065A" w:rsidRPr="0063065A" w:rsidRDefault="0063065A" w:rsidP="0063065A">
      <w:r w:rsidRPr="0063065A">
        <w:t>The system currently calculates Ad Tech Fees at the vendor placement level based on placement types, but there is no markup applied. These fees are included in Insertion Orders (IOs) and Vouchers as raw amounts without adjustments. However, in the Reconciliation UI, the client billing process requires showing the marked-up amounts to include operational cost adjustments.</w:t>
      </w:r>
    </w:p>
    <w:p w14:paraId="4B856BDB" w14:textId="77777777" w:rsidR="0063065A" w:rsidRPr="0063065A" w:rsidRDefault="0063065A" w:rsidP="0063065A">
      <w:r w:rsidRPr="0063065A">
        <w:t>The lack of markup introduces the following challenges:</w:t>
      </w:r>
    </w:p>
    <w:p w14:paraId="588783A7" w14:textId="77777777" w:rsidR="0063065A" w:rsidRPr="0063065A" w:rsidRDefault="0063065A" w:rsidP="0063065A">
      <w:pPr>
        <w:numPr>
          <w:ilvl w:val="0"/>
          <w:numId w:val="8"/>
        </w:numPr>
      </w:pPr>
      <w:r w:rsidRPr="0063065A">
        <w:t>Misalignment between raw amounts in IOs/Vouchers and client-facing billed amounts.</w:t>
      </w:r>
    </w:p>
    <w:p w14:paraId="61D2885D" w14:textId="77777777" w:rsidR="0063065A" w:rsidRPr="0063065A" w:rsidRDefault="0063065A" w:rsidP="0063065A">
      <w:pPr>
        <w:numPr>
          <w:ilvl w:val="0"/>
          <w:numId w:val="8"/>
        </w:numPr>
      </w:pPr>
      <w:r w:rsidRPr="0063065A">
        <w:t>Inconsistent billing calculations, as operational costs are not accounted for in Ad Tech Fees.</w:t>
      </w:r>
    </w:p>
    <w:p w14:paraId="64C64ACC" w14:textId="77777777" w:rsidR="0063065A" w:rsidRPr="0063065A" w:rsidRDefault="0063065A" w:rsidP="0063065A">
      <w:pPr>
        <w:numPr>
          <w:ilvl w:val="0"/>
          <w:numId w:val="8"/>
        </w:numPr>
      </w:pPr>
      <w:r w:rsidRPr="0063065A">
        <w:t>Limited flexibility to configure and apply markup settings based on specific client or placement needs.</w:t>
      </w:r>
    </w:p>
    <w:p w14:paraId="26306D58" w14:textId="77777777" w:rsidR="0063065A" w:rsidRPr="0063065A" w:rsidRDefault="0063065A" w:rsidP="0063065A">
      <w:r w:rsidRPr="0063065A">
        <w:t>To address this, a configurable markup mechanism for Ad Tech Fees must be introduced, ensuring accurate billing and operational alignment.</w:t>
      </w:r>
    </w:p>
    <w:p w14:paraId="2ADF9EC3" w14:textId="77777777" w:rsidR="0063065A" w:rsidRPr="0063065A" w:rsidRDefault="0063065A" w:rsidP="0063065A">
      <w:r w:rsidRPr="0063065A">
        <w:pict w14:anchorId="2AD5ED57">
          <v:rect id="_x0000_i1124" style="width:0;height:1.5pt" o:hralign="center" o:hrstd="t" o:hr="t" fillcolor="#a0a0a0" stroked="f"/>
        </w:pict>
      </w:r>
    </w:p>
    <w:p w14:paraId="5FDA77DA" w14:textId="77777777" w:rsidR="0063065A" w:rsidRPr="0063065A" w:rsidRDefault="0063065A" w:rsidP="0063065A">
      <w:pPr>
        <w:rPr>
          <w:b/>
          <w:bCs/>
        </w:rPr>
      </w:pPr>
      <w:r w:rsidRPr="0063065A">
        <w:rPr>
          <w:b/>
          <w:bCs/>
        </w:rPr>
        <w:t>Current Process</w:t>
      </w:r>
    </w:p>
    <w:p w14:paraId="5B34DE4E" w14:textId="77777777" w:rsidR="0063065A" w:rsidRPr="0063065A" w:rsidRDefault="0063065A" w:rsidP="0063065A">
      <w:pPr>
        <w:numPr>
          <w:ilvl w:val="0"/>
          <w:numId w:val="9"/>
        </w:numPr>
      </w:pPr>
      <w:r w:rsidRPr="0063065A">
        <w:rPr>
          <w:b/>
          <w:bCs/>
        </w:rPr>
        <w:t>Placement Rate Card</w:t>
      </w:r>
      <w:r w:rsidRPr="0063065A">
        <w:t>:</w:t>
      </w:r>
    </w:p>
    <w:p w14:paraId="164136B2" w14:textId="77777777" w:rsidR="0063065A" w:rsidRPr="0063065A" w:rsidRDefault="0063065A" w:rsidP="0063065A">
      <w:pPr>
        <w:numPr>
          <w:ilvl w:val="1"/>
          <w:numId w:val="9"/>
        </w:numPr>
      </w:pPr>
      <w:r w:rsidRPr="0063065A">
        <w:t>Ad Tech Fees are calculated based on placement types (e.g., "Display," "Video"). The fee rules (e.g., $10 per 1,000 impressions) are predefined.</w:t>
      </w:r>
    </w:p>
    <w:p w14:paraId="5EDC14C4" w14:textId="77777777" w:rsidR="0063065A" w:rsidRPr="0063065A" w:rsidRDefault="0063065A" w:rsidP="0063065A">
      <w:pPr>
        <w:numPr>
          <w:ilvl w:val="0"/>
          <w:numId w:val="9"/>
        </w:numPr>
      </w:pPr>
      <w:r w:rsidRPr="0063065A">
        <w:rPr>
          <w:b/>
          <w:bCs/>
        </w:rPr>
        <w:t>Insertion Orders (IOs)</w:t>
      </w:r>
      <w:r w:rsidRPr="0063065A">
        <w:t>:</w:t>
      </w:r>
    </w:p>
    <w:p w14:paraId="3C1595B2" w14:textId="77777777" w:rsidR="0063065A" w:rsidRPr="0063065A" w:rsidRDefault="0063065A" w:rsidP="0063065A">
      <w:pPr>
        <w:numPr>
          <w:ilvl w:val="1"/>
          <w:numId w:val="9"/>
        </w:numPr>
      </w:pPr>
      <w:r w:rsidRPr="0063065A">
        <w:t>Separate IOs are created for each Ad Tech vendor, reflecting the raw (unmarked) Ad Tech Fees.</w:t>
      </w:r>
    </w:p>
    <w:p w14:paraId="231C961F" w14:textId="77777777" w:rsidR="0063065A" w:rsidRPr="0063065A" w:rsidRDefault="0063065A" w:rsidP="0063065A">
      <w:pPr>
        <w:numPr>
          <w:ilvl w:val="0"/>
          <w:numId w:val="9"/>
        </w:numPr>
      </w:pPr>
      <w:r w:rsidRPr="0063065A">
        <w:rPr>
          <w:b/>
          <w:bCs/>
        </w:rPr>
        <w:t>Voucher Entry</w:t>
      </w:r>
      <w:r w:rsidRPr="0063065A">
        <w:t>:</w:t>
      </w:r>
    </w:p>
    <w:p w14:paraId="1AB7EF8B" w14:textId="77777777" w:rsidR="0063065A" w:rsidRPr="0063065A" w:rsidRDefault="0063065A" w:rsidP="0063065A">
      <w:pPr>
        <w:numPr>
          <w:ilvl w:val="1"/>
          <w:numId w:val="9"/>
        </w:numPr>
      </w:pPr>
      <w:r w:rsidRPr="0063065A">
        <w:t>Vouchers also display the raw (unmarked) Ad Tech Fees.</w:t>
      </w:r>
    </w:p>
    <w:p w14:paraId="1D6D5787" w14:textId="77777777" w:rsidR="0063065A" w:rsidRPr="0063065A" w:rsidRDefault="0063065A" w:rsidP="0063065A">
      <w:pPr>
        <w:numPr>
          <w:ilvl w:val="0"/>
          <w:numId w:val="9"/>
        </w:numPr>
      </w:pPr>
      <w:r w:rsidRPr="0063065A">
        <w:rPr>
          <w:b/>
          <w:bCs/>
        </w:rPr>
        <w:t>Reconciliation UI</w:t>
      </w:r>
      <w:r w:rsidRPr="0063065A">
        <w:t>:</w:t>
      </w:r>
    </w:p>
    <w:p w14:paraId="06C39A15" w14:textId="77777777" w:rsidR="0063065A" w:rsidRPr="0063065A" w:rsidRDefault="0063065A" w:rsidP="0063065A">
      <w:pPr>
        <w:numPr>
          <w:ilvl w:val="1"/>
          <w:numId w:val="9"/>
        </w:numPr>
      </w:pPr>
      <w:r w:rsidRPr="0063065A">
        <w:lastRenderedPageBreak/>
        <w:t>Users currently see the same raw amounts for both Voucher Amount and IO Amount, without any markup adjustments for client billing.</w:t>
      </w:r>
    </w:p>
    <w:p w14:paraId="18FAC869" w14:textId="77777777" w:rsidR="0063065A" w:rsidRPr="0063065A" w:rsidRDefault="0063065A" w:rsidP="0063065A">
      <w:r w:rsidRPr="0063065A">
        <w:pict w14:anchorId="6BFEFD0B">
          <v:rect id="_x0000_i1125" style="width:0;height:1.5pt" o:hralign="center" o:hrstd="t" o:hr="t" fillcolor="#a0a0a0" stroked="f"/>
        </w:pict>
      </w:r>
    </w:p>
    <w:p w14:paraId="67E72122" w14:textId="77777777" w:rsidR="0063065A" w:rsidRPr="0063065A" w:rsidRDefault="0063065A" w:rsidP="0063065A">
      <w:pPr>
        <w:rPr>
          <w:b/>
          <w:bCs/>
        </w:rPr>
      </w:pPr>
      <w:r w:rsidRPr="0063065A">
        <w:rPr>
          <w:b/>
          <w:bCs/>
        </w:rPr>
        <w:t>Proposed Solution</w:t>
      </w:r>
    </w:p>
    <w:p w14:paraId="28EF1003" w14:textId="77777777" w:rsidR="0063065A" w:rsidRPr="0063065A" w:rsidRDefault="0063065A" w:rsidP="0063065A">
      <w:pPr>
        <w:rPr>
          <w:b/>
          <w:bCs/>
        </w:rPr>
      </w:pPr>
      <w:r w:rsidRPr="0063065A">
        <w:rPr>
          <w:b/>
          <w:bCs/>
        </w:rPr>
        <w:t>1. Placement Rate Card Updates</w:t>
      </w:r>
    </w:p>
    <w:p w14:paraId="764603D3" w14:textId="77777777" w:rsidR="0063065A" w:rsidRPr="0063065A" w:rsidRDefault="0063065A" w:rsidP="0063065A">
      <w:pPr>
        <w:numPr>
          <w:ilvl w:val="0"/>
          <w:numId w:val="10"/>
        </w:numPr>
      </w:pPr>
      <w:r w:rsidRPr="0063065A">
        <w:t xml:space="preserve">Add a </w:t>
      </w:r>
      <w:r w:rsidRPr="0063065A">
        <w:rPr>
          <w:b/>
          <w:bCs/>
        </w:rPr>
        <w:t>Markup Percentage</w:t>
      </w:r>
      <w:r w:rsidRPr="0063065A">
        <w:t xml:space="preserve"> field to define a positive percentage (e.g., 10%) for Ad Tech Fees.</w:t>
      </w:r>
    </w:p>
    <w:p w14:paraId="770DB374" w14:textId="77777777" w:rsidR="0063065A" w:rsidRPr="0063065A" w:rsidRDefault="0063065A" w:rsidP="0063065A">
      <w:pPr>
        <w:numPr>
          <w:ilvl w:val="0"/>
          <w:numId w:val="10"/>
        </w:numPr>
      </w:pPr>
      <w:r w:rsidRPr="0063065A">
        <w:t xml:space="preserve">Add a </w:t>
      </w:r>
      <w:r w:rsidRPr="0063065A">
        <w:rPr>
          <w:b/>
          <w:bCs/>
        </w:rPr>
        <w:t>Gross vs. Net Basis</w:t>
      </w:r>
      <w:r w:rsidRPr="0063065A">
        <w:t xml:space="preserve"> dropdown to determine how markup is applied:</w:t>
      </w:r>
    </w:p>
    <w:p w14:paraId="63AA6871" w14:textId="77777777" w:rsidR="0063065A" w:rsidRPr="0063065A" w:rsidRDefault="0063065A" w:rsidP="0063065A">
      <w:pPr>
        <w:numPr>
          <w:ilvl w:val="1"/>
          <w:numId w:val="10"/>
        </w:numPr>
      </w:pPr>
      <w:r w:rsidRPr="0063065A">
        <w:rPr>
          <w:b/>
          <w:bCs/>
        </w:rPr>
        <w:t>Net Basis</w:t>
      </w:r>
      <w:r w:rsidRPr="0063065A">
        <w:t>: Markup is calculated on the base Ad Tech Fee.</w:t>
      </w:r>
    </w:p>
    <w:p w14:paraId="1B75A845" w14:textId="77777777" w:rsidR="0063065A" w:rsidRPr="0063065A" w:rsidRDefault="0063065A" w:rsidP="0063065A">
      <w:pPr>
        <w:numPr>
          <w:ilvl w:val="1"/>
          <w:numId w:val="10"/>
        </w:numPr>
      </w:pPr>
      <w:r w:rsidRPr="0063065A">
        <w:rPr>
          <w:b/>
          <w:bCs/>
        </w:rPr>
        <w:t>Gross Basis</w:t>
      </w:r>
      <w:r w:rsidRPr="0063065A">
        <w:t>: Markup is calculated on the total fee, including the markup itself.</w:t>
      </w:r>
    </w:p>
    <w:p w14:paraId="0BC52427" w14:textId="77777777" w:rsidR="0063065A" w:rsidRPr="0063065A" w:rsidRDefault="0063065A" w:rsidP="0063065A">
      <w:r w:rsidRPr="0063065A">
        <w:pict w14:anchorId="303E720D">
          <v:rect id="_x0000_i1126" style="width:0;height:1.5pt" o:hralign="center" o:hrstd="t" o:hr="t" fillcolor="#a0a0a0" stroked="f"/>
        </w:pict>
      </w:r>
    </w:p>
    <w:p w14:paraId="2508B1C7" w14:textId="77777777" w:rsidR="0063065A" w:rsidRPr="0063065A" w:rsidRDefault="0063065A" w:rsidP="0063065A">
      <w:pPr>
        <w:rPr>
          <w:b/>
          <w:bCs/>
        </w:rPr>
      </w:pPr>
      <w:r w:rsidRPr="0063065A">
        <w:rPr>
          <w:b/>
          <w:bCs/>
        </w:rPr>
        <w:t>2. Customer-Level Updates</w:t>
      </w:r>
    </w:p>
    <w:p w14:paraId="5998EF51" w14:textId="77777777" w:rsidR="0063065A" w:rsidRPr="0063065A" w:rsidRDefault="0063065A" w:rsidP="0063065A">
      <w:pPr>
        <w:numPr>
          <w:ilvl w:val="0"/>
          <w:numId w:val="11"/>
        </w:numPr>
      </w:pPr>
      <w:r w:rsidRPr="0063065A">
        <w:t xml:space="preserve">Retrieve </w:t>
      </w:r>
      <w:r w:rsidRPr="0063065A">
        <w:rPr>
          <w:b/>
          <w:bCs/>
        </w:rPr>
        <w:t>Markup Percentage</w:t>
      </w:r>
      <w:r w:rsidRPr="0063065A">
        <w:t xml:space="preserve"> and </w:t>
      </w:r>
      <w:r w:rsidRPr="0063065A">
        <w:rPr>
          <w:b/>
          <w:bCs/>
        </w:rPr>
        <w:t>Gross vs. Net Basis</w:t>
      </w:r>
      <w:r w:rsidRPr="0063065A">
        <w:t xml:space="preserve"> dynamically from the stamped Placement Rate Card.</w:t>
      </w:r>
    </w:p>
    <w:p w14:paraId="5B21CFF7" w14:textId="77777777" w:rsidR="0063065A" w:rsidRPr="0063065A" w:rsidRDefault="0063065A" w:rsidP="0063065A">
      <w:pPr>
        <w:numPr>
          <w:ilvl w:val="0"/>
          <w:numId w:val="11"/>
        </w:numPr>
      </w:pPr>
      <w:r w:rsidRPr="0063065A">
        <w:t>Ensure all linked placements follow the settings defined in the associated Placement Rate Card.</w:t>
      </w:r>
    </w:p>
    <w:p w14:paraId="3B3412E5" w14:textId="77777777" w:rsidR="0063065A" w:rsidRPr="0063065A" w:rsidRDefault="0063065A" w:rsidP="0063065A">
      <w:r w:rsidRPr="0063065A">
        <w:pict w14:anchorId="66AA3BA8">
          <v:rect id="_x0000_i1127" style="width:0;height:1.5pt" o:hralign="center" o:hrstd="t" o:hr="t" fillcolor="#a0a0a0" stroked="f"/>
        </w:pict>
      </w:r>
    </w:p>
    <w:p w14:paraId="57C59EB3" w14:textId="77777777" w:rsidR="0063065A" w:rsidRPr="0063065A" w:rsidRDefault="0063065A" w:rsidP="0063065A">
      <w:pPr>
        <w:rPr>
          <w:b/>
          <w:bCs/>
        </w:rPr>
      </w:pPr>
      <w:r w:rsidRPr="0063065A">
        <w:rPr>
          <w:b/>
          <w:bCs/>
        </w:rPr>
        <w:t>3. Level 3 (Activity/Plan Updates)</w:t>
      </w:r>
    </w:p>
    <w:p w14:paraId="53662C1E" w14:textId="77777777" w:rsidR="0063065A" w:rsidRPr="0063065A" w:rsidRDefault="0063065A" w:rsidP="0063065A">
      <w:pPr>
        <w:numPr>
          <w:ilvl w:val="0"/>
          <w:numId w:val="12"/>
        </w:numPr>
      </w:pPr>
      <w:r w:rsidRPr="0063065A">
        <w:t xml:space="preserve">Default </w:t>
      </w:r>
      <w:r w:rsidRPr="0063065A">
        <w:rPr>
          <w:b/>
          <w:bCs/>
        </w:rPr>
        <w:t>Markup Percentage</w:t>
      </w:r>
      <w:r w:rsidRPr="0063065A">
        <w:t xml:space="preserve"> and </w:t>
      </w:r>
      <w:r w:rsidRPr="0063065A">
        <w:rPr>
          <w:b/>
          <w:bCs/>
        </w:rPr>
        <w:t>Gross vs. Net Basis</w:t>
      </w:r>
      <w:r w:rsidRPr="0063065A">
        <w:t xml:space="preserve"> settings from the customer’s Placement Rate Card.</w:t>
      </w:r>
    </w:p>
    <w:p w14:paraId="11B754BE" w14:textId="77777777" w:rsidR="0063065A" w:rsidRPr="0063065A" w:rsidRDefault="0063065A" w:rsidP="0063065A">
      <w:pPr>
        <w:numPr>
          <w:ilvl w:val="0"/>
          <w:numId w:val="12"/>
        </w:numPr>
      </w:pPr>
      <w:r w:rsidRPr="0063065A">
        <w:t xml:space="preserve">Allow </w:t>
      </w:r>
      <w:r w:rsidRPr="0063065A">
        <w:rPr>
          <w:b/>
          <w:bCs/>
        </w:rPr>
        <w:t>group-rule-based overrides</w:t>
      </w:r>
      <w:r w:rsidRPr="0063065A">
        <w:t xml:space="preserve"> at the Activity/Plan level for flexibility.</w:t>
      </w:r>
    </w:p>
    <w:p w14:paraId="413AA855" w14:textId="77777777" w:rsidR="0063065A" w:rsidRPr="0063065A" w:rsidRDefault="0063065A" w:rsidP="0063065A">
      <w:r w:rsidRPr="0063065A">
        <w:pict w14:anchorId="2BBF7B31">
          <v:rect id="_x0000_i1128" style="width:0;height:1.5pt" o:hralign="center" o:hrstd="t" o:hr="t" fillcolor="#a0a0a0" stroked="f"/>
        </w:pict>
      </w:r>
    </w:p>
    <w:p w14:paraId="02589E46" w14:textId="77777777" w:rsidR="0063065A" w:rsidRPr="0063065A" w:rsidRDefault="0063065A" w:rsidP="0063065A">
      <w:pPr>
        <w:rPr>
          <w:b/>
          <w:bCs/>
        </w:rPr>
      </w:pPr>
      <w:r w:rsidRPr="0063065A">
        <w:rPr>
          <w:b/>
          <w:bCs/>
        </w:rPr>
        <w:t>4. Insertion Orders (IOs)</w:t>
      </w:r>
    </w:p>
    <w:p w14:paraId="1CBC8B4B" w14:textId="77777777" w:rsidR="0063065A" w:rsidRPr="0063065A" w:rsidRDefault="0063065A" w:rsidP="0063065A">
      <w:pPr>
        <w:numPr>
          <w:ilvl w:val="0"/>
          <w:numId w:val="13"/>
        </w:numPr>
      </w:pPr>
      <w:r w:rsidRPr="0063065A">
        <w:t>The system creates separate IOs for each Ad Tech vendor based on the selected placement types.</w:t>
      </w:r>
    </w:p>
    <w:p w14:paraId="08388801" w14:textId="77777777" w:rsidR="0063065A" w:rsidRPr="0063065A" w:rsidRDefault="0063065A" w:rsidP="0063065A">
      <w:pPr>
        <w:numPr>
          <w:ilvl w:val="0"/>
          <w:numId w:val="13"/>
        </w:numPr>
      </w:pPr>
      <w:r w:rsidRPr="0063065A">
        <w:t>During IO creation:</w:t>
      </w:r>
    </w:p>
    <w:p w14:paraId="7BC64AFA" w14:textId="77777777" w:rsidR="0063065A" w:rsidRPr="0063065A" w:rsidRDefault="0063065A" w:rsidP="0063065A">
      <w:pPr>
        <w:numPr>
          <w:ilvl w:val="1"/>
          <w:numId w:val="13"/>
        </w:numPr>
      </w:pPr>
      <w:r w:rsidRPr="0063065A">
        <w:rPr>
          <w:b/>
          <w:bCs/>
        </w:rPr>
        <w:lastRenderedPageBreak/>
        <w:t>Markup is removed</w:t>
      </w:r>
      <w:r w:rsidRPr="0063065A">
        <w:t xml:space="preserve"> from the IO amount, ensuring the IO reflects only the raw Ad Tech Fee.</w:t>
      </w:r>
    </w:p>
    <w:p w14:paraId="01375701" w14:textId="77777777" w:rsidR="0063065A" w:rsidRPr="0063065A" w:rsidRDefault="0063065A" w:rsidP="0063065A">
      <w:r w:rsidRPr="0063065A">
        <w:pict w14:anchorId="6BE5D480">
          <v:rect id="_x0000_i1129" style="width:0;height:1.5pt" o:hralign="center" o:hrstd="t" o:hr="t" fillcolor="#a0a0a0" stroked="f"/>
        </w:pict>
      </w:r>
    </w:p>
    <w:p w14:paraId="43117058" w14:textId="77777777" w:rsidR="0063065A" w:rsidRPr="0063065A" w:rsidRDefault="0063065A" w:rsidP="0063065A">
      <w:r w:rsidRPr="0063065A">
        <w:rPr>
          <w:b/>
          <w:bCs/>
        </w:rPr>
        <w:t>Example for Insertion Orders</w:t>
      </w:r>
      <w:r w:rsidRPr="0063065A">
        <w:t>:</w:t>
      </w:r>
    </w:p>
    <w:p w14:paraId="0F0FB58B" w14:textId="77777777" w:rsidR="0063065A" w:rsidRPr="0063065A" w:rsidRDefault="0063065A" w:rsidP="0063065A">
      <w:pPr>
        <w:numPr>
          <w:ilvl w:val="0"/>
          <w:numId w:val="14"/>
        </w:numPr>
      </w:pPr>
      <w:r w:rsidRPr="0063065A">
        <w:rPr>
          <w:b/>
          <w:bCs/>
        </w:rPr>
        <w:t>Placement Type</w:t>
      </w:r>
      <w:r w:rsidRPr="0063065A">
        <w:t>: "Display"</w:t>
      </w:r>
    </w:p>
    <w:p w14:paraId="68B43EB4" w14:textId="77777777" w:rsidR="0063065A" w:rsidRPr="0063065A" w:rsidRDefault="0063065A" w:rsidP="0063065A">
      <w:pPr>
        <w:numPr>
          <w:ilvl w:val="1"/>
          <w:numId w:val="14"/>
        </w:numPr>
      </w:pPr>
      <w:r w:rsidRPr="0063065A">
        <w:rPr>
          <w:b/>
          <w:bCs/>
        </w:rPr>
        <w:t>Ad Tech Fee Rule</w:t>
      </w:r>
      <w:r w:rsidRPr="0063065A">
        <w:t>: $5 per 1,000 impressions</w:t>
      </w:r>
    </w:p>
    <w:p w14:paraId="65D67BD8" w14:textId="77777777" w:rsidR="0063065A" w:rsidRPr="0063065A" w:rsidRDefault="0063065A" w:rsidP="0063065A">
      <w:pPr>
        <w:numPr>
          <w:ilvl w:val="1"/>
          <w:numId w:val="14"/>
        </w:numPr>
      </w:pPr>
      <w:r w:rsidRPr="0063065A">
        <w:rPr>
          <w:b/>
          <w:bCs/>
        </w:rPr>
        <w:t>Impressions</w:t>
      </w:r>
      <w:r w:rsidRPr="0063065A">
        <w:t>: 20,000</w:t>
      </w:r>
    </w:p>
    <w:p w14:paraId="705A025B" w14:textId="77777777" w:rsidR="0063065A" w:rsidRPr="0063065A" w:rsidRDefault="0063065A" w:rsidP="0063065A">
      <w:pPr>
        <w:numPr>
          <w:ilvl w:val="1"/>
          <w:numId w:val="14"/>
        </w:numPr>
      </w:pPr>
      <w:r w:rsidRPr="0063065A">
        <w:rPr>
          <w:b/>
          <w:bCs/>
        </w:rPr>
        <w:t>Base Fee</w:t>
      </w:r>
      <w:r w:rsidRPr="0063065A">
        <w:t>: $100 (20,000 ÷ 1,000 × $5)</w:t>
      </w:r>
    </w:p>
    <w:p w14:paraId="481944AF" w14:textId="77777777" w:rsidR="0063065A" w:rsidRPr="0063065A" w:rsidRDefault="0063065A" w:rsidP="0063065A">
      <w:pPr>
        <w:numPr>
          <w:ilvl w:val="1"/>
          <w:numId w:val="14"/>
        </w:numPr>
      </w:pPr>
      <w:r w:rsidRPr="0063065A">
        <w:t>Markup: 10%</w:t>
      </w:r>
    </w:p>
    <w:p w14:paraId="0C6CCF82" w14:textId="77777777" w:rsidR="0063065A" w:rsidRPr="0063065A" w:rsidRDefault="0063065A" w:rsidP="0063065A">
      <w:pPr>
        <w:numPr>
          <w:ilvl w:val="1"/>
          <w:numId w:val="14"/>
        </w:numPr>
      </w:pPr>
      <w:r w:rsidRPr="0063065A">
        <w:rPr>
          <w:b/>
          <w:bCs/>
        </w:rPr>
        <w:t>IO Amount</w:t>
      </w:r>
      <w:r w:rsidRPr="0063065A">
        <w:t>: $100 (markup excluded).</w:t>
      </w:r>
    </w:p>
    <w:p w14:paraId="45617136" w14:textId="77777777" w:rsidR="0063065A" w:rsidRPr="0063065A" w:rsidRDefault="0063065A" w:rsidP="0063065A">
      <w:r w:rsidRPr="0063065A">
        <w:pict w14:anchorId="6B161A33">
          <v:rect id="_x0000_i1130" style="width:0;height:1.5pt" o:hralign="center" o:hrstd="t" o:hr="t" fillcolor="#a0a0a0" stroked="f"/>
        </w:pict>
      </w:r>
    </w:p>
    <w:p w14:paraId="46410D4B" w14:textId="77777777" w:rsidR="0063065A" w:rsidRPr="0063065A" w:rsidRDefault="0063065A" w:rsidP="0063065A">
      <w:pPr>
        <w:rPr>
          <w:b/>
          <w:bCs/>
        </w:rPr>
      </w:pPr>
      <w:r w:rsidRPr="0063065A">
        <w:rPr>
          <w:b/>
          <w:bCs/>
        </w:rPr>
        <w:t>5. Voucher Entry</w:t>
      </w:r>
    </w:p>
    <w:p w14:paraId="48A7C692" w14:textId="77777777" w:rsidR="0063065A" w:rsidRPr="0063065A" w:rsidRDefault="0063065A" w:rsidP="0063065A">
      <w:pPr>
        <w:numPr>
          <w:ilvl w:val="0"/>
          <w:numId w:val="15"/>
        </w:numPr>
      </w:pPr>
      <w:r w:rsidRPr="0063065A">
        <w:t>Vouchers reflect the raw amount billed for Ad Tech Fees, consistent with IO amounts.</w:t>
      </w:r>
    </w:p>
    <w:p w14:paraId="67799E16" w14:textId="77777777" w:rsidR="0063065A" w:rsidRPr="0063065A" w:rsidRDefault="0063065A" w:rsidP="0063065A">
      <w:pPr>
        <w:numPr>
          <w:ilvl w:val="0"/>
          <w:numId w:val="15"/>
        </w:numPr>
      </w:pPr>
      <w:r w:rsidRPr="0063065A">
        <w:t>Markup is not included in Voucher amounts to maintain clarity with vendors.</w:t>
      </w:r>
    </w:p>
    <w:p w14:paraId="3FB2A409" w14:textId="77777777" w:rsidR="0063065A" w:rsidRPr="0063065A" w:rsidRDefault="0063065A" w:rsidP="0063065A">
      <w:r w:rsidRPr="0063065A">
        <w:pict w14:anchorId="49F7FF5A">
          <v:rect id="_x0000_i1131" style="width:0;height:1.5pt" o:hralign="center" o:hrstd="t" o:hr="t" fillcolor="#a0a0a0" stroked="f"/>
        </w:pict>
      </w:r>
    </w:p>
    <w:p w14:paraId="434BB247" w14:textId="77777777" w:rsidR="0063065A" w:rsidRPr="0063065A" w:rsidRDefault="0063065A" w:rsidP="0063065A">
      <w:r w:rsidRPr="0063065A">
        <w:rPr>
          <w:b/>
          <w:bCs/>
        </w:rPr>
        <w:t>Example for Voucher Entry</w:t>
      </w:r>
      <w:r w:rsidRPr="0063065A">
        <w:t>:</w:t>
      </w:r>
    </w:p>
    <w:p w14:paraId="4A0332CC" w14:textId="77777777" w:rsidR="0063065A" w:rsidRPr="0063065A" w:rsidRDefault="0063065A" w:rsidP="0063065A">
      <w:pPr>
        <w:numPr>
          <w:ilvl w:val="0"/>
          <w:numId w:val="16"/>
        </w:numPr>
      </w:pPr>
      <w:r w:rsidRPr="0063065A">
        <w:rPr>
          <w:b/>
          <w:bCs/>
        </w:rPr>
        <w:t>Placement Type</w:t>
      </w:r>
      <w:r w:rsidRPr="0063065A">
        <w:t>: "Video"</w:t>
      </w:r>
    </w:p>
    <w:p w14:paraId="77C09040" w14:textId="77777777" w:rsidR="0063065A" w:rsidRPr="0063065A" w:rsidRDefault="0063065A" w:rsidP="0063065A">
      <w:pPr>
        <w:numPr>
          <w:ilvl w:val="1"/>
          <w:numId w:val="16"/>
        </w:numPr>
      </w:pPr>
      <w:r w:rsidRPr="0063065A">
        <w:rPr>
          <w:b/>
          <w:bCs/>
        </w:rPr>
        <w:t>Ad Tech Fee Rule</w:t>
      </w:r>
      <w:r w:rsidRPr="0063065A">
        <w:t>: $10 per 1,000 impressions</w:t>
      </w:r>
    </w:p>
    <w:p w14:paraId="316AE6C7" w14:textId="77777777" w:rsidR="0063065A" w:rsidRPr="0063065A" w:rsidRDefault="0063065A" w:rsidP="0063065A">
      <w:pPr>
        <w:numPr>
          <w:ilvl w:val="1"/>
          <w:numId w:val="16"/>
        </w:numPr>
      </w:pPr>
      <w:r w:rsidRPr="0063065A">
        <w:rPr>
          <w:b/>
          <w:bCs/>
        </w:rPr>
        <w:t>Impressions</w:t>
      </w:r>
      <w:r w:rsidRPr="0063065A">
        <w:t>: 50,000</w:t>
      </w:r>
    </w:p>
    <w:p w14:paraId="6D244020" w14:textId="77777777" w:rsidR="0063065A" w:rsidRPr="0063065A" w:rsidRDefault="0063065A" w:rsidP="0063065A">
      <w:pPr>
        <w:numPr>
          <w:ilvl w:val="1"/>
          <w:numId w:val="16"/>
        </w:numPr>
      </w:pPr>
      <w:r w:rsidRPr="0063065A">
        <w:rPr>
          <w:b/>
          <w:bCs/>
        </w:rPr>
        <w:t>Base Fee</w:t>
      </w:r>
      <w:r w:rsidRPr="0063065A">
        <w:t>: $500 (50,000 ÷ 1,000 × $10)</w:t>
      </w:r>
    </w:p>
    <w:p w14:paraId="22BCF1AE" w14:textId="77777777" w:rsidR="0063065A" w:rsidRPr="0063065A" w:rsidRDefault="0063065A" w:rsidP="0063065A">
      <w:pPr>
        <w:numPr>
          <w:ilvl w:val="1"/>
          <w:numId w:val="16"/>
        </w:numPr>
      </w:pPr>
      <w:r w:rsidRPr="0063065A">
        <w:t>Markup: 20%</w:t>
      </w:r>
    </w:p>
    <w:p w14:paraId="459062F9" w14:textId="77777777" w:rsidR="0063065A" w:rsidRPr="0063065A" w:rsidRDefault="0063065A" w:rsidP="0063065A">
      <w:pPr>
        <w:numPr>
          <w:ilvl w:val="1"/>
          <w:numId w:val="16"/>
        </w:numPr>
      </w:pPr>
      <w:r w:rsidRPr="0063065A">
        <w:rPr>
          <w:b/>
          <w:bCs/>
        </w:rPr>
        <w:t>Voucher Amount</w:t>
      </w:r>
      <w:r w:rsidRPr="0063065A">
        <w:t>: $500 (markup excluded).</w:t>
      </w:r>
    </w:p>
    <w:p w14:paraId="4F31BE3A" w14:textId="77777777" w:rsidR="0063065A" w:rsidRPr="0063065A" w:rsidRDefault="0063065A" w:rsidP="0063065A">
      <w:r w:rsidRPr="0063065A">
        <w:pict w14:anchorId="4A0BFE08">
          <v:rect id="_x0000_i1132" style="width:0;height:1.5pt" o:hralign="center" o:hrstd="t" o:hr="t" fillcolor="#a0a0a0" stroked="f"/>
        </w:pict>
      </w:r>
    </w:p>
    <w:p w14:paraId="425B93C2" w14:textId="77777777" w:rsidR="0063065A" w:rsidRPr="0063065A" w:rsidRDefault="0063065A" w:rsidP="0063065A">
      <w:pPr>
        <w:rPr>
          <w:b/>
          <w:bCs/>
        </w:rPr>
      </w:pPr>
      <w:r w:rsidRPr="0063065A">
        <w:rPr>
          <w:b/>
          <w:bCs/>
        </w:rPr>
        <w:t>6. Reconciliation UI</w:t>
      </w:r>
    </w:p>
    <w:p w14:paraId="4E404767" w14:textId="77777777" w:rsidR="0063065A" w:rsidRPr="0063065A" w:rsidRDefault="0063065A" w:rsidP="0063065A">
      <w:pPr>
        <w:numPr>
          <w:ilvl w:val="0"/>
          <w:numId w:val="17"/>
        </w:numPr>
      </w:pPr>
      <w:r w:rsidRPr="0063065A">
        <w:t xml:space="preserve">The </w:t>
      </w:r>
      <w:r w:rsidRPr="0063065A">
        <w:rPr>
          <w:b/>
          <w:bCs/>
        </w:rPr>
        <w:t>Voucher Amount</w:t>
      </w:r>
      <w:r w:rsidRPr="0063065A">
        <w:t xml:space="preserve"> and </w:t>
      </w:r>
      <w:r w:rsidRPr="0063065A">
        <w:rPr>
          <w:b/>
          <w:bCs/>
        </w:rPr>
        <w:t>IO Amount</w:t>
      </w:r>
      <w:r w:rsidRPr="0063065A">
        <w:t xml:space="preserve"> columns in the Reconciliation UI display grossed-up amounts, which include the applied markup.</w:t>
      </w:r>
    </w:p>
    <w:p w14:paraId="130010AA" w14:textId="77777777" w:rsidR="0063065A" w:rsidRPr="0063065A" w:rsidRDefault="0063065A" w:rsidP="0063065A">
      <w:pPr>
        <w:numPr>
          <w:ilvl w:val="0"/>
          <w:numId w:val="17"/>
        </w:numPr>
      </w:pPr>
      <w:r w:rsidRPr="0063065A">
        <w:lastRenderedPageBreak/>
        <w:t>This ensures accurate billing to clients and clarity for users.</w:t>
      </w:r>
    </w:p>
    <w:p w14:paraId="048BFFDC" w14:textId="77777777" w:rsidR="0063065A" w:rsidRPr="0063065A" w:rsidRDefault="0063065A" w:rsidP="0063065A">
      <w:r w:rsidRPr="0063065A">
        <w:pict w14:anchorId="491D46AE">
          <v:rect id="_x0000_i1133" style="width:0;height:1.5pt" o:hralign="center" o:hrstd="t" o:hr="t" fillcolor="#a0a0a0" stroked="f"/>
        </w:pict>
      </w:r>
    </w:p>
    <w:p w14:paraId="09E353F2" w14:textId="77777777" w:rsidR="0063065A" w:rsidRPr="0063065A" w:rsidRDefault="0063065A" w:rsidP="0063065A">
      <w:r w:rsidRPr="0063065A">
        <w:rPr>
          <w:b/>
          <w:bCs/>
        </w:rPr>
        <w:t>Example for Reconciliation UI</w:t>
      </w:r>
      <w:r w:rsidRPr="0063065A">
        <w:t>:</w:t>
      </w:r>
    </w:p>
    <w:p w14:paraId="71182727" w14:textId="77777777" w:rsidR="0063065A" w:rsidRPr="0063065A" w:rsidRDefault="0063065A" w:rsidP="0063065A">
      <w:pPr>
        <w:numPr>
          <w:ilvl w:val="0"/>
          <w:numId w:val="18"/>
        </w:numPr>
      </w:pPr>
      <w:r w:rsidRPr="0063065A">
        <w:rPr>
          <w:b/>
          <w:bCs/>
        </w:rPr>
        <w:t>Placement Type</w:t>
      </w:r>
      <w:r w:rsidRPr="0063065A">
        <w:t>: "Display"</w:t>
      </w:r>
    </w:p>
    <w:p w14:paraId="46A304DE" w14:textId="77777777" w:rsidR="0063065A" w:rsidRPr="0063065A" w:rsidRDefault="0063065A" w:rsidP="0063065A">
      <w:pPr>
        <w:numPr>
          <w:ilvl w:val="1"/>
          <w:numId w:val="18"/>
        </w:numPr>
      </w:pPr>
      <w:r w:rsidRPr="0063065A">
        <w:rPr>
          <w:b/>
          <w:bCs/>
        </w:rPr>
        <w:t>Ad Tech Fee Rule</w:t>
      </w:r>
      <w:r w:rsidRPr="0063065A">
        <w:t>: $5 per 1,000 impressions</w:t>
      </w:r>
    </w:p>
    <w:p w14:paraId="76FEA2AB" w14:textId="77777777" w:rsidR="0063065A" w:rsidRPr="0063065A" w:rsidRDefault="0063065A" w:rsidP="0063065A">
      <w:pPr>
        <w:numPr>
          <w:ilvl w:val="1"/>
          <w:numId w:val="18"/>
        </w:numPr>
      </w:pPr>
      <w:r w:rsidRPr="0063065A">
        <w:rPr>
          <w:b/>
          <w:bCs/>
        </w:rPr>
        <w:t>Impressions</w:t>
      </w:r>
      <w:r w:rsidRPr="0063065A">
        <w:t>: 20,000</w:t>
      </w:r>
    </w:p>
    <w:p w14:paraId="21B37B26" w14:textId="77777777" w:rsidR="0063065A" w:rsidRPr="0063065A" w:rsidRDefault="0063065A" w:rsidP="0063065A">
      <w:pPr>
        <w:numPr>
          <w:ilvl w:val="1"/>
          <w:numId w:val="18"/>
        </w:numPr>
      </w:pPr>
      <w:r w:rsidRPr="0063065A">
        <w:rPr>
          <w:b/>
          <w:bCs/>
        </w:rPr>
        <w:t>Base Fee</w:t>
      </w:r>
      <w:r w:rsidRPr="0063065A">
        <w:t>: $100</w:t>
      </w:r>
    </w:p>
    <w:p w14:paraId="7D88328C" w14:textId="77777777" w:rsidR="0063065A" w:rsidRPr="0063065A" w:rsidRDefault="0063065A" w:rsidP="0063065A">
      <w:pPr>
        <w:numPr>
          <w:ilvl w:val="1"/>
          <w:numId w:val="18"/>
        </w:numPr>
      </w:pPr>
      <w:r w:rsidRPr="0063065A">
        <w:t>Markup: 10% (Net Basis)</w:t>
      </w:r>
    </w:p>
    <w:p w14:paraId="6D082B94" w14:textId="77777777" w:rsidR="0063065A" w:rsidRPr="0063065A" w:rsidRDefault="0063065A" w:rsidP="0063065A">
      <w:pPr>
        <w:numPr>
          <w:ilvl w:val="1"/>
          <w:numId w:val="18"/>
        </w:numPr>
      </w:pPr>
      <w:r w:rsidRPr="0063065A">
        <w:rPr>
          <w:b/>
          <w:bCs/>
        </w:rPr>
        <w:t>Voucher Amount (Grossed-Up)</w:t>
      </w:r>
      <w:r w:rsidRPr="0063065A">
        <w:t>: $110 ($100 + $10)</w:t>
      </w:r>
    </w:p>
    <w:p w14:paraId="6D7CBD61" w14:textId="77777777" w:rsidR="0063065A" w:rsidRPr="0063065A" w:rsidRDefault="0063065A" w:rsidP="0063065A">
      <w:pPr>
        <w:numPr>
          <w:ilvl w:val="1"/>
          <w:numId w:val="18"/>
        </w:numPr>
      </w:pPr>
      <w:r w:rsidRPr="0063065A">
        <w:rPr>
          <w:b/>
          <w:bCs/>
        </w:rPr>
        <w:t>IO Amount (Grossed-Up)</w:t>
      </w:r>
      <w:r w:rsidRPr="0063065A">
        <w:t>: $110 ($100 + $10)</w:t>
      </w:r>
    </w:p>
    <w:p w14:paraId="657A32BD" w14:textId="77777777" w:rsidR="0063065A" w:rsidRPr="0063065A" w:rsidRDefault="0063065A" w:rsidP="0063065A">
      <w:r w:rsidRPr="0063065A">
        <w:pict w14:anchorId="032D6FE2">
          <v:rect id="_x0000_i1134" style="width:0;height:1.5pt" o:hralign="center" o:hrstd="t" o:hr="t" fillcolor="#a0a0a0" stroked="f"/>
        </w:pict>
      </w:r>
    </w:p>
    <w:p w14:paraId="1BF96A48" w14:textId="77777777" w:rsidR="0063065A" w:rsidRPr="0063065A" w:rsidRDefault="0063065A" w:rsidP="0063065A">
      <w:pPr>
        <w:rPr>
          <w:b/>
          <w:bCs/>
        </w:rPr>
      </w:pPr>
      <w:r w:rsidRPr="0063065A">
        <w:rPr>
          <w:b/>
          <w:bCs/>
        </w:rPr>
        <w:t>Key Benefits</w:t>
      </w:r>
    </w:p>
    <w:p w14:paraId="4A6F1C08" w14:textId="77777777" w:rsidR="0063065A" w:rsidRPr="0063065A" w:rsidRDefault="0063065A" w:rsidP="0063065A">
      <w:pPr>
        <w:numPr>
          <w:ilvl w:val="0"/>
          <w:numId w:val="19"/>
        </w:numPr>
      </w:pPr>
      <w:r w:rsidRPr="0063065A">
        <w:rPr>
          <w:b/>
          <w:bCs/>
        </w:rPr>
        <w:t>Accurate Billing</w:t>
      </w:r>
      <w:r w:rsidRPr="0063065A">
        <w:t>: The Reconciliation UI displays grossed-up amounts, ensuring client billing aligns with operational costs.</w:t>
      </w:r>
    </w:p>
    <w:p w14:paraId="23932A83" w14:textId="77777777" w:rsidR="0063065A" w:rsidRPr="0063065A" w:rsidRDefault="0063065A" w:rsidP="0063065A">
      <w:pPr>
        <w:numPr>
          <w:ilvl w:val="0"/>
          <w:numId w:val="19"/>
        </w:numPr>
      </w:pPr>
      <w:r w:rsidRPr="0063065A">
        <w:rPr>
          <w:b/>
          <w:bCs/>
        </w:rPr>
        <w:t>Vendor Transparency</w:t>
      </w:r>
      <w:r w:rsidRPr="0063065A">
        <w:t>: Vendors only see the unmarked amounts in IOs and Vouchers, simplifying communication.</w:t>
      </w:r>
    </w:p>
    <w:p w14:paraId="5FD2A1A1" w14:textId="77777777" w:rsidR="0063065A" w:rsidRPr="0063065A" w:rsidRDefault="0063065A" w:rsidP="0063065A">
      <w:pPr>
        <w:numPr>
          <w:ilvl w:val="0"/>
          <w:numId w:val="19"/>
        </w:numPr>
      </w:pPr>
      <w:r w:rsidRPr="0063065A">
        <w:rPr>
          <w:b/>
          <w:bCs/>
        </w:rPr>
        <w:t>Centralized Configuration</w:t>
      </w:r>
      <w:r w:rsidRPr="0063065A">
        <w:t>: Markup settings are managed centrally in the Placement Rate Card.</w:t>
      </w:r>
    </w:p>
    <w:p w14:paraId="2E8F869D" w14:textId="77777777" w:rsidR="0063065A" w:rsidRPr="0063065A" w:rsidRDefault="0063065A" w:rsidP="0063065A">
      <w:pPr>
        <w:numPr>
          <w:ilvl w:val="0"/>
          <w:numId w:val="19"/>
        </w:numPr>
      </w:pPr>
      <w:r w:rsidRPr="0063065A">
        <w:rPr>
          <w:b/>
          <w:bCs/>
        </w:rPr>
        <w:t>Flexibility</w:t>
      </w:r>
      <w:r w:rsidRPr="0063065A">
        <w:t>: Group-rule-based overrides at the Activity/Plan level allow adjustments for specific client needs.</w:t>
      </w:r>
    </w:p>
    <w:p w14:paraId="532C08CE" w14:textId="77777777" w:rsidR="0063065A" w:rsidRPr="0063065A" w:rsidRDefault="0063065A" w:rsidP="0063065A">
      <w:pPr>
        <w:numPr>
          <w:ilvl w:val="0"/>
          <w:numId w:val="19"/>
        </w:numPr>
      </w:pPr>
      <w:r w:rsidRPr="0063065A">
        <w:rPr>
          <w:b/>
          <w:bCs/>
        </w:rPr>
        <w:t>Scalability</w:t>
      </w:r>
      <w:r w:rsidRPr="0063065A">
        <w:t>: The system supports multiple vendors and thousands of placements linked to a single media plan.</w:t>
      </w:r>
    </w:p>
    <w:p w14:paraId="5B5AA385" w14:textId="77777777" w:rsidR="0063065A" w:rsidRPr="0063065A" w:rsidRDefault="0063065A" w:rsidP="0063065A">
      <w:r w:rsidRPr="0063065A">
        <w:pict w14:anchorId="0129EF72">
          <v:rect id="_x0000_i1135" style="width:0;height:1.5pt" o:hralign="center" o:hrstd="t" o:hr="t" fillcolor="#a0a0a0" stroked="f"/>
        </w:pict>
      </w:r>
    </w:p>
    <w:p w14:paraId="3F40199B" w14:textId="77777777" w:rsidR="0063065A" w:rsidRPr="0063065A" w:rsidRDefault="0063065A" w:rsidP="0063065A">
      <w:pPr>
        <w:rPr>
          <w:b/>
          <w:bCs/>
        </w:rPr>
      </w:pPr>
      <w:r w:rsidRPr="0063065A">
        <w:rPr>
          <w:b/>
          <w:bCs/>
        </w:rPr>
        <w:t>Risks and Mitigation</w:t>
      </w:r>
    </w:p>
    <w:p w14:paraId="1923258E" w14:textId="77777777" w:rsidR="0063065A" w:rsidRPr="0063065A" w:rsidRDefault="0063065A" w:rsidP="0063065A">
      <w:pPr>
        <w:numPr>
          <w:ilvl w:val="0"/>
          <w:numId w:val="20"/>
        </w:numPr>
      </w:pPr>
      <w:r w:rsidRPr="0063065A">
        <w:rPr>
          <w:b/>
          <w:bCs/>
        </w:rPr>
        <w:t>Incorrect Markup Configuration</w:t>
      </w:r>
      <w:r w:rsidRPr="0063065A">
        <w:t>:</w:t>
      </w:r>
    </w:p>
    <w:p w14:paraId="74646EAE" w14:textId="77777777" w:rsidR="0063065A" w:rsidRPr="0063065A" w:rsidRDefault="0063065A" w:rsidP="0063065A">
      <w:pPr>
        <w:numPr>
          <w:ilvl w:val="1"/>
          <w:numId w:val="20"/>
        </w:numPr>
      </w:pPr>
      <w:r w:rsidRPr="0063065A">
        <w:rPr>
          <w:b/>
          <w:bCs/>
        </w:rPr>
        <w:t>Mitigation</w:t>
      </w:r>
      <w:r w:rsidRPr="0063065A">
        <w:t>: Validate inputs and provide tooltips for user guidance.</w:t>
      </w:r>
    </w:p>
    <w:p w14:paraId="4BF70EF5" w14:textId="77777777" w:rsidR="0063065A" w:rsidRPr="0063065A" w:rsidRDefault="0063065A" w:rsidP="0063065A">
      <w:pPr>
        <w:numPr>
          <w:ilvl w:val="0"/>
          <w:numId w:val="20"/>
        </w:numPr>
      </w:pPr>
      <w:r w:rsidRPr="0063065A">
        <w:rPr>
          <w:b/>
          <w:bCs/>
        </w:rPr>
        <w:t>Misalignment Between Records</w:t>
      </w:r>
      <w:r w:rsidRPr="0063065A">
        <w:t>:</w:t>
      </w:r>
    </w:p>
    <w:p w14:paraId="6005AFAF" w14:textId="77777777" w:rsidR="0063065A" w:rsidRPr="0063065A" w:rsidRDefault="0063065A" w:rsidP="0063065A">
      <w:pPr>
        <w:numPr>
          <w:ilvl w:val="1"/>
          <w:numId w:val="20"/>
        </w:numPr>
      </w:pPr>
      <w:r w:rsidRPr="0063065A">
        <w:rPr>
          <w:b/>
          <w:bCs/>
        </w:rPr>
        <w:lastRenderedPageBreak/>
        <w:t>Mitigation</w:t>
      </w:r>
      <w:r w:rsidRPr="0063065A">
        <w:t>: Clearly display grossed-up amounts in the Reconciliation UI.</w:t>
      </w:r>
    </w:p>
    <w:p w14:paraId="5531AEE1" w14:textId="77777777" w:rsidR="0063065A" w:rsidRPr="0063065A" w:rsidRDefault="0063065A" w:rsidP="0063065A">
      <w:pPr>
        <w:numPr>
          <w:ilvl w:val="0"/>
          <w:numId w:val="20"/>
        </w:numPr>
      </w:pPr>
      <w:r w:rsidRPr="0063065A">
        <w:rPr>
          <w:b/>
          <w:bCs/>
        </w:rPr>
        <w:t>Permission Mismanagement</w:t>
      </w:r>
      <w:r w:rsidRPr="0063065A">
        <w:t>:</w:t>
      </w:r>
    </w:p>
    <w:p w14:paraId="6E0ED390" w14:textId="77777777" w:rsidR="0063065A" w:rsidRPr="0063065A" w:rsidRDefault="0063065A" w:rsidP="0063065A">
      <w:pPr>
        <w:numPr>
          <w:ilvl w:val="1"/>
          <w:numId w:val="20"/>
        </w:numPr>
      </w:pPr>
      <w:r w:rsidRPr="0063065A">
        <w:rPr>
          <w:b/>
          <w:bCs/>
        </w:rPr>
        <w:t>Mitigation</w:t>
      </w:r>
      <w:r w:rsidRPr="0063065A">
        <w:t>: Enforce group-based permissions for markup overrides.</w:t>
      </w:r>
    </w:p>
    <w:p w14:paraId="49D735BF" w14:textId="77777777" w:rsidR="0063065A" w:rsidRPr="0063065A" w:rsidRDefault="0063065A" w:rsidP="0063065A">
      <w:pPr>
        <w:numPr>
          <w:ilvl w:val="0"/>
          <w:numId w:val="20"/>
        </w:numPr>
      </w:pPr>
      <w:r w:rsidRPr="0063065A">
        <w:rPr>
          <w:b/>
          <w:bCs/>
        </w:rPr>
        <w:t>Performance Impact</w:t>
      </w:r>
      <w:r w:rsidRPr="0063065A">
        <w:t>:</w:t>
      </w:r>
    </w:p>
    <w:p w14:paraId="6035B2BB" w14:textId="77777777" w:rsidR="0063065A" w:rsidRPr="0063065A" w:rsidRDefault="0063065A" w:rsidP="0063065A">
      <w:pPr>
        <w:numPr>
          <w:ilvl w:val="1"/>
          <w:numId w:val="20"/>
        </w:numPr>
      </w:pPr>
      <w:r w:rsidRPr="0063065A">
        <w:rPr>
          <w:b/>
          <w:bCs/>
        </w:rPr>
        <w:t>Mitigation</w:t>
      </w:r>
      <w:r w:rsidRPr="0063065A">
        <w:t>: Optimize calculations for large datasets in the Reconciliation UI.</w:t>
      </w:r>
    </w:p>
    <w:p w14:paraId="0716A1AE" w14:textId="77777777" w:rsidR="0063065A" w:rsidRPr="0063065A" w:rsidRDefault="0063065A" w:rsidP="0063065A">
      <w:pPr>
        <w:numPr>
          <w:ilvl w:val="0"/>
          <w:numId w:val="20"/>
        </w:numPr>
      </w:pPr>
      <w:r w:rsidRPr="0063065A">
        <w:rPr>
          <w:b/>
          <w:bCs/>
        </w:rPr>
        <w:t>Historical Data Inconsistency</w:t>
      </w:r>
      <w:r w:rsidRPr="0063065A">
        <w:t>:</w:t>
      </w:r>
    </w:p>
    <w:p w14:paraId="0A45395A" w14:textId="77777777" w:rsidR="0063065A" w:rsidRPr="0063065A" w:rsidRDefault="0063065A" w:rsidP="0063065A">
      <w:pPr>
        <w:numPr>
          <w:ilvl w:val="1"/>
          <w:numId w:val="20"/>
        </w:numPr>
      </w:pPr>
      <w:r w:rsidRPr="0063065A">
        <w:rPr>
          <w:b/>
          <w:bCs/>
        </w:rPr>
        <w:t>Mitigation</w:t>
      </w:r>
      <w:r w:rsidRPr="0063065A">
        <w:t>: Apply changes only to new media plans, preserving historical data.</w:t>
      </w:r>
    </w:p>
    <w:p w14:paraId="1CB5DA75" w14:textId="77777777" w:rsidR="0063065A" w:rsidRPr="0063065A" w:rsidRDefault="0063065A" w:rsidP="0063065A">
      <w:r w:rsidRPr="0063065A">
        <w:pict w14:anchorId="40D3A0B0">
          <v:rect id="_x0000_i1136" style="width:0;height:1.5pt" o:hralign="center" o:hrstd="t" o:hr="t" fillcolor="#a0a0a0" stroked="f"/>
        </w:pict>
      </w:r>
    </w:p>
    <w:p w14:paraId="078A8D27" w14:textId="77777777" w:rsidR="0063065A" w:rsidRPr="0063065A" w:rsidRDefault="0063065A" w:rsidP="0063065A">
      <w:pPr>
        <w:rPr>
          <w:b/>
          <w:bCs/>
        </w:rPr>
      </w:pPr>
      <w:r w:rsidRPr="0063065A">
        <w:rPr>
          <w:b/>
          <w:bCs/>
        </w:rPr>
        <w:t>Non-Functional Requirements</w:t>
      </w:r>
    </w:p>
    <w:p w14:paraId="6955D20E" w14:textId="77777777" w:rsidR="0063065A" w:rsidRPr="0063065A" w:rsidRDefault="0063065A" w:rsidP="0063065A">
      <w:pPr>
        <w:numPr>
          <w:ilvl w:val="0"/>
          <w:numId w:val="21"/>
        </w:numPr>
      </w:pPr>
      <w:r w:rsidRPr="0063065A">
        <w:rPr>
          <w:b/>
          <w:bCs/>
        </w:rPr>
        <w:t>Performance</w:t>
      </w:r>
      <w:r w:rsidRPr="0063065A">
        <w:t>:</w:t>
      </w:r>
    </w:p>
    <w:p w14:paraId="1C684877" w14:textId="77777777" w:rsidR="0063065A" w:rsidRPr="0063065A" w:rsidRDefault="0063065A" w:rsidP="0063065A">
      <w:pPr>
        <w:numPr>
          <w:ilvl w:val="1"/>
          <w:numId w:val="21"/>
        </w:numPr>
      </w:pPr>
      <w:r w:rsidRPr="0063065A">
        <w:t xml:space="preserve">Reconciliation UI updates must occur within </w:t>
      </w:r>
      <w:r w:rsidRPr="0063065A">
        <w:rPr>
          <w:b/>
          <w:bCs/>
        </w:rPr>
        <w:t>2 seconds</w:t>
      </w:r>
      <w:r w:rsidRPr="0063065A">
        <w:t xml:space="preserve"> for datasets up to </w:t>
      </w:r>
      <w:r w:rsidRPr="0063065A">
        <w:rPr>
          <w:b/>
          <w:bCs/>
        </w:rPr>
        <w:t>10,000 records</w:t>
      </w:r>
      <w:r w:rsidRPr="0063065A">
        <w:t>.</w:t>
      </w:r>
    </w:p>
    <w:p w14:paraId="67B0CDDA" w14:textId="77777777" w:rsidR="0063065A" w:rsidRPr="0063065A" w:rsidRDefault="0063065A" w:rsidP="0063065A">
      <w:pPr>
        <w:numPr>
          <w:ilvl w:val="0"/>
          <w:numId w:val="21"/>
        </w:numPr>
      </w:pPr>
      <w:r w:rsidRPr="0063065A">
        <w:rPr>
          <w:b/>
          <w:bCs/>
        </w:rPr>
        <w:t>Validation</w:t>
      </w:r>
      <w:r w:rsidRPr="0063065A">
        <w:t>:</w:t>
      </w:r>
    </w:p>
    <w:p w14:paraId="04D60F1F" w14:textId="77777777" w:rsidR="0063065A" w:rsidRPr="0063065A" w:rsidRDefault="0063065A" w:rsidP="0063065A">
      <w:pPr>
        <w:numPr>
          <w:ilvl w:val="1"/>
          <w:numId w:val="21"/>
        </w:numPr>
      </w:pPr>
      <w:r w:rsidRPr="0063065A">
        <w:t>Ensure only positive percentages are accepted for Markup Percentage.</w:t>
      </w:r>
    </w:p>
    <w:p w14:paraId="230ED375" w14:textId="77777777" w:rsidR="0063065A" w:rsidRPr="0063065A" w:rsidRDefault="0063065A" w:rsidP="0063065A">
      <w:pPr>
        <w:numPr>
          <w:ilvl w:val="0"/>
          <w:numId w:val="21"/>
        </w:numPr>
      </w:pPr>
      <w:r w:rsidRPr="0063065A">
        <w:rPr>
          <w:b/>
          <w:bCs/>
        </w:rPr>
        <w:t>Data Integrity</w:t>
      </w:r>
      <w:r w:rsidRPr="0063065A">
        <w:t>:</w:t>
      </w:r>
    </w:p>
    <w:p w14:paraId="0AD2F604" w14:textId="77777777" w:rsidR="0063065A" w:rsidRPr="0063065A" w:rsidRDefault="0063065A" w:rsidP="0063065A">
      <w:pPr>
        <w:numPr>
          <w:ilvl w:val="1"/>
          <w:numId w:val="21"/>
        </w:numPr>
      </w:pPr>
      <w:r w:rsidRPr="0063065A">
        <w:t>Markup settings must not retroactively affect historical data.</w:t>
      </w:r>
    </w:p>
    <w:p w14:paraId="5A34A801" w14:textId="77777777" w:rsidR="0063065A" w:rsidRPr="0063065A" w:rsidRDefault="0063065A" w:rsidP="0063065A">
      <w:pPr>
        <w:numPr>
          <w:ilvl w:val="0"/>
          <w:numId w:val="21"/>
        </w:numPr>
      </w:pPr>
      <w:r w:rsidRPr="0063065A">
        <w:rPr>
          <w:b/>
          <w:bCs/>
        </w:rPr>
        <w:t>Usability</w:t>
      </w:r>
      <w:r w:rsidRPr="0063065A">
        <w:t>:</w:t>
      </w:r>
    </w:p>
    <w:p w14:paraId="311E232D" w14:textId="77777777" w:rsidR="0063065A" w:rsidRPr="0063065A" w:rsidRDefault="0063065A" w:rsidP="0063065A">
      <w:pPr>
        <w:numPr>
          <w:ilvl w:val="1"/>
          <w:numId w:val="21"/>
        </w:numPr>
      </w:pPr>
      <w:r w:rsidRPr="0063065A">
        <w:t>Provide tooltips and clear labels for markup-related fields.</w:t>
      </w:r>
    </w:p>
    <w:p w14:paraId="6C385601" w14:textId="77777777" w:rsidR="0063065A" w:rsidRPr="0063065A" w:rsidRDefault="0063065A" w:rsidP="0063065A">
      <w:pPr>
        <w:numPr>
          <w:ilvl w:val="0"/>
          <w:numId w:val="21"/>
        </w:numPr>
      </w:pPr>
      <w:r w:rsidRPr="0063065A">
        <w:rPr>
          <w:b/>
          <w:bCs/>
        </w:rPr>
        <w:t>Maintainability</w:t>
      </w:r>
      <w:r w:rsidRPr="0063065A">
        <w:t>:</w:t>
      </w:r>
    </w:p>
    <w:p w14:paraId="48484A57" w14:textId="77777777" w:rsidR="0063065A" w:rsidRPr="0063065A" w:rsidRDefault="0063065A" w:rsidP="0063065A">
      <w:pPr>
        <w:numPr>
          <w:ilvl w:val="1"/>
          <w:numId w:val="21"/>
        </w:numPr>
      </w:pPr>
      <w:r w:rsidRPr="0063065A">
        <w:t>Ensure markup logic is modular for future enhancements.</w:t>
      </w:r>
    </w:p>
    <w:p w14:paraId="6525B7BC" w14:textId="486858E3" w:rsidR="00CC77AF" w:rsidRDefault="00CC77AF"/>
    <w:sectPr w:rsidR="00CC7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112"/>
    <w:multiLevelType w:val="multilevel"/>
    <w:tmpl w:val="097E9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641B0"/>
    <w:multiLevelType w:val="multilevel"/>
    <w:tmpl w:val="9280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95D68"/>
    <w:multiLevelType w:val="multilevel"/>
    <w:tmpl w:val="446C6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42C09"/>
    <w:multiLevelType w:val="multilevel"/>
    <w:tmpl w:val="3C6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B18DF"/>
    <w:multiLevelType w:val="multilevel"/>
    <w:tmpl w:val="9B52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90536"/>
    <w:multiLevelType w:val="multilevel"/>
    <w:tmpl w:val="2DF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81B44"/>
    <w:multiLevelType w:val="multilevel"/>
    <w:tmpl w:val="69CE8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B3383"/>
    <w:multiLevelType w:val="multilevel"/>
    <w:tmpl w:val="E2C2A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003F6"/>
    <w:multiLevelType w:val="multilevel"/>
    <w:tmpl w:val="2F1E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84DAB"/>
    <w:multiLevelType w:val="multilevel"/>
    <w:tmpl w:val="C7EA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14F0E"/>
    <w:multiLevelType w:val="multilevel"/>
    <w:tmpl w:val="436AA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4D1077"/>
    <w:multiLevelType w:val="multilevel"/>
    <w:tmpl w:val="9826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0771FC"/>
    <w:multiLevelType w:val="multilevel"/>
    <w:tmpl w:val="37E60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37DCC"/>
    <w:multiLevelType w:val="multilevel"/>
    <w:tmpl w:val="C33C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C1AD5"/>
    <w:multiLevelType w:val="multilevel"/>
    <w:tmpl w:val="46C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256FB"/>
    <w:multiLevelType w:val="multilevel"/>
    <w:tmpl w:val="2C5A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1D0F6F"/>
    <w:multiLevelType w:val="multilevel"/>
    <w:tmpl w:val="7054A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15625"/>
    <w:multiLevelType w:val="multilevel"/>
    <w:tmpl w:val="0C2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91BA1"/>
    <w:multiLevelType w:val="multilevel"/>
    <w:tmpl w:val="40E88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45975"/>
    <w:multiLevelType w:val="multilevel"/>
    <w:tmpl w:val="3EAC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B24D1F"/>
    <w:multiLevelType w:val="multilevel"/>
    <w:tmpl w:val="E5AE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683947">
    <w:abstractNumId w:val="19"/>
  </w:num>
  <w:num w:numId="2" w16cid:durableId="1194805198">
    <w:abstractNumId w:val="9"/>
  </w:num>
  <w:num w:numId="3" w16cid:durableId="1284651371">
    <w:abstractNumId w:val="12"/>
  </w:num>
  <w:num w:numId="4" w16cid:durableId="1229921307">
    <w:abstractNumId w:val="18"/>
  </w:num>
  <w:num w:numId="5" w16cid:durableId="59912124">
    <w:abstractNumId w:val="1"/>
  </w:num>
  <w:num w:numId="6" w16cid:durableId="1571770003">
    <w:abstractNumId w:val="0"/>
  </w:num>
  <w:num w:numId="7" w16cid:durableId="2011057989">
    <w:abstractNumId w:val="4"/>
  </w:num>
  <w:num w:numId="8" w16cid:durableId="783698039">
    <w:abstractNumId w:val="15"/>
  </w:num>
  <w:num w:numId="9" w16cid:durableId="208961109">
    <w:abstractNumId w:val="10"/>
  </w:num>
  <w:num w:numId="10" w16cid:durableId="1298679841">
    <w:abstractNumId w:val="13"/>
  </w:num>
  <w:num w:numId="11" w16cid:durableId="56704100">
    <w:abstractNumId w:val="14"/>
  </w:num>
  <w:num w:numId="12" w16cid:durableId="1347289728">
    <w:abstractNumId w:val="20"/>
  </w:num>
  <w:num w:numId="13" w16cid:durableId="638078286">
    <w:abstractNumId w:val="3"/>
  </w:num>
  <w:num w:numId="14" w16cid:durableId="961765705">
    <w:abstractNumId w:val="16"/>
  </w:num>
  <w:num w:numId="15" w16cid:durableId="1065374223">
    <w:abstractNumId w:val="17"/>
  </w:num>
  <w:num w:numId="16" w16cid:durableId="1780642814">
    <w:abstractNumId w:val="8"/>
  </w:num>
  <w:num w:numId="17" w16cid:durableId="81342076">
    <w:abstractNumId w:val="5"/>
  </w:num>
  <w:num w:numId="18" w16cid:durableId="1425954390">
    <w:abstractNumId w:val="2"/>
  </w:num>
  <w:num w:numId="19" w16cid:durableId="2123569050">
    <w:abstractNumId w:val="11"/>
  </w:num>
  <w:num w:numId="20" w16cid:durableId="206646849">
    <w:abstractNumId w:val="6"/>
  </w:num>
  <w:num w:numId="21" w16cid:durableId="409427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AF"/>
    <w:rsid w:val="0028631E"/>
    <w:rsid w:val="004C52F2"/>
    <w:rsid w:val="0063065A"/>
    <w:rsid w:val="007C57FD"/>
    <w:rsid w:val="00CC77AF"/>
    <w:rsid w:val="00DB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29AD"/>
  <w15:chartTrackingRefBased/>
  <w15:docId w15:val="{C7756C77-605D-41B8-9A06-8ED1B348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7AF"/>
    <w:rPr>
      <w:rFonts w:eastAsiaTheme="majorEastAsia" w:cstheme="majorBidi"/>
      <w:color w:val="272727" w:themeColor="text1" w:themeTint="D8"/>
    </w:rPr>
  </w:style>
  <w:style w:type="paragraph" w:styleId="Title">
    <w:name w:val="Title"/>
    <w:basedOn w:val="Normal"/>
    <w:next w:val="Normal"/>
    <w:link w:val="TitleChar"/>
    <w:uiPriority w:val="10"/>
    <w:qFormat/>
    <w:rsid w:val="00CC7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7AF"/>
    <w:pPr>
      <w:spacing w:before="160"/>
      <w:jc w:val="center"/>
    </w:pPr>
    <w:rPr>
      <w:i/>
      <w:iCs/>
      <w:color w:val="404040" w:themeColor="text1" w:themeTint="BF"/>
    </w:rPr>
  </w:style>
  <w:style w:type="character" w:customStyle="1" w:styleId="QuoteChar">
    <w:name w:val="Quote Char"/>
    <w:basedOn w:val="DefaultParagraphFont"/>
    <w:link w:val="Quote"/>
    <w:uiPriority w:val="29"/>
    <w:rsid w:val="00CC77AF"/>
    <w:rPr>
      <w:i/>
      <w:iCs/>
      <w:color w:val="404040" w:themeColor="text1" w:themeTint="BF"/>
    </w:rPr>
  </w:style>
  <w:style w:type="paragraph" w:styleId="ListParagraph">
    <w:name w:val="List Paragraph"/>
    <w:basedOn w:val="Normal"/>
    <w:uiPriority w:val="34"/>
    <w:qFormat/>
    <w:rsid w:val="00CC77AF"/>
    <w:pPr>
      <w:ind w:left="720"/>
      <w:contextualSpacing/>
    </w:pPr>
  </w:style>
  <w:style w:type="character" w:styleId="IntenseEmphasis">
    <w:name w:val="Intense Emphasis"/>
    <w:basedOn w:val="DefaultParagraphFont"/>
    <w:uiPriority w:val="21"/>
    <w:qFormat/>
    <w:rsid w:val="00CC77AF"/>
    <w:rPr>
      <w:i/>
      <w:iCs/>
      <w:color w:val="0F4761" w:themeColor="accent1" w:themeShade="BF"/>
    </w:rPr>
  </w:style>
  <w:style w:type="paragraph" w:styleId="IntenseQuote">
    <w:name w:val="Intense Quote"/>
    <w:basedOn w:val="Normal"/>
    <w:next w:val="Normal"/>
    <w:link w:val="IntenseQuoteChar"/>
    <w:uiPriority w:val="30"/>
    <w:qFormat/>
    <w:rsid w:val="00CC7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7AF"/>
    <w:rPr>
      <w:i/>
      <w:iCs/>
      <w:color w:val="0F4761" w:themeColor="accent1" w:themeShade="BF"/>
    </w:rPr>
  </w:style>
  <w:style w:type="character" w:styleId="IntenseReference">
    <w:name w:val="Intense Reference"/>
    <w:basedOn w:val="DefaultParagraphFont"/>
    <w:uiPriority w:val="32"/>
    <w:qFormat/>
    <w:rsid w:val="00CC77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61185">
      <w:bodyDiv w:val="1"/>
      <w:marLeft w:val="0"/>
      <w:marRight w:val="0"/>
      <w:marTop w:val="0"/>
      <w:marBottom w:val="0"/>
      <w:divBdr>
        <w:top w:val="none" w:sz="0" w:space="0" w:color="auto"/>
        <w:left w:val="none" w:sz="0" w:space="0" w:color="auto"/>
        <w:bottom w:val="none" w:sz="0" w:space="0" w:color="auto"/>
        <w:right w:val="none" w:sz="0" w:space="0" w:color="auto"/>
      </w:divBdr>
    </w:div>
    <w:div w:id="820267581">
      <w:bodyDiv w:val="1"/>
      <w:marLeft w:val="0"/>
      <w:marRight w:val="0"/>
      <w:marTop w:val="0"/>
      <w:marBottom w:val="0"/>
      <w:divBdr>
        <w:top w:val="none" w:sz="0" w:space="0" w:color="auto"/>
        <w:left w:val="none" w:sz="0" w:space="0" w:color="auto"/>
        <w:bottom w:val="none" w:sz="0" w:space="0" w:color="auto"/>
        <w:right w:val="none" w:sz="0" w:space="0" w:color="auto"/>
      </w:divBdr>
    </w:div>
    <w:div w:id="1118528439">
      <w:bodyDiv w:val="1"/>
      <w:marLeft w:val="0"/>
      <w:marRight w:val="0"/>
      <w:marTop w:val="0"/>
      <w:marBottom w:val="0"/>
      <w:divBdr>
        <w:top w:val="none" w:sz="0" w:space="0" w:color="auto"/>
        <w:left w:val="none" w:sz="0" w:space="0" w:color="auto"/>
        <w:bottom w:val="none" w:sz="0" w:space="0" w:color="auto"/>
        <w:right w:val="none" w:sz="0" w:space="0" w:color="auto"/>
      </w:divBdr>
    </w:div>
    <w:div w:id="117912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Jameel</dc:creator>
  <cp:keywords/>
  <dc:description/>
  <cp:lastModifiedBy>Asim Jameel</cp:lastModifiedBy>
  <cp:revision>2</cp:revision>
  <dcterms:created xsi:type="dcterms:W3CDTF">2024-12-09T06:38:00Z</dcterms:created>
  <dcterms:modified xsi:type="dcterms:W3CDTF">2024-12-09T06:42:00Z</dcterms:modified>
</cp:coreProperties>
</file>