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для работы с программами на языке ассемблера NASM.</w:t>
      </w:r>
    </w:p>
    <w:p>
      <w:pPr>
        <w:numPr>
          <w:ilvl w:val="0"/>
          <w:numId w:val="1001"/>
        </w:numPr>
        <w:pStyle w:val="Compact"/>
      </w:pPr>
      <w:r>
        <w:t xml:space="preserve">Перейти в созданный каталог и создать текстовый файл с именем hello.asm</w:t>
      </w:r>
    </w:p>
    <w:p>
      <w:pPr>
        <w:numPr>
          <w:ilvl w:val="0"/>
          <w:numId w:val="1001"/>
        </w:numPr>
        <w:pStyle w:val="Compact"/>
      </w:pPr>
      <w:r>
        <w:t xml:space="preserve">Открыть файл с помощью текстового редактора.</w:t>
      </w:r>
    </w:p>
    <w:p>
      <w:pPr>
        <w:numPr>
          <w:ilvl w:val="0"/>
          <w:numId w:val="1001"/>
        </w:numPr>
        <w:pStyle w:val="Compact"/>
      </w:pPr>
      <w:r>
        <w:t xml:space="preserve">Внести в файл кода изменения и превратить его в объектный файл.</w:t>
      </w:r>
    </w:p>
    <w:p>
      <w:pPr>
        <w:numPr>
          <w:ilvl w:val="0"/>
          <w:numId w:val="1001"/>
        </w:numPr>
        <w:pStyle w:val="Compact"/>
      </w:pPr>
      <w:r>
        <w:t xml:space="preserve">Скомпилировать исходный файл в obj.o, проверить, что всё выполнено. (есть obj.o, list.lst)</w:t>
      </w:r>
    </w:p>
    <w:p>
      <w:pPr>
        <w:numPr>
          <w:ilvl w:val="0"/>
          <w:numId w:val="1001"/>
        </w:numPr>
        <w:pStyle w:val="Compact"/>
      </w:pPr>
      <w:r>
        <w:t xml:space="preserve">Скомпоновать файл, создать файл main.o, выяснить какое имя будет иметь исполняемый файл объектный, из которого он собран.</w:t>
      </w:r>
    </w:p>
    <w:p>
      <w:pPr>
        <w:numPr>
          <w:ilvl w:val="0"/>
          <w:numId w:val="1001"/>
        </w:numPr>
        <w:pStyle w:val="Compact"/>
      </w:pPr>
      <w:r>
        <w:t xml:space="preserve">Запустить файл hello.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hello с именем lab5.</w:t>
      </w:r>
    </w:p>
    <w:p>
      <w:pPr>
        <w:numPr>
          <w:ilvl w:val="0"/>
          <w:numId w:val="1001"/>
        </w:numPr>
        <w:pStyle w:val="Compact"/>
      </w:pPr>
      <w:r>
        <w:t xml:space="preserve">Изменить текст так, чтобы выводилась строка с именем и фамилией.</w:t>
      </w:r>
    </w:p>
    <w:p>
      <w:pPr>
        <w:numPr>
          <w:ilvl w:val="0"/>
          <w:numId w:val="1001"/>
        </w:numPr>
        <w:pStyle w:val="Compact"/>
      </w:pPr>
      <w:r>
        <w:t xml:space="preserve">Выполнить компоновку объектного файла и запустить получившийся исполняемый файл.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Структурная схема ЭВМ (рис. 1).</w:t>
      </w:r>
    </w:p>
    <w:p>
      <w:pPr>
        <w:pStyle w:val="CaptionedFigure"/>
      </w:pPr>
      <w:bookmarkStart w:id="25" w:name="fig:001"/>
      <w:r>
        <w:drawing>
          <wp:inline>
            <wp:extent cx="5334000" cy="3566102"/>
            <wp:effectExtent b="0" l="0" r="0" t="0"/>
            <wp:docPr descr=" 1: Рис.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 </w:t>
      </w:r>
      <w:r>
        <w:t xml:space="preserve">1: Рис. 1</w:t>
      </w:r>
    </w:p>
    <w:p>
      <w:pPr>
        <w:pStyle w:val="BodyText"/>
      </w:pP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</w:t>
      </w:r>
    </w:p>
    <w:p>
      <w:pPr>
        <w:pStyle w:val="BodyText"/>
      </w:pP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</w:p>
    <w:p>
      <w:pPr>
        <w:pStyle w:val="BodyText"/>
      </w:pPr>
      <w:r>
        <w:t xml:space="preserve">• устройство управления (УУ) — обеспечивает управление и контроль всех устройств компьютера;</w:t>
      </w:r>
    </w:p>
    <w:p>
      <w:pPr>
        <w:pStyle w:val="BodyText"/>
      </w:pP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</w:t>
      </w:r>
    </w:p>
    <w:p>
      <w:pPr>
        <w:pStyle w:val="BodyText"/>
      </w:pPr>
      <w:r>
        <w:t xml:space="preserve">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</w:p>
    <w:p>
      <w:pPr>
        <w:pStyle w:val="BodyText"/>
      </w:pPr>
      <w:r>
        <w:t xml:space="preserve">В качестве примера приведем названия основных регистров общего назначения именно эти регистры чаще всего используются при написании программ):</w:t>
      </w:r>
    </w:p>
    <w:p>
      <w:pPr>
        <w:pStyle w:val="BodyText"/>
      </w:pPr>
      <w:r>
        <w:t xml:space="preserve">• RAX, RCX, RDX, RBX, RSI, RDI — 64-битные</w:t>
      </w:r>
    </w:p>
    <w:p>
      <w:pPr>
        <w:pStyle w:val="BodyText"/>
      </w:pPr>
      <w:r>
        <w:t xml:space="preserve">• EAX, ECX, EDX, EBX, ESI, EDI — 32-битные</w:t>
      </w:r>
    </w:p>
    <w:p>
      <w:pPr>
        <w:pStyle w:val="BodyText"/>
      </w:pPr>
      <w:r>
        <w:t xml:space="preserve">• AX, CX, DX, BX, SI, DI — 16-битные</w:t>
      </w:r>
    </w:p>
    <w:p>
      <w:pPr>
        <w:pStyle w:val="BodyText"/>
      </w:pPr>
      <w:r>
        <w:t xml:space="preserve">• AH, AL, CH, CL, DH, DL, BH, BL — 8-битные (половинки 16-битных регистров). Например, AH (high AX) — старшие 8 бит регистра AX, AL (low AX) — младшие 8 бит регистра AX</w:t>
      </w:r>
    </w:p>
    <w:bookmarkEnd w:id="26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Создала каталог для работы с программами на языке ассемблера NASM (рис. 2).</w:t>
      </w:r>
    </w:p>
    <w:p>
      <w:pPr>
        <w:pStyle w:val="CaptionedFigure"/>
      </w:pPr>
      <w:bookmarkStart w:id="30" w:name="fig:002"/>
      <w:r>
        <w:drawing>
          <wp:inline>
            <wp:extent cx="5334000" cy="1025769"/>
            <wp:effectExtent b="0" l="0" r="0" t="0"/>
            <wp:docPr descr=" 2: Рис. 2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 </w:t>
      </w:r>
      <w:r>
        <w:t xml:space="preserve">2: Рис. 2</w:t>
      </w:r>
    </w:p>
    <w:p>
      <w:pPr>
        <w:numPr>
          <w:ilvl w:val="0"/>
          <w:numId w:val="1003"/>
        </w:numPr>
        <w:pStyle w:val="Compact"/>
      </w:pPr>
      <w:r>
        <w:t xml:space="preserve">Перешла в созданный каталог и создала текстовый файл с именем hello.asm (рис. 3).</w:t>
      </w:r>
    </w:p>
    <w:p>
      <w:pPr>
        <w:pStyle w:val="CaptionedFigure"/>
      </w:pPr>
      <w:bookmarkStart w:id="34" w:name="fig:003"/>
      <w:r>
        <w:drawing>
          <wp:inline>
            <wp:extent cx="5334000" cy="1019495"/>
            <wp:effectExtent b="0" l="0" r="0" t="0"/>
            <wp:docPr descr=" 3: Рис. 3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 </w:t>
      </w:r>
      <w:r>
        <w:t xml:space="preserve">3: Рис. 3</w:t>
      </w:r>
    </w:p>
    <w:p>
      <w:pPr>
        <w:numPr>
          <w:ilvl w:val="0"/>
          <w:numId w:val="1004"/>
        </w:numPr>
        <w:pStyle w:val="Compact"/>
      </w:pPr>
      <w:r>
        <w:t xml:space="preserve">Открыла файл с помощью текстового редактора (рис. 4).</w:t>
      </w:r>
    </w:p>
    <w:p>
      <w:pPr>
        <w:pStyle w:val="CaptionedFigure"/>
      </w:pPr>
      <w:bookmarkStart w:id="38" w:name="fig:004"/>
      <w:r>
        <w:drawing>
          <wp:inline>
            <wp:extent cx="5334000" cy="2171836"/>
            <wp:effectExtent b="0" l="0" r="0" t="0"/>
            <wp:docPr descr=" 4: Рис. 4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 </w:t>
      </w:r>
      <w:r>
        <w:t xml:space="preserve">4: Рис. 4</w:t>
      </w:r>
    </w:p>
    <w:p>
      <w:pPr>
        <w:numPr>
          <w:ilvl w:val="0"/>
          <w:numId w:val="1005"/>
        </w:numPr>
        <w:pStyle w:val="Compact"/>
      </w:pPr>
      <w:r>
        <w:t xml:space="preserve">Внесла в файл кода изменения и превратила его в объектный файл (рис. 5).</w:t>
      </w:r>
    </w:p>
    <w:p>
      <w:pPr>
        <w:pStyle w:val="CaptionedFigure"/>
      </w:pPr>
      <w:bookmarkStart w:id="42" w:name="fig:005"/>
      <w:r>
        <w:drawing>
          <wp:inline>
            <wp:extent cx="5334000" cy="1531937"/>
            <wp:effectExtent b="0" l="0" r="0" t="0"/>
            <wp:docPr descr=" 5: Рис. 5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 </w:t>
      </w:r>
      <w:r>
        <w:t xml:space="preserve">5: Рис. 5</w:t>
      </w:r>
    </w:p>
    <w:p>
      <w:pPr>
        <w:numPr>
          <w:ilvl w:val="0"/>
          <w:numId w:val="1006"/>
        </w:numPr>
        <w:pStyle w:val="Compact"/>
      </w:pPr>
      <w:r>
        <w:t xml:space="preserve">Скомпилировала исходный файл в obj.o, проверила, что всё выполнено. (есть obj.o, list.lst) (рис. 6).</w:t>
      </w:r>
    </w:p>
    <w:p>
      <w:pPr>
        <w:pStyle w:val="CaptionedFigure"/>
      </w:pPr>
      <w:bookmarkStart w:id="46" w:name="fig:006"/>
      <w:r>
        <w:drawing>
          <wp:inline>
            <wp:extent cx="5334000" cy="904726"/>
            <wp:effectExtent b="0" l="0" r="0" t="0"/>
            <wp:docPr descr=" 6: Рис. 6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 </w:t>
      </w:r>
      <w:r>
        <w:t xml:space="preserve">6: Рис. 6</w:t>
      </w:r>
    </w:p>
    <w:p>
      <w:pPr>
        <w:numPr>
          <w:ilvl w:val="0"/>
          <w:numId w:val="1007"/>
        </w:numPr>
        <w:pStyle w:val="Compact"/>
      </w:pPr>
      <w:r>
        <w:t xml:space="preserve">Скомпоновала файл, создала файл main, выяснила какое имя будет иметь исполняемый файл и объектный, из которого он собран (рис. 7, 8).</w:t>
      </w:r>
    </w:p>
    <w:p>
      <w:pPr>
        <w:pStyle w:val="CaptionedFigure"/>
      </w:pPr>
      <w:bookmarkStart w:id="50" w:name="fig:007"/>
      <w:r>
        <w:drawing>
          <wp:inline>
            <wp:extent cx="5334000" cy="607670"/>
            <wp:effectExtent b="0" l="0" r="0" t="0"/>
            <wp:docPr descr=" 7: Рис. 7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 </w:t>
      </w:r>
      <w:r>
        <w:t xml:space="preserve">7: Рис. 7</w:t>
      </w:r>
    </w:p>
    <w:p>
      <w:pPr>
        <w:pStyle w:val="CaptionedFigure"/>
      </w:pPr>
      <w:bookmarkStart w:id="54" w:name="fig:008"/>
      <w:r>
        <w:drawing>
          <wp:inline>
            <wp:extent cx="5334000" cy="599463"/>
            <wp:effectExtent b="0" l="0" r="0" t="0"/>
            <wp:docPr descr=" 8: Рис. 8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 </w:t>
      </w:r>
      <w:r>
        <w:t xml:space="preserve">8: Рис. 8</w:t>
      </w:r>
    </w:p>
    <w:p>
      <w:pPr>
        <w:pStyle w:val="BodyText"/>
      </w:pPr>
      <w:r>
        <w:t xml:space="preserve">У объектного файла имя obj.o, а у исполняемого файла - main.</w:t>
      </w:r>
    </w:p>
    <w:p>
      <w:pPr>
        <w:numPr>
          <w:ilvl w:val="0"/>
          <w:numId w:val="1008"/>
        </w:numPr>
        <w:pStyle w:val="Compact"/>
      </w:pPr>
      <w:r>
        <w:t xml:space="preserve">Запустила файл hello (рис. 9).</w:t>
      </w:r>
    </w:p>
    <w:p>
      <w:pPr>
        <w:pStyle w:val="CaptionedFigure"/>
      </w:pPr>
      <w:bookmarkStart w:id="58" w:name="fig:009"/>
      <w:r>
        <w:drawing>
          <wp:inline>
            <wp:extent cx="4064000" cy="1295400"/>
            <wp:effectExtent b="0" l="0" r="0" t="0"/>
            <wp:docPr descr=" 9: Рис. 9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 </w:t>
      </w:r>
      <w:r>
        <w:t xml:space="preserve">9: Рис. 9</w:t>
      </w:r>
    </w:p>
    <w:p>
      <w:pPr>
        <w:numPr>
          <w:ilvl w:val="0"/>
          <w:numId w:val="1009"/>
        </w:numPr>
        <w:pStyle w:val="Compact"/>
      </w:pPr>
      <w:r>
        <w:t xml:space="preserve">Создала копию файла hello с именем lab5 (рис. 10).</w:t>
      </w:r>
    </w:p>
    <w:p>
      <w:pPr>
        <w:pStyle w:val="CaptionedFigure"/>
      </w:pPr>
      <w:bookmarkStart w:id="62" w:name="fig:010"/>
      <w:r>
        <w:drawing>
          <wp:inline>
            <wp:extent cx="5334000" cy="1026160"/>
            <wp:effectExtent b="0" l="0" r="0" t="0"/>
            <wp:docPr descr=" 10: Рис. 10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 </w:t>
      </w:r>
      <w:r>
        <w:t xml:space="preserve">10: Рис. 10</w:t>
      </w:r>
    </w:p>
    <w:p>
      <w:pPr>
        <w:numPr>
          <w:ilvl w:val="0"/>
          <w:numId w:val="1010"/>
        </w:numPr>
        <w:pStyle w:val="Compact"/>
      </w:pPr>
      <w:r>
        <w:t xml:space="preserve">Изменила текст так, чтобы выводилась строка с именем и фамилией (рис. 11).</w:t>
      </w:r>
    </w:p>
    <w:p>
      <w:pPr>
        <w:pStyle w:val="CaptionedFigure"/>
      </w:pPr>
      <w:bookmarkStart w:id="65" w:name="fig:011"/>
      <w:r>
        <w:drawing>
          <wp:inline>
            <wp:extent cx="5334000" cy="1026160"/>
            <wp:effectExtent b="0" l="0" r="0" t="0"/>
            <wp:docPr descr=" 11: Рис. 11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 </w:t>
      </w:r>
      <w:r>
        <w:t xml:space="preserve">11: Рис. 11</w:t>
      </w:r>
    </w:p>
    <w:p>
      <w:pPr>
        <w:numPr>
          <w:ilvl w:val="0"/>
          <w:numId w:val="1011"/>
        </w:numPr>
        <w:pStyle w:val="Compact"/>
      </w:pPr>
      <w:r>
        <w:t xml:space="preserve">Выполнила компоновку объектного файла и запустить получившийся исполняемый файл (рис. 12, 13, 14).</w:t>
      </w:r>
    </w:p>
    <w:p>
      <w:pPr>
        <w:pStyle w:val="CaptionedFigure"/>
      </w:pPr>
      <w:bookmarkStart w:id="69" w:name="fig:012"/>
      <w:r>
        <w:drawing>
          <wp:inline>
            <wp:extent cx="5334000" cy="1343163"/>
            <wp:effectExtent b="0" l="0" r="0" t="0"/>
            <wp:docPr descr=" 12: Рис. 1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 </w:t>
      </w:r>
      <w:r>
        <w:t xml:space="preserve">12: Рис. 12</w:t>
      </w:r>
    </w:p>
    <w:p>
      <w:pPr>
        <w:pStyle w:val="CaptionedFigure"/>
      </w:pPr>
      <w:bookmarkStart w:id="73" w:name="fig:013"/>
      <w:r>
        <w:drawing>
          <wp:inline>
            <wp:extent cx="5334000" cy="1072356"/>
            <wp:effectExtent b="0" l="0" r="0" t="0"/>
            <wp:docPr descr=" 13: Рис. 1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 </w:t>
      </w:r>
      <w:r>
        <w:t xml:space="preserve">13: Рис. 13</w:t>
      </w:r>
    </w:p>
    <w:p>
      <w:pPr>
        <w:pStyle w:val="CaptionedFigure"/>
      </w:pPr>
      <w:bookmarkStart w:id="77" w:name="fig:014"/>
      <w:r>
        <w:drawing>
          <wp:inline>
            <wp:extent cx="5334000" cy="794543"/>
            <wp:effectExtent b="0" l="0" r="0" t="0"/>
            <wp:docPr descr=" 14: Рис. 14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 </w:t>
      </w:r>
      <w:r>
        <w:t xml:space="preserve">14: Рис. 14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освоила процедуры компиляции и сборки программ, написанных на ассемблере NASM.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Ганина Таисия Сергеевна, НКАбд-01-22</dc:creator>
  <dc:language>ru-RU</dc:language>
  <cp:keywords/>
  <dcterms:created xsi:type="dcterms:W3CDTF">2022-11-08T10:06:37Z</dcterms:created>
  <dcterms:modified xsi:type="dcterms:W3CDTF">2022-11-08T10:06:37Z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/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