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навыков моделирования сетей передачи данных с помощью средства имитационного моделирования NS-2, а также анализ полученных результатов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Записать шаблон сценария для NS-2.</w:t>
      </w:r>
    </w:p>
    <w:p>
      <w:pPr>
        <w:numPr>
          <w:ilvl w:val="0"/>
          <w:numId w:val="1001"/>
        </w:numPr>
        <w:pStyle w:val="Compact"/>
      </w:pPr>
      <w:r>
        <w:t xml:space="preserve">Создать простой пример описания топологии сети, состоящей из двух узлов и одного соединения.</w:t>
      </w:r>
    </w:p>
    <w:p>
      <w:pPr>
        <w:numPr>
          <w:ilvl w:val="0"/>
          <w:numId w:val="1001"/>
        </w:numPr>
        <w:pStyle w:val="Compact"/>
      </w:pPr>
      <w:r>
        <w:t xml:space="preserve">Создать пример с усложнённой топологией сети.</w:t>
      </w:r>
    </w:p>
    <w:p>
      <w:pPr>
        <w:numPr>
          <w:ilvl w:val="0"/>
          <w:numId w:val="1001"/>
        </w:numPr>
        <w:pStyle w:val="Compact"/>
      </w:pPr>
      <w:r>
        <w:t xml:space="preserve">Создать пример с кольцевой топологией сети.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упражнение.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Я создала в рабочем каталоге директорию mip, к которой будут выполняться лабораторные работы. Внутри mip создала директорию lab-ns, а в ней файл shablon.tcl. Открыла файл шаблона на редактирование и заполнила его согласно коду из задания лабораторной. После этого запустила шаблон и посмотрела на результат. Пустой экран приложения, где, редактируя шаблон, в будущем мы будем добавлять сети определенных топологий.</w:t>
      </w:r>
      <w:r>
        <w:t xml:space="preserve"> </w:t>
      </w:r>
      <w:r>
        <w:t xml:space="preserve">(рис. fig. 1, fig. 2, fig. 3).</w:t>
      </w:r>
    </w:p>
    <w:p>
      <w:pPr>
        <w:pStyle w:val="CaptionedFigure"/>
      </w:pPr>
      <w:bookmarkStart w:id="25" w:name="fig:001"/>
      <w:r>
        <w:drawing>
          <wp:inline>
            <wp:extent cx="5334000" cy="3792070"/>
            <wp:effectExtent b="0" l="0" r="0" t="0"/>
            <wp:docPr descr="Рис. 1: Создание файл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файлов</w:t>
      </w:r>
    </w:p>
    <w:p>
      <w:pPr>
        <w:pStyle w:val="CaptionedFigure"/>
      </w:pPr>
      <w:bookmarkStart w:id="29" w:name="fig:002"/>
      <w:r>
        <w:drawing>
          <wp:inline>
            <wp:extent cx="5334000" cy="4278653"/>
            <wp:effectExtent b="0" l="0" r="0" t="0"/>
            <wp:docPr descr="Рис. 2: Заполнение файла шаблон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Заполнение файла шаблона</w:t>
      </w:r>
    </w:p>
    <w:p>
      <w:pPr>
        <w:pStyle w:val="CaptionedFigure"/>
      </w:pPr>
      <w:bookmarkStart w:id="33" w:name="fig:003"/>
      <w:r>
        <w:drawing>
          <wp:inline>
            <wp:extent cx="5334000" cy="4785360"/>
            <wp:effectExtent b="0" l="0" r="0" t="0"/>
            <wp:docPr descr="Рис. 3: Результат выполнения файла шаблона, приложение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Результат выполнения файла шаблона, приложение</w:t>
      </w:r>
    </w:p>
    <w:p>
      <w:pPr>
        <w:numPr>
          <w:ilvl w:val="0"/>
          <w:numId w:val="1003"/>
        </w:numPr>
        <w:pStyle w:val="Compact"/>
      </w:pPr>
      <w:r>
        <w:t xml:space="preserve">Я выполнила по образцу из задания лабораторной простой пример описания топологии сети, состоящей из двух</w:t>
      </w:r>
      <w:r>
        <w:t xml:space="preserve"> </w:t>
      </w:r>
      <w:r>
        <w:t xml:space="preserve">узлов и одного соединения. В начале скопировала содержимое шаблона в новый файл, после отредактировала его. Добавила описание топологии сети, создала агенты для генерации и приема трафика, создала агент UDP и присоединила к узлу n0. В узле агент сам не может генерировать трафик, он лишь реализует протоколы и алгоритмы транспортного уровня. Поэтому к агенту присоединяется приложение. В данном случае — это источник с постоянной скоростью (Constant Bit Rate, CBR), который каждые 5 мс посылает пакет R = 500 байт. (рис. fig. 4, fig. 5, fig. 6, fig. 7, fig. 8).</w:t>
      </w:r>
    </w:p>
    <w:p>
      <w:pPr>
        <w:pStyle w:val="CaptionedFigure"/>
      </w:pPr>
      <w:bookmarkStart w:id="37" w:name="fig:004"/>
      <w:r>
        <w:drawing>
          <wp:inline>
            <wp:extent cx="5334000" cy="579585"/>
            <wp:effectExtent b="0" l="0" r="0" t="0"/>
            <wp:docPr descr="Рис. 4: Копирование шаблон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Копирование шаблона</w:t>
      </w:r>
    </w:p>
    <w:p>
      <w:pPr>
        <w:pStyle w:val="CaptionedFigure"/>
      </w:pPr>
      <w:bookmarkStart w:id="41" w:name="fig:005"/>
      <w:r>
        <w:drawing>
          <wp:inline>
            <wp:extent cx="5334000" cy="5377074"/>
            <wp:effectExtent b="0" l="0" r="0" t="0"/>
            <wp:docPr descr="Рис. 5: Код программы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Код программы</w:t>
      </w:r>
    </w:p>
    <w:p>
      <w:pPr>
        <w:pStyle w:val="CaptionedFigure"/>
      </w:pPr>
      <w:bookmarkStart w:id="45" w:name="fig:006"/>
      <w:r>
        <w:drawing>
          <wp:inline>
            <wp:extent cx="5334000" cy="5864986"/>
            <wp:effectExtent b="0" l="0" r="0" t="0"/>
            <wp:docPr descr="Рис. 6: Аниматор nam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4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Аниматор nam</w:t>
      </w:r>
    </w:p>
    <w:p>
      <w:pPr>
        <w:pStyle w:val="CaptionedFigure"/>
      </w:pPr>
      <w:bookmarkStart w:id="49" w:name="fig:007"/>
      <w:r>
        <w:drawing>
          <wp:inline>
            <wp:extent cx="5334000" cy="5830558"/>
            <wp:effectExtent b="0" l="0" r="0" t="0"/>
            <wp:docPr descr="Рис. 7: Визуализация простой модели сети с помощью nam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0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Визуализация простой модели сети с помощью nam</w:t>
      </w:r>
    </w:p>
    <w:p>
      <w:pPr>
        <w:pStyle w:val="CaptionedFigure"/>
      </w:pPr>
      <w:bookmarkStart w:id="53" w:name="fig:008"/>
      <w:r>
        <w:drawing>
          <wp:inline>
            <wp:extent cx="5334000" cy="4036785"/>
            <wp:effectExtent b="0" l="0" r="0" t="0"/>
            <wp:docPr descr="Рис. 8: Можно осуществлять наблюдение за отдельным пакетом, щёлкнув по нему в окне nam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Можно осуществлять наблюдение за отдельным пакетом, щёлкнув по нему в окне nam</w:t>
      </w:r>
    </w:p>
    <w:p>
      <w:pPr>
        <w:numPr>
          <w:ilvl w:val="0"/>
          <w:numId w:val="1004"/>
        </w:numPr>
        <w:pStyle w:val="Compact"/>
      </w:pPr>
      <w:r>
        <w:t xml:space="preserve">Пример с усложнённой топологией сети. Точно также скопировала шаблон и заполнила его, прочитав постановку задачи. Обнаружила неточности в коде, который предлагается в качестве примера в лабораторной работе, исправила их.</w:t>
      </w:r>
    </w:p>
    <w:p>
      <w:pPr>
        <w:numPr>
          <w:ilvl w:val="0"/>
          <w:numId w:val="1005"/>
        </w:numPr>
        <w:pStyle w:val="Compact"/>
      </w:pPr>
      <w:r>
        <w:t xml:space="preserve">Задание:</w:t>
      </w:r>
      <w:r>
        <w:t xml:space="preserve"> </w:t>
      </w:r>
      <w:r>
        <w:t xml:space="preserve">“</w:t>
      </w:r>
      <w:r>
        <w:t xml:space="preserve">– между узлами n2 и n3 установлено дуплексное соединение с пропускной способностью 1,7 Мбит/с и задержкой 20 мс;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Код:</w:t>
      </w:r>
      <w:r>
        <w:t xml:space="preserve"> </w:t>
      </w:r>
      <w:r>
        <w:rPr>
          <w:rStyle w:val="VerbatimChar"/>
        </w:rPr>
        <w:t xml:space="preserve">$ns duplex-link $n(3) $n(2) 2Mb 10ms DropTail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Заменила 2 на 1.7 и 10 на 20.</w:t>
      </w:r>
    </w:p>
    <w:p>
      <w:pPr>
        <w:pStyle w:val="FirstParagraph"/>
      </w:pPr>
      <w:r>
        <w:t xml:space="preserve">Далее:</w:t>
      </w:r>
      <w:r>
        <w:t xml:space="preserve"> </w:t>
      </w:r>
      <w:r>
        <w:t xml:space="preserve">- Задание:</w:t>
      </w:r>
      <w:r>
        <w:t xml:space="preserve"> </w:t>
      </w:r>
      <w:r>
        <w:t xml:space="preserve">“</w:t>
      </w:r>
      <w:r>
        <w:t xml:space="preserve">работа cbr начинается в 0,1 секунду и прекращается в 4,5 секунды, а ftp начинает работать в 1,0 секунду и прекращает в 4,0 секунды.</w:t>
      </w:r>
      <w:r>
        <w:t xml:space="preserve">”</w:t>
      </w:r>
      <w:r>
        <w:t xml:space="preserve"> </w:t>
      </w:r>
      <w:r>
        <w:t xml:space="preserve">- Код:</w:t>
      </w:r>
      <w:r>
        <w:t xml:space="preserve"> </w:t>
      </w:r>
      <w:r>
        <w:rPr>
          <w:rStyle w:val="VerbatimChar"/>
        </w:rPr>
        <w:t xml:space="preserve">$ns at 0.5 "$cbr0 start"</w:t>
      </w:r>
      <w:r>
        <w:t xml:space="preserve">.</w:t>
      </w:r>
      <w:r>
        <w:t xml:space="preserve"> </w:t>
      </w:r>
      <w:r>
        <w:t xml:space="preserve">- Заменила 0.5 на 0.1.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получила анимированный результат моделирования.</w:t>
      </w:r>
      <w:r>
        <w:t xml:space="preserve"> </w:t>
      </w:r>
      <w:r>
        <w:t xml:space="preserve">(рис. fig. 9, fig. 10, fig. 11, fig. 12, fig. 13).</w:t>
      </w:r>
    </w:p>
    <w:p>
      <w:pPr>
        <w:pStyle w:val="CaptionedFigure"/>
      </w:pPr>
      <w:bookmarkStart w:id="57" w:name="fig:009"/>
      <w:r>
        <w:drawing>
          <wp:inline>
            <wp:extent cx="5334000" cy="2076187"/>
            <wp:effectExtent b="0" l="0" r="0" t="0"/>
            <wp:docPr descr="Рис. 9: Кадр с неточностью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Кадр с неточностью</w:t>
      </w:r>
    </w:p>
    <w:p>
      <w:pPr>
        <w:pStyle w:val="CaptionedFigure"/>
      </w:pPr>
      <w:bookmarkStart w:id="61" w:name="fig:010"/>
      <w:r>
        <w:drawing>
          <wp:inline>
            <wp:extent cx="5334000" cy="5384593"/>
            <wp:effectExtent b="0" l="0" r="0" t="0"/>
            <wp:docPr descr="Рис. 10: Код программы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4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Код программы</w:t>
      </w:r>
    </w:p>
    <w:p>
      <w:pPr>
        <w:pStyle w:val="CaptionedFigure"/>
      </w:pPr>
      <w:bookmarkStart w:id="65" w:name="fig:011"/>
      <w:r>
        <w:drawing>
          <wp:inline>
            <wp:extent cx="5334000" cy="5427705"/>
            <wp:effectExtent b="0" l="0" r="0" t="0"/>
            <wp:docPr descr="Рис. 11: Продолжение код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Продолжение кода</w:t>
      </w:r>
    </w:p>
    <w:p>
      <w:pPr>
        <w:pStyle w:val="CaptionedFigure"/>
      </w:pPr>
      <w:bookmarkStart w:id="69" w:name="fig:012"/>
      <w:r>
        <w:drawing>
          <wp:inline>
            <wp:extent cx="5334000" cy="5355364"/>
            <wp:effectExtent b="0" l="0" r="0" t="0"/>
            <wp:docPr descr="Рис. 12: До запуска анимации, вид на топологию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5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До запуска анимации, вид на топологию</w:t>
      </w:r>
    </w:p>
    <w:p>
      <w:pPr>
        <w:pStyle w:val="CaptionedFigure"/>
      </w:pPr>
      <w:bookmarkStart w:id="73" w:name="fig:013"/>
      <w:r>
        <w:drawing>
          <wp:inline>
            <wp:extent cx="5334000" cy="5334000"/>
            <wp:effectExtent b="0" l="0" r="0" t="0"/>
            <wp:docPr descr="Рис. 13: Выполнение моделирование, анимация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Выполнение моделирование, анимация</w:t>
      </w:r>
    </w:p>
    <w:p>
      <w:pPr>
        <w:numPr>
          <w:ilvl w:val="0"/>
          <w:numId w:val="1006"/>
        </w:numPr>
        <w:pStyle w:val="Compact"/>
      </w:pPr>
      <w:r>
        <w:t xml:space="preserve">Пример с кольцевой топологией сети. Я опять переписала код, в данном примере данные должны передаваться по кратчайшему маршруту, а при разрыве соединения информация о топологии должна обновляться и пакеты отсылаться по новому маршруту. После восстановления соединения снова будет выбран самый короткий маршрут. (рис. fig. 14, fig. 15, fig. 16, fig. 17, fig. 18).</w:t>
      </w:r>
    </w:p>
    <w:p>
      <w:pPr>
        <w:pStyle w:val="CaptionedFigure"/>
      </w:pPr>
      <w:bookmarkStart w:id="77" w:name="fig:014"/>
      <w:r>
        <w:drawing>
          <wp:inline>
            <wp:extent cx="5334000" cy="5414929"/>
            <wp:effectExtent b="0" l="0" r="0" t="0"/>
            <wp:docPr descr="Рис. 14: Текст скрипта, измененный шаблон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Текст скрипта, измененный шаблон</w:t>
      </w:r>
    </w:p>
    <w:p>
      <w:pPr>
        <w:pStyle w:val="CaptionedFigure"/>
      </w:pPr>
      <w:bookmarkStart w:id="81" w:name="fig:015"/>
      <w:r>
        <w:drawing>
          <wp:inline>
            <wp:extent cx="5334000" cy="4856515"/>
            <wp:effectExtent b="0" l="0" r="0" t="0"/>
            <wp:docPr descr="Рис. 15: Кратчайший маршрут до разрыва соединения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Кратчайший маршрут до разрыва соединения</w:t>
      </w:r>
    </w:p>
    <w:p>
      <w:pPr>
        <w:pStyle w:val="CaptionedFigure"/>
      </w:pPr>
      <w:bookmarkStart w:id="85" w:name="fig:016"/>
      <w:r>
        <w:drawing>
          <wp:inline>
            <wp:extent cx="5334000" cy="4822435"/>
            <wp:effectExtent b="0" l="0" r="0" t="0"/>
            <wp:docPr descr="Рис. 16: Момент разрыва соединения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2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Момент разрыва соединения</w:t>
      </w:r>
    </w:p>
    <w:p>
      <w:pPr>
        <w:pStyle w:val="CaptionedFigure"/>
      </w:pPr>
      <w:bookmarkStart w:id="89" w:name="fig:017"/>
      <w:r>
        <w:drawing>
          <wp:inline>
            <wp:extent cx="5334000" cy="4814213"/>
            <wp:effectExtent b="0" l="0" r="0" t="0"/>
            <wp:docPr descr="Рис. 17: Резервный маршрут через узлы n(6), n(5) и n(4)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Резервный маршрут через узлы n(6), n(5) и n(4)</w:t>
      </w:r>
    </w:p>
    <w:p>
      <w:pPr>
        <w:pStyle w:val="CaptionedFigure"/>
      </w:pPr>
      <w:bookmarkStart w:id="93" w:name="fig:018"/>
      <w:r>
        <w:drawing>
          <wp:inline>
            <wp:extent cx="5334000" cy="3615187"/>
            <wp:effectExtent b="0" l="0" r="0" t="0"/>
            <wp:docPr descr="Рис. 18: Сообщения в терминале о разрыве и восстановлении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Сообщения в терминале о разрыве и восстановлении</w:t>
      </w:r>
    </w:p>
    <w:p>
      <w:pPr>
        <w:numPr>
          <w:ilvl w:val="0"/>
          <w:numId w:val="1007"/>
        </w:numPr>
        <w:pStyle w:val="Compact"/>
      </w:pPr>
      <w:r>
        <w:t xml:space="preserve">Упражнение. Я внесла следующие изменения в реализацию примера с кольцевой топологией сети:</w:t>
      </w:r>
    </w:p>
    <w:p>
      <w:pPr>
        <w:numPr>
          <w:ilvl w:val="0"/>
          <w:numId w:val="1008"/>
        </w:numPr>
        <w:pStyle w:val="Compact"/>
      </w:pPr>
      <w:r>
        <w:t xml:space="preserve">топология сети должна соответствовать представленной в лабораторной.</w:t>
      </w:r>
    </w:p>
    <w:p>
      <w:pPr>
        <w:numPr>
          <w:ilvl w:val="0"/>
          <w:numId w:val="1008"/>
        </w:numPr>
        <w:pStyle w:val="Compact"/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</w:p>
    <w:p>
      <w:pPr>
        <w:numPr>
          <w:ilvl w:val="0"/>
          <w:numId w:val="1008"/>
        </w:numPr>
        <w:pStyle w:val="Compact"/>
      </w:pPr>
      <w:r>
        <w:t xml:space="preserve">передача данных должна идти по протоколу TCP (тип Newreno), на принимающей стороне используется TCPSink-объект типа DelAck; поверх TCP работает протокол FTP с 0,5 до 4,5 секунд модельного времени;</w:t>
      </w:r>
    </w:p>
    <w:p>
      <w:pPr>
        <w:numPr>
          <w:ilvl w:val="0"/>
          <w:numId w:val="1008"/>
        </w:numPr>
        <w:pStyle w:val="Compact"/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</w:p>
    <w:p>
      <w:pPr>
        <w:numPr>
          <w:ilvl w:val="0"/>
          <w:numId w:val="1008"/>
        </w:numPr>
        <w:pStyle w:val="Compact"/>
      </w:pP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  <w:r>
        <w:t xml:space="preserve"> </w:t>
      </w:r>
      <w:r>
        <w:t xml:space="preserve">(рис. fig. 19, fig. 20, fig. 21, fig. 22, fig. 23, fig. 24).</w:t>
      </w:r>
    </w:p>
    <w:p>
      <w:pPr>
        <w:pStyle w:val="CaptionedFigure"/>
      </w:pPr>
      <w:bookmarkStart w:id="97" w:name="fig:019"/>
      <w:r>
        <w:drawing>
          <wp:inline>
            <wp:extent cx="5334000" cy="3910356"/>
            <wp:effectExtent b="0" l="0" r="0" t="0"/>
            <wp:docPr descr="Рис. 19: Топология сети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Топология сети</w:t>
      </w:r>
    </w:p>
    <w:p>
      <w:pPr>
        <w:pStyle w:val="CaptionedFigure"/>
      </w:pPr>
      <w:bookmarkStart w:id="101" w:name="fig:020"/>
      <w:r>
        <w:drawing>
          <wp:inline>
            <wp:extent cx="5334000" cy="6425045"/>
            <wp:effectExtent b="0" l="0" r="0" t="0"/>
            <wp:docPr descr="Рис. 20: Передача данных до разрыва соединения между 0 и 1 узлами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Передача данных до разрыва соединения между 0 и 1 узлами</w:t>
      </w:r>
    </w:p>
    <w:p>
      <w:pPr>
        <w:pStyle w:val="CaptionedFigure"/>
      </w:pPr>
      <w:bookmarkStart w:id="105" w:name="fig:021"/>
      <w:r>
        <w:drawing>
          <wp:inline>
            <wp:extent cx="5334000" cy="4458528"/>
            <wp:effectExtent b="0" l="0" r="0" t="0"/>
            <wp:docPr descr="Рис. 21: Передача после разрыва соединения и обновления маршрута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Передача после разрыва соединения и обновления маршрута</w:t>
      </w:r>
    </w:p>
    <w:p>
      <w:pPr>
        <w:pStyle w:val="CaptionedFigure"/>
      </w:pPr>
      <w:bookmarkStart w:id="109" w:name="fig:022"/>
      <w:r>
        <w:drawing>
          <wp:inline>
            <wp:extent cx="5334000" cy="4898215"/>
            <wp:effectExtent b="0" l="0" r="0" t="0"/>
            <wp:docPr descr="Рис. 22: Передача данных после восстановления соединения между 0 и 1 узлами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8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Передача данных после восстановления соединения между 0 и 1 узлами</w:t>
      </w:r>
    </w:p>
    <w:p>
      <w:pPr>
        <w:pStyle w:val="CaptionedFigure"/>
      </w:pPr>
      <w:bookmarkStart w:id="113" w:name="fig:023"/>
      <w:r>
        <w:drawing>
          <wp:inline>
            <wp:extent cx="5334000" cy="3507880"/>
            <wp:effectExtent b="0" l="0" r="0" t="0"/>
            <wp:docPr descr="Рис. 23: Сообщения в терминале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Сообщения в терминале</w:t>
      </w:r>
    </w:p>
    <w:p>
      <w:pPr>
        <w:pStyle w:val="CaptionedFigure"/>
      </w:pPr>
      <w:bookmarkStart w:id="117" w:name="fig:024"/>
      <w:r>
        <w:drawing>
          <wp:inline>
            <wp:extent cx="5334000" cy="5377483"/>
            <wp:effectExtent b="0" l="0" r="0" t="0"/>
            <wp:docPr descr="Рис. 24: Вид скрипта упражнения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Вид скрипта упражнения</w:t>
      </w:r>
    </w:p>
    <w:p>
      <w:pPr>
        <w:numPr>
          <w:ilvl w:val="0"/>
          <w:numId w:val="1009"/>
        </w:numPr>
        <w:pStyle w:val="Compact"/>
      </w:pPr>
      <w:r>
        <w:t xml:space="preserve">Листинг упражнения: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rPr>
          <w:rStyle w:val="VerbatimChar"/>
        </w:rPr>
        <w:t xml:space="preserve">$ns rtproto DV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</w:t>
      </w:r>
      <w:r>
        <w:br/>
      </w:r>
      <w:r>
        <w:rPr>
          <w:rStyle w:val="VerbatimChar"/>
        </w:rPr>
        <w:t xml:space="preserve">#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br/>
      </w:r>
      <w:r>
        <w:rPr>
          <w:rStyle w:val="VerbatimChar"/>
        </w:rPr>
        <w:t xml:space="preserve">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# процедура finish закрывает файлы трассировки</w:t>
      </w:r>
      <w:r>
        <w:br/>
      </w:r>
      <w:r>
        <w:rPr>
          <w:rStyle w:val="VerbatimChar"/>
        </w:rPr>
        <w:t xml:space="preserve"># и запускает визуализатор nam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  global ns f nf # объявление глобальных переменных</w:t>
      </w:r>
      <w:r>
        <w:br/>
      </w:r>
      <w:r>
        <w:rPr>
          <w:rStyle w:val="VerbatimChar"/>
        </w:rPr>
        <w:t xml:space="preserve">    # запуск nam в фоновом режиме</w:t>
      </w:r>
      <w:r>
        <w:br/>
      </w:r>
      <w:r>
        <w:rPr>
          <w:rStyle w:val="VerbatimChar"/>
        </w:rPr>
        <w:t xml:space="preserve">    close $f</w:t>
      </w:r>
      <w:r>
        <w:br/>
      </w:r>
      <w:r>
        <w:rPr>
          <w:rStyle w:val="VerbatimChar"/>
        </w:rPr>
        <w:t xml:space="preserve">    close $nf</w:t>
      </w:r>
      <w:r>
        <w:br/>
      </w:r>
      <w:r>
        <w:rPr>
          <w:rStyle w:val="VerbatimChar"/>
        </w:rPr>
        <w:t xml:space="preserve">    exec nam out.nam &amp;</w:t>
      </w:r>
      <w:r>
        <w:br/>
      </w:r>
      <w:r>
        <w:rPr>
          <w:rStyle w:val="VerbatimChar"/>
        </w:rPr>
        <w:t xml:space="preserve">    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set N 5</w:t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set n($i) [$ns node]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$ns duplex-link $n($i) $n([expr ($i+1)%$N]) 1Mb 10ms DropTail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set n(5) [$ns node]</w:t>
      </w:r>
      <w:r>
        <w:br/>
      </w:r>
      <w:r>
        <w:rPr>
          <w:rStyle w:val="VerbatimChar"/>
        </w:rPr>
        <w:t xml:space="preserve">$ns duplex-link $n(5) $n(1) 1Mb 10ms DropTail</w:t>
      </w:r>
      <w:r>
        <w:br/>
      </w:r>
      <w:r>
        <w:br/>
      </w:r>
      <w:r>
        <w:rPr>
          <w:rStyle w:val="VerbatimChar"/>
        </w:rPr>
        <w:t xml:space="preserve">set tcp1 [new Agent/TCP]</w:t>
      </w:r>
      <w:r>
        <w:br/>
      </w:r>
      <w:r>
        <w:rPr>
          <w:rStyle w:val="VerbatimChar"/>
        </w:rPr>
        <w:t xml:space="preserve">$ns attach-agent $n(0) $tcp1</w:t>
      </w:r>
      <w:r>
        <w:br/>
      </w:r>
      <w:r>
        <w:br/>
      </w:r>
      <w:r>
        <w:rPr>
          <w:rStyle w:val="VerbatimChar"/>
        </w:rPr>
        <w:t xml:space="preserve">set ftp [new Application/FTP]</w:t>
      </w:r>
      <w:r>
        <w:br/>
      </w:r>
      <w:r>
        <w:rPr>
          <w:rStyle w:val="VerbatimChar"/>
        </w:rPr>
        <w:t xml:space="preserve">$ftp attach-agent $tcp1</w:t>
      </w:r>
      <w:r>
        <w:br/>
      </w:r>
      <w:r>
        <w:br/>
      </w:r>
      <w:r>
        <w:rPr>
          <w:rStyle w:val="VerbatimChar"/>
        </w:rPr>
        <w:t xml:space="preserve">set sink1 [new Agent/TCPSink/DelAck]</w:t>
      </w:r>
      <w:r>
        <w:br/>
      </w:r>
      <w:r>
        <w:rPr>
          <w:rStyle w:val="VerbatimChar"/>
        </w:rPr>
        <w:t xml:space="preserve">$ns attach-agent $n(5) $sink1</w:t>
      </w:r>
      <w:r>
        <w:br/>
      </w:r>
      <w:r>
        <w:br/>
      </w:r>
      <w:r>
        <w:rPr>
          <w:rStyle w:val="VerbatimChar"/>
        </w:rPr>
        <w:t xml:space="preserve">$ns connect $tcp1 $sink1</w:t>
      </w:r>
      <w:r>
        <w:br/>
      </w:r>
      <w:r>
        <w:br/>
      </w:r>
      <w:r>
        <w:br/>
      </w:r>
      <w:r>
        <w:rPr>
          <w:rStyle w:val="VerbatimChar"/>
        </w:rPr>
        <w:t xml:space="preserve">$ns at 0.5 "$ftp start"</w:t>
      </w:r>
      <w:r>
        <w:br/>
      </w:r>
      <w:r>
        <w:rPr>
          <w:rStyle w:val="VerbatimChar"/>
        </w:rPr>
        <w:t xml:space="preserve">$ns rtmodel-at 1.0 down $n(0) $n(1)</w:t>
      </w:r>
      <w:r>
        <w:br/>
      </w:r>
      <w:r>
        <w:rPr>
          <w:rStyle w:val="VerbatimChar"/>
        </w:rPr>
        <w:t xml:space="preserve">$ns rtmodel-at 2.0 up $n(0) $n(1)</w:t>
      </w:r>
      <w:r>
        <w:br/>
      </w:r>
      <w:r>
        <w:rPr>
          <w:rStyle w:val="VerbatimChar"/>
        </w:rPr>
        <w:t xml:space="preserve">$ns at 4.5 "$ftp stop"</w:t>
      </w:r>
      <w:r>
        <w:br/>
      </w:r>
      <w:r>
        <w:br/>
      </w:r>
      <w:r>
        <w:rPr>
          <w:rStyle w:val="VerbatimChar"/>
        </w:rPr>
        <w:t xml:space="preserve"># at-событие для планировщика событий, которое запускает</w:t>
      </w:r>
      <w:r>
        <w:br/>
      </w:r>
      <w:r>
        <w:rPr>
          <w:rStyle w:val="VerbatimChar"/>
        </w:rPr>
        <w:t xml:space="preserve"># процедуру finish через 5 с после начала моделирования</w:t>
      </w:r>
      <w:r>
        <w:br/>
      </w:r>
      <w:r>
        <w:rPr>
          <w:rStyle w:val="VerbatimChar"/>
        </w:rPr>
        <w:t xml:space="preserve">$ns at 5.0 "finish"</w:t>
      </w:r>
      <w:r>
        <w:br/>
      </w:r>
      <w:r>
        <w:br/>
      </w:r>
      <w:r>
        <w:rPr>
          <w:rStyle w:val="VerbatimChar"/>
        </w:rPr>
        <w:t xml:space="preserve"># запуск модели</w:t>
      </w:r>
      <w:r>
        <w:br/>
      </w:r>
      <w:r>
        <w:rPr>
          <w:rStyle w:val="VerbatimChar"/>
        </w:rPr>
        <w:t xml:space="preserve">$ns run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приобрела практические навыки моделирования сетей передачи данных с помощью средства имитационного моделирования NS-2, а также выполнила анализ полученных результатов моделирования.</w:t>
      </w:r>
    </w:p>
    <w:bookmarkEnd w:id="119"/>
    <w:bookmarkStart w:id="12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hyperlink r:id="rId120">
        <w:r>
          <w:rPr>
            <w:rStyle w:val="Hyperlink"/>
          </w:rPr>
          <w:t xml:space="preserve">Руководство к лабораторной работе</w:t>
        </w:r>
      </w:hyperlink>
    </w:p>
    <w:bookmarkStart w:id="121" w:name="refs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1"/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hyperlink" Id="rId120" Target="https://esystem.rudn.ru/mod/resource/view.php?id=122332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0" Target="https://esystem.rudn.ru/mod/resource/view.php?id=122332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Ганина Таисия Сергеевна, НФИбд-01-22</dc:creator>
  <dc:language>ru-RU</dc:language>
  <cp:keywords/>
  <dcterms:created xsi:type="dcterms:W3CDTF">2025-02-11T14:26:18Z</dcterms:created>
  <dcterms:modified xsi:type="dcterms:W3CDTF">2025-02-11T14:26:18Z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Имитационное моделирование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