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массового обслуживания (СМО) представляют собой математическую модель, которая используется для анализа и оптимизации процессов обслуживания клиентов в различных организациях, таких как банки, магазины, автосервисы, аэропорты и многие другие. Эта модель помогает прогнозировать и улучшать эффективность обслуживания клиентов, оптимизировать количество обслуживающего персонала и ресурсов, а также учитывать важные характеристики, такие как время ожидания и уровень обслуживания.</w:t>
      </w:r>
    </w:p>
    <w:p>
      <w:pPr>
        <w:pStyle w:val="BodyText"/>
      </w:pPr>
      <w:r>
        <w:t xml:space="preserve">Согласно общему описанию система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- система, состоящая из единственного экспоненциального прибора (с интенсивностью обслуживания µ), в которую поступает простейший поток заявок (с параметром λ).Число мест для ожидания заявок бесконечно, т.е. система с ожиданием.</w:t>
      </w:r>
      <w:r>
        <w:t xml:space="preserve">[1,2]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615514"/>
            <wp:effectExtent b="0" l="0" r="0" t="0"/>
            <wp:docPr descr="Figure 1: Задание переменных окружения в xcos для модел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Задание переменных окружения в xcos для модели</w:t>
      </w:r>
    </w:p>
    <w:bookmarkEnd w:id="0"/>
    <w:p>
      <w:pPr>
        <w:pStyle w:val="BodyText"/>
      </w:pPr>
      <w:r>
        <w:t xml:space="preserve">Суперблок, моделирующий поступление заявок, представлен на 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071884"/>
            <wp:effectExtent b="0" l="0" r="0" t="0"/>
            <wp:docPr descr="Figure 2: Суперблок, моделирующий поступление заявок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Суперблок, моделирующий поступление заявок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2697921"/>
            <wp:effectExtent b="0" l="0" r="0" t="0"/>
            <wp:docPr descr="Figure 3: Объединение в суперблок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Объединение в суперблок</w:t>
      </w:r>
    </w:p>
    <w:bookmarkEnd w:id="0"/>
    <w:p>
      <w:pPr>
        <w:pStyle w:val="BodyText"/>
      </w:pPr>
      <w:r>
        <w:t xml:space="preserve">Суперблок, моделирующий процесс обработки заявок, представлен на 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. Тут происходит обработка заявок в очереди по экспоненциальному закону.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5691481"/>
            <wp:effectExtent b="0" l="0" r="0" t="0"/>
            <wp:docPr descr="Figure 4: Суперблок, моделирующий обработку заявок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1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Суперблок, моделирующий обработку заявок</w:t>
      </w:r>
    </w:p>
    <w:bookmarkEnd w:id="0"/>
    <w:p>
      <w:pPr>
        <w:pStyle w:val="BodyText"/>
      </w:pPr>
      <w:r>
        <w:t xml:space="preserve">Готовая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756584"/>
            <wp:effectExtent b="0" l="0" r="0" t="0"/>
            <wp:docPr descr="Figure 5: Модель M|M|1|\infty в xcos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bookmarkEnd w:id="0"/>
    <w:p>
      <w:pPr>
        <w:pStyle w:val="BodyText"/>
      </w:pPr>
      <w:r>
        <w:t xml:space="preserve">Результат моделирования представлен на 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и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561936"/>
            <wp:effectExtent b="0" l="0" r="0" t="0"/>
            <wp:docPr descr="Figure 6: Динамика размера очереди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Динамика размера очереди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538482"/>
            <wp:effectExtent b="0" l="0" r="0" t="0"/>
            <wp:docPr descr="Figure 7: Поступление и обработка заявок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8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Поступление и обработка заявок</w:t>
      </w:r>
    </w:p>
    <w:bookmarkEnd w:id="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52"/>
    <w:bookmarkStart w:id="58" w:name="список-литературы"/>
    <w:p>
      <w:pPr>
        <w:pStyle w:val="Heading1"/>
      </w:pPr>
      <w:r>
        <w:t xml:space="preserve">Список литературы</w:t>
      </w:r>
    </w:p>
    <w:bookmarkStart w:id="57" w:name="refs"/>
    <w:bookmarkStart w:id="54" w:name="ref-SMO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Разработка и оптимизация интеллектуальных информационных систем, Системы массового обслуживания, Теория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3">
        <w:r>
          <w:rPr>
            <w:rStyle w:val="Hyperlink"/>
          </w:rPr>
          <w:t xml:space="preserve">https://it.vstu.by/courses/information_systems/Development_and_optimization_of_intellectual_information_systems/theory/queueing_theory/index.html</w:t>
        </w:r>
      </w:hyperlink>
      <w:r>
        <w:t xml:space="preserve">.</w:t>
      </w:r>
    </w:p>
    <w:bookmarkEnd w:id="54"/>
    <w:bookmarkStart w:id="56" w:name="ref-lab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7.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[Электронный ресурс]. URL:</w:t>
      </w:r>
      <w:r>
        <w:t xml:space="preserve"> </w:t>
      </w:r>
      <w:hyperlink r:id="rId55">
        <w:r>
          <w:rPr>
            <w:rStyle w:val="Hyperlink"/>
          </w:rPr>
          <w:t xml:space="preserve">https://esystem.rudn.ru/mod/resource/view.php?id=1223352</w:t>
        </w:r>
      </w:hyperlink>
      <w:r>
        <w:t xml:space="preserve">.</w:t>
      </w:r>
    </w:p>
    <w:bookmarkEnd w:id="56"/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55" Target="https://esystem.rudn.ru/mod/resource/view.php?id=1223352" TargetMode="External" /><Relationship Type="http://schemas.openxmlformats.org/officeDocument/2006/relationships/hyperlink" Id="rId53" Target="https://it.vstu.by/courses/information_systems/Development_and_optimization_of_intellectual_information_systems/theory/queueing_theory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5" Target="https://esystem.rudn.ru/mod/resource/view.php?id=1223352" TargetMode="External" /><Relationship Type="http://schemas.openxmlformats.org/officeDocument/2006/relationships/hyperlink" Id="rId53" Target="https://it.vstu.by/courses/information_systems/Development_and_optimization_of_intellectual_information_systems/theory/queueing_theory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Ганина Таисия Сергеевна, НФИбд-01-22</dc:creator>
  <dc:language>ru-RU</dc:language>
  <cp:keywords/>
  <dcterms:created xsi:type="dcterms:W3CDTF">2025-03-20T21:37:55Z</dcterms:created>
  <dcterms:modified xsi:type="dcterms:W3CDTF">2025-03-20T21:37:55Z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