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1.png" ContentType="image/png"/>
  <Override PartName="/word/media/rId23.png" ContentType="image/png"/>
  <Override PartName="/word/media/rId39.png" ContentType="image/png"/>
  <Override PartName="/word/media/rId35.png" ContentType="image/png"/>
  <Override PartName="/word/media/rId43.png" ContentType="image/png"/>
  <Override PartName="/word/media/rId27.png" ContentType="image/png"/>
  <Override PartName="/word/media/rId31.png" ContentType="image/png"/>
  <Override PartName="/word/media/rId4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xcos;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OpenModelica;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Протокол TCP использует механизм динамической регулировки размера окна для предотвращения перегрузок. Уравнение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W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d>
          </m:e>
        </m:d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d>
          </m:e>
        </m:d>
        <m:r>
          <m:rPr>
            <m:sty m:val="p"/>
          </m:rPr>
          <m:t>·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отражает два ключевых режима: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Фаза медленного старта</w:t>
      </w:r>
      <w:r>
        <w:t xml:space="preserve"> </w:t>
      </w:r>
      <w:r>
        <w:t xml:space="preserve">(первое слагаемое) — линейный рост окна до достижения порога ssthresh;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Фаза избежания перегрузок</w:t>
      </w:r>
      <w:r>
        <w:t xml:space="preserve"> </w:t>
      </w:r>
      <w:r>
        <w:t xml:space="preserve">(второе слагаемое) — мультипликативное уменьшение окна при детектировании потерь пакетов через функцию p(t).</w:t>
      </w:r>
    </w:p>
    <w:p>
      <w:pPr>
        <w:pStyle w:val="FirstParagraph"/>
      </w:pPr>
      <w:r>
        <w:t xml:space="preserve">Функция p(t) реализует алгоритм AQM (Active Queue Management), который proactively управляет очередью маршрутизатора для минимизации задержек и потерь.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Постоянные N и R</w:t>
      </w:r>
      <w:r>
        <w:t xml:space="preserve"> </w:t>
      </w:r>
      <w:r>
        <w:t xml:space="preserve">— позволяют анализировать устойчивость системы методами теории управления.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Линейная зависимость p(t) от Q(t)</w:t>
      </w:r>
      <w:r>
        <w:t xml:space="preserve"> </w:t>
      </w:r>
      <w:r>
        <w:t xml:space="preserve">— упрощает анализ влияния длины очереди на динамику окна.</w:t>
      </w:r>
    </w:p>
    <w:p>
      <w:pPr>
        <w:pStyle w:val="FirstParagraph"/>
      </w:pPr>
      <w:r>
        <w:t xml:space="preserve">Модель позволяет:</w:t>
      </w:r>
      <w:r>
        <w:br/>
      </w:r>
      <w:r>
        <w:t xml:space="preserve">- Исследовать баланс между скоростью обработки пакетов (C) и интенсивностью трафика (NW/R);</w:t>
      </w:r>
      <w:r>
        <w:br/>
      </w:r>
      <w:r>
        <w:t xml:space="preserve">- Анализировать стабильность системы при различных значениях K;</w:t>
      </w:r>
      <w:r>
        <w:br/>
      </w:r>
      <w:r>
        <w:t xml:space="preserve">- Оптимизировать параметры AQM для соблюдения QoS-требований (</w:t>
      </w:r>
      <m:oMath>
        <m:r>
          <m:t>I</m:t>
        </m:r>
        <m:r>
          <m:t>P</m:t>
        </m:r>
        <m:r>
          <m:t>T</m:t>
        </m:r>
        <m:r>
          <m:t>D</m:t>
        </m:r>
        <m:r>
          <m:rPr>
            <m:sty m:val="p"/>
          </m:rPr>
          <m:t>≤</m:t>
        </m:r>
        <m:r>
          <m:t>150</m:t>
        </m:r>
        <m:r>
          <m:t>м</m:t>
        </m:r>
        <m:r>
          <m:t>с</m:t>
        </m:r>
        <m:r>
          <m:rPr>
            <m:sty m:val="p"/>
          </m:rPr>
          <m:t>,</m:t>
        </m:r>
        <m:r>
          <m:t>I</m:t>
        </m:r>
        <m:r>
          <m:t>P</m:t>
        </m:r>
        <m:r>
          <m:t>L</m:t>
        </m:r>
        <m:r>
          <m:t>R</m:t>
        </m:r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).</w:t>
      </w:r>
    </w:p>
    <w:p>
      <w:pPr>
        <w:pStyle w:val="BodyText"/>
      </w:pPr>
      <w:r>
        <w:t xml:space="preserve">Для учебных целей упрощения оправданы, так как фокусируют внимание на ключевых аспектах взаимодействия TCP и AQM, игнорируя второстепенные факторы (например, вариативность RTT)</w:t>
      </w:r>
      <w:r>
        <w:t xml:space="preserve"> </w:t>
      </w:r>
      <w:r>
        <w:t xml:space="preserve">[1,2]</w:t>
      </w:r>
      <w:r>
        <w:t xml:space="preserve">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реализация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574559"/>
            <wp:effectExtent b="0" l="0" r="0" t="0"/>
            <wp:docPr descr="Figure 1: Зададим переменные окружения" title="" id="24" name="Picture"/>
            <a:graphic>
              <a:graphicData uri="http://schemas.openxmlformats.org/drawingml/2006/picture">
                <pic:pic>
                  <pic:nvPicPr>
                    <pic:cNvPr descr="image/contex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Зададим переменные окружения</w:t>
      </w:r>
    </w:p>
    <w:bookmarkEnd w:id="0"/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641834"/>
            <wp:effectExtent b="0" l="0" r="0" t="0"/>
            <wp:docPr descr="Figure 2: Параметры первого блока интегрирования" title="" id="28" name="Picture"/>
            <a:graphic>
              <a:graphicData uri="http://schemas.openxmlformats.org/drawingml/2006/picture">
                <pic:pic>
                  <pic:nvPicPr>
                    <pic:cNvPr descr="image/integral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Параметры первого блока интегрирования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667125"/>
            <wp:effectExtent b="0" l="0" r="0" t="0"/>
            <wp:docPr descr="Figure 3: Параметры второго блока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integral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Параметры второго блока интегрирования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454977"/>
            <wp:effectExtent b="0" l="0" r="0" t="0"/>
            <wp:docPr descr="Figure 4: Параметры блока CSCOPEXY" title="" id="36" name="Picture"/>
            <a:graphic>
              <a:graphicData uri="http://schemas.openxmlformats.org/drawingml/2006/picture">
                <pic:pic>
                  <pic:nvPicPr>
                    <pic:cNvPr descr="image/cscopexy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Параметры блока CSCOPEXY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145871"/>
            <wp:effectExtent b="0" l="0" r="0" t="0"/>
            <wp:docPr descr="Figure 5: Параметры блока CSCOPE" title="" id="40" name="Picture"/>
            <a:graphic>
              <a:graphicData uri="http://schemas.openxmlformats.org/drawingml/2006/picture">
                <pic:pic>
                  <pic:nvPicPr>
                    <pic:cNvPr descr="image/cscope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Параметры блока CSCOPE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657642"/>
            <wp:effectExtent b="0" l="0" r="0" t="0"/>
            <wp:docPr descr="Figure 6: Параметры блока expression" title="" id="44" name="Picture"/>
            <a:graphic>
              <a:graphicData uri="http://schemas.openxmlformats.org/drawingml/2006/picture">
                <pic:pic>
                  <pic:nvPicPr>
                    <pic:cNvPr descr="image/expressio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Параметры блока expression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266996"/>
            <wp:effectExtent b="0" l="0" r="0" t="0"/>
            <wp:docPr descr="Figure 7: Модель" title="" id="48" name="Picture"/>
            <a:graphic>
              <a:graphicData uri="http://schemas.openxmlformats.org/drawingml/2006/picture">
                <pic:pic>
                  <pic:nvPicPr>
                    <pic:cNvPr descr="image/model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Модель</w:t>
      </w:r>
    </w:p>
    <w:bookmarkEnd w:id="0"/>
    <w:p>
      <w:pPr>
        <w:pStyle w:val="BodyText"/>
      </w:pPr>
      <w:r>
        <w:t xml:space="preserve">В результате получим динамику изменения размера TCP окна W(t) и размера очереди Q(t),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811796"/>
            <wp:effectExtent b="0" l="0" r="0" t="0"/>
            <wp:docPr descr="Figure 8: Динамика изменения размера TCP окна W(t) и размера очереди Q(t) и Фазовый портрет (W, Q) (С=1)" title="" id="52" name="Picture"/>
            <a:graphic>
              <a:graphicData uri="http://schemas.openxmlformats.org/drawingml/2006/picture">
                <pic:pic>
                  <pic:nvPicPr>
                    <pic:cNvPr descr="image/c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Динамика изменения размера TCP окна W(t) и размера очереди Q(t) и Фазовый портрет (W, Q) (С=1)</w:t>
      </w:r>
    </w:p>
    <w:bookmarkEnd w:id="0"/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820613"/>
            <wp:effectExtent b="0" l="0" r="0" t="0"/>
            <wp:docPr descr="Figure 9: Динамика изменения размера TCP окна W(t) и размера очереди Q(t) и Фазовый портрет (W, Q) (С=0.9)" title="" id="56" name="Picture"/>
            <a:graphic>
              <a:graphicData uri="http://schemas.openxmlformats.org/drawingml/2006/picture">
                <pic:pic>
                  <pic:nvPicPr>
                    <pic:cNvPr descr="image/c0,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Динамика изменения размера TCP окна W(t) и размера очереди Q(t) и Фазовый портрет (W, Q) (С=0.9)</w:t>
      </w:r>
    </w:p>
    <w:bookmarkEnd w:id="0"/>
    <w:bookmarkEnd w:id="59"/>
    <w:bookmarkStart w:id="76" w:name="реализация-модели-в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Я написала вот такой код:</w:t>
      </w:r>
    </w:p>
    <w:p>
      <w:pPr>
        <w:pStyle w:val="SourceCode"/>
      </w:pPr>
      <w:r>
        <w:rPr>
          <w:rStyle w:val="VerbatimChar"/>
        </w:rPr>
        <w:t xml:space="preserve">model lab8_mip</w:t>
      </w:r>
      <w:r>
        <w:br/>
      </w:r>
      <w:r>
        <w:rPr>
          <w:rStyle w:val="VerbatimChar"/>
        </w:rPr>
        <w:t xml:space="preserve">  parameter Real N=1;</w:t>
      </w:r>
      <w:r>
        <w:br/>
      </w:r>
      <w:r>
        <w:rPr>
          <w:rStyle w:val="VerbatimChar"/>
        </w:rPr>
        <w:t xml:space="preserve">  parameter Real R=1;</w:t>
      </w:r>
      <w:r>
        <w:br/>
      </w:r>
      <w:r>
        <w:rPr>
          <w:rStyle w:val="VerbatimChar"/>
        </w:rPr>
        <w:t xml:space="preserve">  parameter Real K=5.3;</w:t>
      </w:r>
      <w:r>
        <w:br/>
      </w:r>
      <w:r>
        <w:rPr>
          <w:rStyle w:val="VerbatimChar"/>
        </w:rPr>
        <w:t xml:space="preserve">  parameter Real C=0.9;</w:t>
      </w:r>
      <w:r>
        <w:br/>
      </w:r>
      <w:r>
        <w:rPr>
          <w:rStyle w:val="VerbatimChar"/>
        </w:rPr>
        <w:t xml:space="preserve">  Real W(start=0.1);</w:t>
      </w:r>
      <w:r>
        <w:br/>
      </w:r>
      <w:r>
        <w:rPr>
          <w:rStyle w:val="VerbatimChar"/>
        </w:rPr>
        <w:t xml:space="preserve">  Real Q(start=1);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der(W)= 1/R - W*delay(W, R)/(2*R)*K*delay(Q, R);</w:t>
      </w:r>
      <w:r>
        <w:br/>
      </w:r>
      <w:r>
        <w:rPr>
          <w:rStyle w:val="VerbatimChar"/>
        </w:rPr>
        <w:t xml:space="preserve">  der(Q)= if (Q==0) then max(N*W/R-C,0) else (N*W/R-C);</w:t>
      </w:r>
      <w:r>
        <w:br/>
      </w:r>
      <w:r>
        <w:rPr>
          <w:rStyle w:val="VerbatimChar"/>
        </w:rPr>
        <w:t xml:space="preserve">end lab8_mip;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 и размера очереди Q(t),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,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1879659"/>
            <wp:effectExtent b="0" l="0" r="0" t="0"/>
            <wp:docPr descr="Figure 10: Динамика изменения размера TCP окна W(t) и размера очереди Q(t) (С=1)" title="" id="61" name="Picture"/>
            <a:graphic>
              <a:graphicData uri="http://schemas.openxmlformats.org/drawingml/2006/picture">
                <pic:pic>
                  <pic:nvPicPr>
                    <pic:cNvPr descr="image/o_modelica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Динамика изменения размера TCP окна W(t) и размера очереди Q(t) (С=1)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1902771"/>
            <wp:effectExtent b="0" l="0" r="0" t="0"/>
            <wp:docPr descr="Figure 11: Фазовый портрет (W, Q) (С=1)" title="" id="65" name="Picture"/>
            <a:graphic>
              <a:graphicData uri="http://schemas.openxmlformats.org/drawingml/2006/picture">
                <pic:pic>
                  <pic:nvPicPr>
                    <pic:cNvPr descr="image/o_modelica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Фазовый портрет (W, Q) (С=1)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1905891"/>
            <wp:effectExtent b="0" l="0" r="0" t="0"/>
            <wp:docPr descr="Figure 12: Динамика изменения размера TCP окна W(t) и размера очереди Q(t) (С=0.9)" title="" id="69" name="Picture"/>
            <a:graphic>
              <a:graphicData uri="http://schemas.openxmlformats.org/drawingml/2006/picture">
                <pic:pic>
                  <pic:nvPicPr>
                    <pic:cNvPr descr="image/o_modelica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Динамика изменения размера TCP окна W(t) и размера очереди Q(t) (С=0.9)</w:t>
      </w:r>
    </w:p>
    <w:bookmarkEnd w:id="0"/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1890098"/>
            <wp:effectExtent b="0" l="0" r="0" t="0"/>
            <wp:docPr descr="Figure 13: Фазовый портрет (W, Q) (С=0.9)" title="" id="73" name="Picture"/>
            <a:graphic>
              <a:graphicData uri="http://schemas.openxmlformats.org/drawingml/2006/picture">
                <pic:pic>
                  <pic:nvPicPr>
                    <pic:cNvPr descr="image/o_modelica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Фазовый портрет (W, Q) (С=0.9)</w:t>
      </w:r>
    </w:p>
    <w:bookmarkEnd w:id="0"/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78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Start w:id="80" w:name="ref-firs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Моделирование трафика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79">
        <w:r>
          <w:rPr>
            <w:rStyle w:val="Hyperlink"/>
          </w:rPr>
          <w:t xml:space="preserve">https://ru.wikipedia.org/wiki/%D0%9C%D0%BE%D0%B4%D0%B5%D0%BB%D0%B8%D1%80%D0%BE%D0%B2%D0%B0%D0%BD%D0%B8%D0%B5_%D1%82%D1%80%D0%B0%D1%84%D0%B8%D0%BA%D0%B0</w:t>
        </w:r>
      </w:hyperlink>
      <w:r>
        <w:t xml:space="preserve">.</w:t>
      </w:r>
    </w:p>
    <w:bookmarkEnd w:id="80"/>
    <w:bookmarkStart w:id="82" w:name="ref-secon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Мохаммед Ала Абдулрахман Саид, МЕТОДЫ ДЕКОМПОЗИЦИИ ПОКАЗАТЕЛЕЙ КАЧЕСТВА ОБСЛУЖИВАНИЯ ТРАФИКА В СЕТИ СЛЕДУЮЩЕГО ПОКОЛЕНИЯ, Диссертация на соискание ученой степени кандидата технических наук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81">
        <w:r>
          <w:rPr>
            <w:rStyle w:val="Hyperlink"/>
          </w:rPr>
          <w:t xml:space="preserve">https://dis.mtuci.ru/upload/srd/Dis-Mohammed-AAS/dis-Mohammed-AAS.pdf</w:t>
        </w:r>
      </w:hyperlink>
      <w:r>
        <w:t xml:space="preserve">.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hyperlink" Id="rId81" Target="https://dis.mtuci.ru/upload/srd/Dis-Mohammed-AAS/dis-Mohammed-AAS.pdf" TargetMode="External" /><Relationship Type="http://schemas.openxmlformats.org/officeDocument/2006/relationships/hyperlink" Id="rId79" Target="https://ru.wikipedia.org/wiki/%D0%9C%D0%BE%D0%B4%D0%B5%D0%BB%D0%B8%D1%80%D0%BE%D0%B2%D0%B0%D0%BD%D0%B8%D0%B5_%D1%82%D1%80%D0%B0%D1%84%D0%B8%D0%BA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dis.mtuci.ru/upload/srd/Dis-Mohammed-AAS/dis-Mohammed-AAS.pdf" TargetMode="External" /><Relationship Type="http://schemas.openxmlformats.org/officeDocument/2006/relationships/hyperlink" Id="rId79" Target="https://ru.wikipedia.org/wiki/%D0%9C%D0%BE%D0%B4%D0%B5%D0%BB%D0%B8%D1%80%D0%BE%D0%B2%D0%B0%D0%BD%D0%B8%D0%B5_%D1%82%D1%80%D0%B0%D1%84%D0%B8%D0%BA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Ганина Таисия Сергеевна, НФИбд-01-22</dc:creator>
  <dc:language>ru-RU</dc:language>
  <cp:keywords/>
  <dcterms:created xsi:type="dcterms:W3CDTF">2025-03-25T10:59:02Z</dcterms:created>
  <dcterms:modified xsi:type="dcterms:W3CDTF">2025-03-25T10:59:02Z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