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</w:t>
      </w:r>
      <w:r>
        <w:t xml:space="preserve"> </w:t>
      </w: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rPr>
          <w:bCs/>
          <w:b/>
        </w:rPr>
        <w:t xml:space="preserve">Назначение CPN Tools:</w:t>
      </w:r>
    </w:p>
    <w:p>
      <w:pPr>
        <w:numPr>
          <w:ilvl w:val="0"/>
          <w:numId w:val="1002"/>
        </w:numPr>
        <w:pStyle w:val="Compact"/>
      </w:pPr>
      <w:r>
        <w:t xml:space="preserve">разработка сложных объектов и моделирование процессов в различных приклад-</w:t>
      </w:r>
      <w:r>
        <w:t xml:space="preserve"> </w:t>
      </w:r>
      <w:r>
        <w:t xml:space="preserve">ных областях, в том числе: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  <w:pStyle w:val="Compact"/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rPr>
          <w:bCs/>
          <w:b/>
        </w:rPr>
        <w:t xml:space="preserve">Основные функции CPN Tools:</w:t>
      </w:r>
    </w:p>
    <w:p>
      <w:pPr>
        <w:numPr>
          <w:ilvl w:val="0"/>
          <w:numId w:val="1003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  <w:pStyle w:val="Compact"/>
      </w:pPr>
      <w:r>
        <w:t xml:space="preserve">построение и анализ пространства состояний модели.</w:t>
      </w:r>
    </w:p>
    <w:p>
      <w:pPr>
        <w:pStyle w:val="FirstParagraph"/>
      </w:pPr>
      <w:r>
        <w:t xml:space="preserve">[1,2]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fig:001).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262046"/>
            <wp:effectExtent b="0" l="0" r="0" t="0"/>
            <wp:docPr descr="Figure 1: Граф сети модели «Накорми студентов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 сети модели «Накорми студентов»</w:t>
      </w:r>
    </w:p>
    <w:bookmarkEnd w:id="0"/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2946400" cy="2527300"/>
            <wp:effectExtent b="0" l="0" r="0" t="0"/>
            <wp:docPr descr="Figure 2: Декларации модели «Накорми студентов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Декларации модели «Накорми студентов»</w:t>
      </w:r>
    </w:p>
    <w:bookmarkEnd w:id="0"/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738150"/>
            <wp:effectExtent b="0" l="0" r="0" t="0"/>
            <wp:docPr descr="Figure 3: Модель «Накорми студентов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8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Модель «Накорми студентов»</w:t>
      </w:r>
    </w:p>
    <w:bookmarkEnd w:id="0"/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762907"/>
            <wp:effectExtent b="0" l="0" r="0" t="0"/>
            <wp:docPr descr="Figure 4: Запуск модели «Накорми студентов»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модели «Накорми студентов»</w:t>
      </w:r>
    </w:p>
    <w:bookmarkEnd w:id="0"/>
    <w:bookmarkStart w:id="43" w:name="упражн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4"/>
        </w:numPr>
      </w:pPr>
      <w:r>
        <w:t xml:space="preserve">Пространство состояний содержит</w:t>
      </w:r>
      <w:r>
        <w:t xml:space="preserve"> </w:t>
      </w:r>
      <w:r>
        <w:rPr>
          <w:bCs/>
          <w:b/>
        </w:rPr>
        <w:t xml:space="preserve">4 маркировки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3 перехода</w:t>
      </w:r>
      <w:r>
        <w:t xml:space="preserve"> </w:t>
      </w:r>
      <w:r>
        <w:t xml:space="preserve">между ними.</w:t>
      </w:r>
    </w:p>
    <w:p>
      <w:pPr>
        <w:numPr>
          <w:ilvl w:val="0"/>
          <w:numId w:val="1004"/>
        </w:numPr>
      </w:pPr>
      <w:r>
        <w:t xml:space="preserve">Модель полностью построена за</w:t>
      </w:r>
      <w:r>
        <w:t xml:space="preserve"> </w:t>
      </w:r>
      <w:r>
        <w:rPr>
          <w:bCs/>
          <w:b/>
        </w:rPr>
        <w:t xml:space="preserve">0 секунд</w:t>
      </w:r>
      <w:r>
        <w:t xml:space="preserve">, что указывает на её небольшую размерность.</w:t>
      </w:r>
    </w:p>
    <w:p>
      <w:pPr>
        <w:numPr>
          <w:ilvl w:val="0"/>
          <w:numId w:val="1004"/>
        </w:numPr>
      </w:pPr>
      <w:r>
        <w:t xml:space="preserve">Все состояния образуют единый граф сильно связных компонентов (SCC).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Еда (</w:t>
      </w:r>
      <w:r>
        <w:rPr>
          <w:rStyle w:val="VerbatimChar"/>
          <w:bCs/>
          <w:b/>
        </w:rPr>
        <w:t xml:space="preserve">food</w:t>
      </w:r>
      <w:r>
        <w:rPr>
          <w:bCs/>
          <w:b/>
        </w:rPr>
        <w:t xml:space="preserve">):</w:t>
      </w:r>
    </w:p>
    <w:p>
      <w:pPr>
        <w:numPr>
          <w:ilvl w:val="1"/>
          <w:numId w:val="1005"/>
        </w:numPr>
        <w:pStyle w:val="Compact"/>
      </w:pPr>
      <w:r>
        <w:t xml:space="preserve">Максимальное количество:</w:t>
      </w:r>
      <w:r>
        <w:t xml:space="preserve"> </w:t>
      </w:r>
      <w:r>
        <w:rPr>
          <w:bCs/>
          <w:b/>
        </w:rPr>
        <w:t xml:space="preserve">5 порций</w:t>
      </w:r>
      <w:r>
        <w:t xml:space="preserve"> </w:t>
      </w:r>
      <w:r>
        <w:t xml:space="preserve">(</w:t>
      </w:r>
      <w:r>
        <w:rPr>
          <w:rStyle w:val="VerbatimChar"/>
        </w:rPr>
        <w:t xml:space="preserve">pasty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Минимальное количество:</w:t>
      </w:r>
      <w:r>
        <w:t xml:space="preserve"> </w:t>
      </w:r>
      <w:r>
        <w:rPr>
          <w:bCs/>
          <w:b/>
        </w:rPr>
        <w:t xml:space="preserve">2 порции</w:t>
      </w:r>
    </w:p>
    <w:p>
      <w:pPr>
        <w:numPr>
          <w:ilvl w:val="1"/>
          <w:numId w:val="1005"/>
        </w:numPr>
        <w:pStyle w:val="Compact"/>
      </w:pPr>
      <w:r>
        <w:t xml:space="preserve">Пища частично расходуется, но не восполняется в текущей модели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Гарантированное завершение:</w:t>
      </w:r>
    </w:p>
    <w:p>
      <w:pPr>
        <w:numPr>
          <w:ilvl w:val="1"/>
          <w:numId w:val="1006"/>
        </w:numPr>
        <w:pStyle w:val="Compact"/>
      </w:pPr>
      <w:r>
        <w:t xml:space="preserve">Существует</w:t>
      </w:r>
      <w:r>
        <w:t xml:space="preserve"> </w:t>
      </w:r>
      <w:r>
        <w:rPr>
          <w:bCs/>
          <w:b/>
        </w:rPr>
        <w:t xml:space="preserve">терминальное состояние</w:t>
      </w:r>
      <w:r>
        <w:t xml:space="preserve"> </w:t>
      </w:r>
      <w:r>
        <w:t xml:space="preserve">(Dead Marking ``), достижимое из любой маркировки (Home Marking).</w:t>
      </w:r>
    </w:p>
    <w:p>
      <w:pPr>
        <w:numPr>
          <w:ilvl w:val="1"/>
          <w:numId w:val="1006"/>
        </w:numPr>
        <w:pStyle w:val="Compact"/>
      </w:pPr>
      <w:r>
        <w:t xml:space="preserve">В финальном состоянии:</w:t>
      </w:r>
    </w:p>
    <w:p>
      <w:pPr>
        <w:numPr>
          <w:ilvl w:val="2"/>
          <w:numId w:val="1007"/>
        </w:numPr>
        <w:pStyle w:val="Compact"/>
      </w:pPr>
      <w:r>
        <w:t xml:space="preserve">Все студенты сыты</w:t>
      </w:r>
    </w:p>
    <w:p>
      <w:pPr>
        <w:numPr>
          <w:ilvl w:val="2"/>
          <w:numId w:val="1007"/>
        </w:numPr>
        <w:pStyle w:val="Compact"/>
      </w:pPr>
      <w:r>
        <w:t xml:space="preserve">Остаётся</w:t>
      </w:r>
      <w:r>
        <w:t xml:space="preserve"> </w:t>
      </w:r>
      <w:r>
        <w:rPr>
          <w:bCs/>
          <w:b/>
        </w:rPr>
        <w:t xml:space="preserve">2 порции еды</w:t>
      </w:r>
      <w:r>
        <w:t xml:space="preserve"> </w:t>
      </w:r>
      <w:r>
        <w:t xml:space="preserve">(нижний предел)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Отсутствие циклов:</w:t>
      </w:r>
    </w:p>
    <w:p>
      <w:pPr>
        <w:numPr>
          <w:ilvl w:val="1"/>
          <w:numId w:val="1008"/>
        </w:numPr>
        <w:pStyle w:val="Compact"/>
      </w:pPr>
      <w:r>
        <w:t xml:space="preserve">Нет бесконечных последовательностей переходов (</w:t>
      </w:r>
      <w:r>
        <w:rPr>
          <w:rStyle w:val="VerbatimChar"/>
        </w:rPr>
        <w:t xml:space="preserve">No infinite occurrence sequences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Вывод:</w:t>
      </w:r>
      <w:r>
        <w:t xml:space="preserve"> </w:t>
      </w:r>
      <w:r>
        <w:t xml:space="preserve">Модель описывает</w:t>
      </w:r>
      <w:r>
        <w:t xml:space="preserve"> </w:t>
      </w:r>
      <w:r>
        <w:rPr>
          <w:bCs/>
          <w:b/>
        </w:rPr>
        <w:t xml:space="preserve">одноразовый процесс</w:t>
      </w:r>
      <w:r>
        <w:t xml:space="preserve"> </w:t>
      </w:r>
      <w:r>
        <w:t xml:space="preserve">обслуживания без возможности повторения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/home/openmodelica/students_lab9.cpn</w:t>
      </w:r>
      <w:r>
        <w:br/>
      </w:r>
      <w:r>
        <w:rPr>
          <w:rStyle w:val="VerbatimChar"/>
        </w:rPr>
        <w:t xml:space="preserve">Report generated: Sat Mar 22 22:04:13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09071"/>
            <wp:effectExtent b="0" l="0" r="0" t="0"/>
            <wp:docPr descr="Figure 5: Пространство состояний для модели «Накорми студентов»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Пространство состояний для модели «Накорми студентов»</w:t>
      </w:r>
    </w:p>
    <w:bookmarkEnd w:id="0"/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firs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Цветные сети Петри и язык распределенного программирования UPL: их сравнение и перевод, Аркадий Валентинович Климов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https://psta.psiras.ru/read/psta2023_4_91-122.pdf</w:t>
        </w:r>
      </w:hyperlink>
      <w:r>
        <w:t xml:space="preserve">.</w:t>
      </w:r>
    </w:p>
    <w:bookmarkEnd w:id="47"/>
    <w:bookmarkStart w:id="49" w:name="ref-secon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CPN Tools, Michael Westergaard, August 2010, Eindhoven, Netherlands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https://westergaard.eu/wp-content/uploads/2010/09/CPN-Tools.pdf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s://psta.psiras.ru/read/psta2023_4_91-122.pdf" TargetMode="External" /><Relationship Type="http://schemas.openxmlformats.org/officeDocument/2006/relationships/hyperlink" Id="rId48" Target="https://westergaard.eu/wp-content/uploads/2010/09/CPN-T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psta.psiras.ru/read/psta2023_4_91-122.pdf" TargetMode="External" /><Relationship Type="http://schemas.openxmlformats.org/officeDocument/2006/relationships/hyperlink" Id="rId48" Target="https://westergaard.eu/wp-content/uploads/2010/09/CPN-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Ганина Таисия Сергеевна, НФИбд-01-22</dc:creator>
  <dc:language>ru-RU</dc:language>
  <cp:keywords/>
  <dcterms:created xsi:type="dcterms:W3CDTF">2025-03-25T12:00:26Z</dcterms:created>
  <dcterms:modified xsi:type="dcterms:W3CDTF">2025-03-25T12:00:26Z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