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59.png" ContentType="image/png"/>
  <Override PartName="/word/media/rId67.png" ContentType="image/png"/>
  <Override PartName="/word/media/rId71.png" ContentType="image/png"/>
  <Override PartName="/word/media/rId55.png" ContentType="image/png"/>
  <Override PartName="/word/media/rId79.png" ContentType="image/png"/>
  <Override PartName="/word/media/rId63.png" ContentType="image/png"/>
  <Override PartName="/word/media/rId75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51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 CPN Tools модель системы массового обслуживания M|M|1.</w:t>
      </w:r>
    </w:p>
    <w:p>
      <w:pPr>
        <w:numPr>
          <w:ilvl w:val="0"/>
          <w:numId w:val="1001"/>
        </w:numPr>
        <w:pStyle w:val="Compact"/>
      </w:pPr>
      <w:r>
        <w:t xml:space="preserve">Настроить мониторинг параметров моделируемой системы и нарисовать графики очереди.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CPN Tools — специальное программное средство, предназначенное для моделирования иерархических временных раскрашенных сетей Петри. Такие сети эквивалентны машине Тьюринга и составляют универсальную алгоритмическую систему, позволяющую описать произвольный объект.</w:t>
      </w:r>
      <w:r>
        <w:t xml:space="preserve"> </w:t>
      </w:r>
      <w:r>
        <w:t xml:space="preserve">CPN Tools позволяет визуализировать модель с помощью графа сети Петри и применить язык программирования CPN ML (Colored Petri Net Markup Language) для формализованного описания модели.</w:t>
      </w:r>
    </w:p>
    <w:p>
      <w:pPr>
        <w:pStyle w:val="BodyText"/>
      </w:pPr>
      <w:r>
        <w:rPr>
          <w:bCs/>
          <w:b/>
        </w:rPr>
        <w:t xml:space="preserve">Назначение CPN Tools:</w:t>
      </w:r>
    </w:p>
    <w:p>
      <w:pPr>
        <w:numPr>
          <w:ilvl w:val="0"/>
          <w:numId w:val="1002"/>
        </w:numPr>
        <w:pStyle w:val="Compact"/>
      </w:pPr>
      <w:r>
        <w:t xml:space="preserve">разработка сложных объектов и моделирование процессов в различных приклад-</w:t>
      </w:r>
      <w:r>
        <w:t xml:space="preserve"> </w:t>
      </w:r>
      <w:r>
        <w:t xml:space="preserve">ных областях, в том числе:</w:t>
      </w:r>
    </w:p>
    <w:p>
      <w:pPr>
        <w:numPr>
          <w:ilvl w:val="0"/>
          <w:numId w:val="1002"/>
        </w:numPr>
        <w:pStyle w:val="Compact"/>
      </w:pPr>
      <w:r>
        <w:t xml:space="preserve">моделирование производственных и бизнес-процессов;</w:t>
      </w:r>
    </w:p>
    <w:p>
      <w:pPr>
        <w:numPr>
          <w:ilvl w:val="0"/>
          <w:numId w:val="1002"/>
        </w:numPr>
        <w:pStyle w:val="Compact"/>
      </w:pPr>
      <w:r>
        <w:t xml:space="preserve">моделирование систем управления производственными системами и роботами;</w:t>
      </w:r>
    </w:p>
    <w:p>
      <w:pPr>
        <w:numPr>
          <w:ilvl w:val="0"/>
          <w:numId w:val="1002"/>
        </w:numPr>
        <w:pStyle w:val="Compact"/>
      </w:pPr>
      <w:r>
        <w:t xml:space="preserve">спецификация и верификация протоколов, оценка пропускной способности сетей</w:t>
      </w:r>
      <w:r>
        <w:t xml:space="preserve"> </w:t>
      </w:r>
      <w:r>
        <w:t xml:space="preserve">и качества обслуживания, проектирование телекоммуникационных устройств</w:t>
      </w:r>
      <w:r>
        <w:t xml:space="preserve"> </w:t>
      </w:r>
      <w:r>
        <w:t xml:space="preserve">и сетей.</w:t>
      </w:r>
    </w:p>
    <w:p>
      <w:pPr>
        <w:pStyle w:val="FirstParagraph"/>
      </w:pPr>
      <w:r>
        <w:rPr>
          <w:bCs/>
          <w:b/>
        </w:rPr>
        <w:t xml:space="preserve">Основные функции CPN Tools:</w:t>
      </w:r>
    </w:p>
    <w:p>
      <w:pPr>
        <w:numPr>
          <w:ilvl w:val="0"/>
          <w:numId w:val="1003"/>
        </w:numPr>
        <w:pStyle w:val="Compact"/>
      </w:pPr>
      <w:r>
        <w:t xml:space="preserve">создание (редактирование) моделей;</w:t>
      </w:r>
    </w:p>
    <w:p>
      <w:pPr>
        <w:numPr>
          <w:ilvl w:val="0"/>
          <w:numId w:val="1003"/>
        </w:numPr>
        <w:pStyle w:val="Compact"/>
      </w:pPr>
      <w:r>
        <w:t xml:space="preserve">анализ поведения моделей с помощью имитации динамики сети Петри;</w:t>
      </w:r>
    </w:p>
    <w:p>
      <w:pPr>
        <w:numPr>
          <w:ilvl w:val="0"/>
          <w:numId w:val="1003"/>
        </w:numPr>
        <w:pStyle w:val="Compact"/>
      </w:pPr>
      <w:r>
        <w:t xml:space="preserve">построение и анализ пространства состояний модели.</w:t>
      </w:r>
    </w:p>
    <w:p>
      <w:pPr>
        <w:pStyle w:val="FirstParagraph"/>
      </w:pPr>
      <w:r>
        <w:t xml:space="preserve">[1,2]</w:t>
      </w:r>
      <w:r>
        <w:t xml:space="preserve">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 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системы, на втором — генератор заявок, на третьем — сервер обработки заявок.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)</w:t>
      </w:r>
      <w:r>
        <w:t xml:space="preserve"> </w:t>
      </w:r>
      <w:r>
        <w:t xml:space="preserve">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 на отдельных листах модели (с помощью соответствующего инструмента меню — Hierarchy).</w:t>
      </w:r>
    </w:p>
    <w:p>
      <w:pPr>
        <w:pStyle w:val="BodyText"/>
      </w:pPr>
      <w:r>
        <w:t xml:space="preserve">Зададим декларации системы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numPr>
          <w:ilvl w:val="0"/>
          <w:numId w:val="1004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numPr>
          <w:ilvl w:val="0"/>
          <w:numId w:val="1004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numPr>
          <w:ilvl w:val="0"/>
          <w:numId w:val="1004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numPr>
          <w:ilvl w:val="0"/>
          <w:numId w:val="1004"/>
        </w:numPr>
        <w:pStyle w:val="Compact"/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numPr>
          <w:ilvl w:val="0"/>
          <w:numId w:val="1004"/>
        </w:numPr>
        <w:pStyle w:val="Compact"/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numPr>
          <w:ilvl w:val="0"/>
          <w:numId w:val="1004"/>
        </w:numPr>
        <w:pStyle w:val="Compact"/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p>
      <w:pPr>
        <w:pStyle w:val="FirstParagraph"/>
      </w:pPr>
      <w:r>
        <w:t xml:space="preserve">Переменные модели: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numPr>
          <w:ilvl w:val="0"/>
          <w:numId w:val="1006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экспоненциальному закону;</w:t>
      </w:r>
    </w:p>
    <w:p>
      <w:pPr>
        <w:numPr>
          <w:ilvl w:val="0"/>
          <w:numId w:val="1006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numPr>
          <w:ilvl w:val="0"/>
          <w:numId w:val="1006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</w:t>
      </w:r>
      <w:r>
        <w:t xml:space="preserve"> </w:t>
      </w:r>
      <w:r>
        <w:t xml:space="preserve">заявки (A или B).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6483773"/>
            <wp:effectExtent b="0" l="0" r="0" t="0"/>
            <wp:docPr descr="Figure 1: Задание деклараций системы" title="" id="24" name="Picture"/>
            <a:graphic>
              <a:graphicData uri="http://schemas.openxmlformats.org/drawingml/2006/picture">
                <pic:pic>
                  <pic:nvPicPr>
                    <pic:cNvPr descr="image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3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Задание деклараций системы</w:t>
      </w:r>
    </w:p>
    <w:bookmarkEnd w:id="0"/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p>
      <w:pPr>
        <w:numPr>
          <w:ilvl w:val="0"/>
          <w:numId w:val="1007"/>
        </w:numPr>
        <w:pStyle w:val="Compact"/>
      </w:pPr>
      <w:r>
        <w:t xml:space="preserve">у позиции Queue множество цветов фишек —</w:t>
      </w:r>
      <w:r>
        <w:t xml:space="preserve"> </w:t>
      </w:r>
      <w:r>
        <w:rPr>
          <w:rStyle w:val="VerbatimChar"/>
        </w:rPr>
        <w:t xml:space="preserve">Jobs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1``[]</w:t>
      </w:r>
      <w:r>
        <w:t xml:space="preserve"> </w:t>
      </w:r>
      <w:r>
        <w:t xml:space="preserve">определяет, что изначально очередь пуста.</w:t>
      </w:r>
    </w:p>
    <w:p>
      <w:pPr>
        <w:numPr>
          <w:ilvl w:val="0"/>
          <w:numId w:val="1007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</w:t>
      </w:r>
      <w:r>
        <w:t xml:space="preserve">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414610"/>
            <wp:effectExtent b="0" l="0" r="0" t="0"/>
            <wp:docPr descr="Figure 2: Параметры элементов основного графа системы обработки заявок в очереди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Параметры элементов основного графа системы обработки заявок в очереди</w:t>
      </w:r>
    </w:p>
    <w:bookmarkEnd w:id="0"/>
    <w:p>
      <w:pPr>
        <w:pStyle w:val="BodyText"/>
      </w:pPr>
      <w:r>
        <w:t xml:space="preserve">На листе Arrivals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p>
      <w:pPr>
        <w:numPr>
          <w:ilvl w:val="0"/>
          <w:numId w:val="1008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1``()@0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</w:p>
    <w:p>
      <w:pPr>
        <w:numPr>
          <w:ilvl w:val="0"/>
          <w:numId w:val="1008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</w:t>
      </w:r>
    </w:p>
    <w:p>
      <w:pPr>
        <w:numPr>
          <w:ilvl w:val="0"/>
          <w:numId w:val="1008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выражение () задаёт генерацию заявок;</w:t>
      </w:r>
    </w:p>
    <w:p>
      <w:pPr>
        <w:numPr>
          <w:ilvl w:val="0"/>
          <w:numId w:val="1008"/>
        </w:numPr>
        <w:pStyle w:val="Compact"/>
      </w:pPr>
      <w:r>
        <w:t xml:space="preserve">на дуге от переходов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и Arrive к позиции Next выражение</w:t>
      </w:r>
      <w:r>
        <w:t xml:space="preserve"> </w:t>
      </w:r>
      <w:r>
        <w:rPr>
          <w:rStyle w:val="VerbatimChar"/>
        </w:rPr>
        <w:t xml:space="preserve">()@+expTime(100)</w:t>
      </w:r>
      <w:r>
        <w:t xml:space="preserve"> </w:t>
      </w:r>
      <w:r>
        <w:t xml:space="preserve">задаёт экспоненциальное распределение времени между</w:t>
      </w:r>
      <w:r>
        <w:t xml:space="preserve"> </w:t>
      </w:r>
      <w:r>
        <w:t xml:space="preserve">поступлениями заявок;</w:t>
      </w:r>
    </w:p>
    <w:p>
      <w:pPr>
        <w:numPr>
          <w:ilvl w:val="0"/>
          <w:numId w:val="1008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 () задаёт перемещение</w:t>
      </w:r>
      <w:r>
        <w:t xml:space="preserve"> </w:t>
      </w:r>
      <w:r>
        <w:t xml:space="preserve">фишки;</w:t>
      </w:r>
    </w:p>
    <w:p>
      <w:pPr>
        <w:numPr>
          <w:ilvl w:val="0"/>
          <w:numId w:val="1008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 Queue выражение</w:t>
      </w:r>
      <w:r>
        <w:t xml:space="preserve"> </w:t>
      </w:r>
      <w:r>
        <w:rPr>
          <w:rStyle w:val="VerbatimChar"/>
        </w:rPr>
        <w:t xml:space="preserve">jobs^^[job]</w:t>
      </w:r>
      <w:r>
        <w:t xml:space="preserve"> </w:t>
      </w:r>
      <w:r>
        <w:t xml:space="preserve">задает</w:t>
      </w:r>
      <w:r>
        <w:t xml:space="preserve"> </w:t>
      </w:r>
      <w:r>
        <w:t xml:space="preserve">поступление заявки в очередь;</w:t>
      </w:r>
    </w:p>
    <w:p>
      <w:pPr>
        <w:numPr>
          <w:ilvl w:val="0"/>
          <w:numId w:val="1008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450191"/>
            <wp:effectExtent b="0" l="0" r="0" t="0"/>
            <wp:docPr descr="Figure 3: Параметры элементов генератора заявок системы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Параметры элементов генератора заявок системы</w:t>
      </w:r>
    </w:p>
    <w:bookmarkEnd w:id="0"/>
    <w:p>
      <w:pPr>
        <w:pStyle w:val="BodyText"/>
      </w:pPr>
      <w:r>
        <w:t xml:space="preserve">На листе Server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p>
      <w:pPr>
        <w:numPr>
          <w:ilvl w:val="0"/>
          <w:numId w:val="1009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начальное значение мар-</w:t>
      </w:r>
      <w:r>
        <w:t xml:space="preserve"> </w:t>
      </w:r>
      <w:r>
        <w:t xml:space="preserve">кировки —</w:t>
      </w:r>
      <w:r>
        <w:t xml:space="preserve"> </w:t>
      </w:r>
      <w:r>
        <w:rPr>
          <w:rStyle w:val="VerbatimChar"/>
        </w:rPr>
        <w:t xml:space="preserve">1``server@0</w:t>
      </w:r>
      <w:r>
        <w:t xml:space="preserve"> </w:t>
      </w:r>
      <w:r>
        <w:t xml:space="preserve">определяет, что изначально на сервере нет заявок на</w:t>
      </w:r>
      <w:r>
        <w:t xml:space="preserve"> </w:t>
      </w:r>
      <w:r>
        <w:t xml:space="preserve">обслуживание;</w:t>
      </w:r>
    </w:p>
    <w:p>
      <w:pPr>
        <w:numPr>
          <w:ilvl w:val="0"/>
          <w:numId w:val="1009"/>
        </w:numPr>
        <w:pStyle w:val="Compact"/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;</w:t>
      </w:r>
    </w:p>
    <w:p>
      <w:pPr>
        <w:numPr>
          <w:ilvl w:val="0"/>
          <w:numId w:val="1009"/>
        </w:numPr>
        <w:pStyle w:val="Compact"/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имеет сегмент кода</w:t>
      </w:r>
      <w:r>
        <w:t xml:space="preserve"> </w:t>
      </w:r>
      <w:r>
        <w:rPr>
          <w:rStyle w:val="VerbatimChar"/>
        </w:rPr>
        <w:t xml:space="preserve">output (proctime); action expTime(90);</w:t>
      </w:r>
      <w:r>
        <w:t xml:space="preserve"> </w:t>
      </w:r>
      <w:r>
        <w:t xml:space="preserve">определяющий, что время обслуживания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</w:p>
    <w:p>
      <w:pPr>
        <w:numPr>
          <w:ilvl w:val="0"/>
          <w:numId w:val="1009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job::jobs</w:t>
      </w:r>
      <w:r>
        <w:t xml:space="preserve"> </w:t>
      </w:r>
      <w:r>
        <w:t xml:space="preserve">определяет,</w:t>
      </w:r>
      <w:r>
        <w:t xml:space="preserve"> </w:t>
      </w:r>
      <w:r>
        <w:t xml:space="preserve">что сервер может начать обработку заявки, если в очереди есть хотя бы одна</w:t>
      </w:r>
      <w:r>
        <w:t xml:space="preserve"> </w:t>
      </w:r>
      <w:r>
        <w:t xml:space="preserve">заявка;</w:t>
      </w:r>
    </w:p>
    <w:p>
      <w:pPr>
        <w:numPr>
          <w:ilvl w:val="0"/>
          <w:numId w:val="1009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 Busy выражение</w:t>
      </w:r>
      <w:r>
        <w:t xml:space="preserve"> </w:t>
      </w:r>
      <w:r>
        <w:rPr>
          <w:rStyle w:val="VerbatimChar"/>
        </w:rPr>
        <w:t xml:space="preserve">(server,job)@+proctime</w:t>
      </w:r>
      <w:r>
        <w:t xml:space="preserve"> </w:t>
      </w:r>
      <w:r>
        <w:t xml:space="preserve">запускает функцию расчёта времени обработки заявки на сервере;</w:t>
      </w:r>
    </w:p>
    <w:p>
      <w:pPr>
        <w:numPr>
          <w:ilvl w:val="0"/>
          <w:numId w:val="1009"/>
        </w:numPr>
        <w:pStyle w:val="Compact"/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</w:t>
      </w:r>
      <w:r>
        <w:t xml:space="preserve"> </w:t>
      </w:r>
      <w:r>
        <w:t xml:space="preserve">говорит</w:t>
      </w:r>
      <w:r>
        <w:t xml:space="preserve"> </w:t>
      </w:r>
      <w:r>
        <w:t xml:space="preserve">о завершении обработки заявки на сервере;</w:t>
      </w:r>
    </w:p>
    <w:p>
      <w:pPr>
        <w:numPr>
          <w:ilvl w:val="0"/>
          <w:numId w:val="1009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показывает, что</w:t>
      </w:r>
      <w:r>
        <w:t xml:space="preserve"> </w:t>
      </w:r>
      <w:r>
        <w:t xml:space="preserve">заявка считается обслуженной;</w:t>
      </w:r>
    </w:p>
    <w:p>
      <w:pPr>
        <w:numPr>
          <w:ilvl w:val="0"/>
          <w:numId w:val="1009"/>
        </w:numPr>
        <w:pStyle w:val="Compact"/>
      </w:pPr>
      <w:r>
        <w:t xml:space="preserve">выражение server на дугах от и к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определяет изменение состояние</w:t>
      </w:r>
      <w:r>
        <w:t xml:space="preserve"> </w:t>
      </w:r>
      <w:r>
        <w:t xml:space="preserve">сервера (обрабатывает заявки или ожидает);</w:t>
      </w:r>
    </w:p>
    <w:p>
      <w:pPr>
        <w:numPr>
          <w:ilvl w:val="0"/>
          <w:numId w:val="1009"/>
        </w:numPr>
        <w:pStyle w:val="Compact"/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465470"/>
            <wp:effectExtent b="0" l="0" r="0" t="0"/>
            <wp:docPr descr="Figure 4: Параметры элементов обработчика заявок системы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5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Параметры элементов обработчика заявок системы</w:t>
      </w:r>
    </w:p>
    <w:bookmarkEnd w:id="0"/>
    <w:p>
      <w:pPr>
        <w:pStyle w:val="BodyText"/>
      </w:pPr>
      <w:r>
        <w:t xml:space="preserve">После этого можно запустить модель и мы получим следующую картину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343325"/>
            <wp:effectExtent b="0" l="0" r="0" t="0"/>
            <wp:docPr descr="Figure 5: Запуск системы обработки заявок в очереди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Запуск системы обработки заявок в очереди</w:t>
      </w:r>
    </w:p>
    <w:bookmarkEnd w:id="0"/>
    <w:p>
      <w:pPr>
        <w:pStyle w:val="BodyText"/>
      </w:pPr>
      <w:r>
        <w:rPr>
          <w:bCs/>
          <w:b/>
        </w:rPr>
        <w:t xml:space="preserve">Мониторинг параметров моделируемой системы</w:t>
      </w:r>
    </w:p>
    <w:p>
      <w:pPr>
        <w:pStyle w:val="BodyText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</w:t>
      </w:r>
    </w:p>
    <w:p>
      <w:pPr>
        <w:pStyle w:val="BodyText"/>
      </w:pPr>
      <w:r>
        <w:t xml:space="preserve">В результате функция примет вид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309921"/>
            <wp:effectExtent b="0" l="0" r="0" t="0"/>
            <wp:docPr descr="Figure 6: Функция Predicate монитора Ostanovka" title="" id="44" name="Picture"/>
            <a:graphic>
              <a:graphicData uri="http://schemas.openxmlformats.org/drawingml/2006/picture">
                <pic:pic>
                  <pic:nvPicPr>
                    <pic:cNvPr descr="image/1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Функция Predicate монитора Ostanovka</w:t>
      </w:r>
    </w:p>
    <w:bookmarkEnd w:id="0"/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функция примет вид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313870"/>
            <wp:effectExtent b="0" l="0" r="0" t="0"/>
            <wp:docPr descr="Figure 7: Функция Observer монитора Queue Delay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Функция Observer монитора Queue Delay</w:t>
      </w:r>
    </w:p>
    <w:bookmarkEnd w:id="0"/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), содержащий в первой колонке — значение задержки очереди, во второй — счётчик, в третьей — шаг, в четвёртой — время.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580190"/>
            <wp:effectExtent b="0" l="0" r="0" t="0"/>
            <wp:docPr descr="Figure 8: Файл Queue_Delay.log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Файл Queue_Delay.log</w:t>
      </w:r>
    </w:p>
    <w:bookmarkEnd w:id="0"/>
    <w:p>
      <w:pPr>
        <w:pStyle w:val="BodyText"/>
      </w:pPr>
      <w:r>
        <w:t xml:space="preserve">С помощью gnuplot можно построить график значений задержки в очереди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), выбрав 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plot "Queue_Delay.log" using ($4):($1) with lines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3987320"/>
            <wp:effectExtent b="0" l="0" r="0" t="0"/>
            <wp:docPr descr="Figure 9: График изменения задержки в очереди" title="" id="56" name="Picture"/>
            <a:graphic>
              <a:graphicData uri="http://schemas.openxmlformats.org/drawingml/2006/picture">
                <pic:pic>
                  <pic:nvPicPr>
                    <pic:cNvPr descr="image/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График изменения задержки в очереди</w:t>
      </w:r>
    </w:p>
    <w:bookmarkEnd w:id="0"/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):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322916"/>
            <wp:effectExtent b="0" l="0" r="0" t="0"/>
            <wp:docPr descr="Figure 10: Функция Observer монитора Queue Delay Real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Функция Observer монитора Queue Delay Real</w:t>
      </w:r>
    </w:p>
    <w:bookmarkEnd w:id="0"/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):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3598047"/>
            <wp:effectExtent b="0" l="0" r="0" t="0"/>
            <wp:docPr descr="Figure 11: Содержимое Queue_Delay_Real.log" title="" id="64" name="Picture"/>
            <a:graphic>
              <a:graphicData uri="http://schemas.openxmlformats.org/drawingml/2006/picture">
                <pic:pic>
                  <pic:nvPicPr>
                    <pic:cNvPr descr="image/1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Содержимое Queue_Delay_Real.log</w:t>
      </w:r>
    </w:p>
    <w:bookmarkEnd w:id="0"/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):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296894"/>
            <wp:effectExtent b="0" l="0" r="0" t="0"/>
            <wp:docPr descr="Figure 12: Функция Observer монитора Long Delay Time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6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Функция Observer монитора Long Delay Time</w:t>
      </w:r>
    </w:p>
    <w:bookmarkEnd w:id="0"/>
    <w:p>
      <w:pPr>
        <w:pStyle w:val="BodyText"/>
      </w:pPr>
      <w:r>
        <w:t xml:space="preserve">При этом необходимо в декларациях задать глобальную переменную</w:t>
      </w:r>
      <w:r>
        <w:t xml:space="preserve"> </w:t>
      </w:r>
      <w:r>
        <w:t xml:space="preserve">(в форме ссылки на число 200): longdelaytime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2540000" cy="3708400"/>
            <wp:effectExtent b="0" l="0" r="0" t="0"/>
            <wp:docPr descr="Figure 13: Определение longdelaytime в декларациях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Определение longdelaytime в декларациях</w:t>
      </w:r>
    </w:p>
    <w:bookmarkEnd w:id="0"/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3539945"/>
            <wp:effectExtent b="0" l="0" r="0" t="0"/>
            <wp:docPr descr="Figure 14: Содержимое Long_Delay_Time.log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Содержимое Long_Delay_Time.log</w:t>
      </w:r>
    </w:p>
    <w:bookmarkEnd w:id="0"/>
    <w:p>
      <w:pPr>
        <w:pStyle w:val="BodyText"/>
      </w:pPr>
      <w:r>
        <w:t xml:space="preserve">С помощью gnuplot можно построить график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4010093"/>
            <wp:effectExtent b="0" l="0" r="0" t="0"/>
            <wp:docPr descr="Figure 15: Периоды времени, когда значения задержки в очереди превышали заданное значение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Периоды времени, когда значения задержки в очереди превышали заданное значение</w:t>
      </w:r>
    </w:p>
    <w:bookmarkEnd w:id="0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84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Start w:id="86" w:name="ref-firs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Цветные сети Петри и язык распределенного программирования UPL: их сравнение и перевод, Аркадий Валентинович Климов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85">
        <w:r>
          <w:rPr>
            <w:rStyle w:val="Hyperlink"/>
          </w:rPr>
          <w:t xml:space="preserve">https://psta.psiras.ru/read/psta2023_4_91-122.pdf</w:t>
        </w:r>
      </w:hyperlink>
      <w:r>
        <w:t xml:space="preserve">.</w:t>
      </w:r>
    </w:p>
    <w:bookmarkEnd w:id="86"/>
    <w:bookmarkStart w:id="88" w:name="ref-secon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CPN Tools, Michael Westergaard, August 2010, Eindhoven, Netherlands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87">
        <w:r>
          <w:rPr>
            <w:rStyle w:val="Hyperlink"/>
          </w:rPr>
          <w:t xml:space="preserve">https://westergaard.eu/wp-content/uploads/2010/09/CPN-Tools.pdf</w:t>
        </w:r>
      </w:hyperlink>
      <w:r>
        <w:t xml:space="preserve">.</w:t>
      </w:r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55" Target="media/rId55.png" /><Relationship Type="http://schemas.openxmlformats.org/officeDocument/2006/relationships/image" Id="rId79" Target="media/rId79.png" /><Relationship Type="http://schemas.openxmlformats.org/officeDocument/2006/relationships/image" Id="rId63" Target="media/rId63.png" /><Relationship Type="http://schemas.openxmlformats.org/officeDocument/2006/relationships/image" Id="rId75" Target="media/rId7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51" Target="media/rId51.png" /><Relationship Type="http://schemas.openxmlformats.org/officeDocument/2006/relationships/image" Id="rId47" Target="media/rId47.png" /><Relationship Type="http://schemas.openxmlformats.org/officeDocument/2006/relationships/hyperlink" Id="rId85" Target="https://psta.psiras.ru/read/psta2023_4_91-122.pdf" TargetMode="External" /><Relationship Type="http://schemas.openxmlformats.org/officeDocument/2006/relationships/hyperlink" Id="rId87" Target="https://westergaard.eu/wp-content/uploads/2010/09/CPN-Tool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psta.psiras.ru/read/psta2023_4_91-122.pdf" TargetMode="External" /><Relationship Type="http://schemas.openxmlformats.org/officeDocument/2006/relationships/hyperlink" Id="rId87" Target="https://westergaard.eu/wp-content/uploads/2010/09/CPN-Tool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Ганина Таисия Сергеевна, НФИбд-01-22</dc:creator>
  <dc:language>ru-RU</dc:language>
  <cp:keywords/>
  <dcterms:created xsi:type="dcterms:W3CDTF">2025-04-18T11:13:24Z</dcterms:created>
  <dcterms:modified xsi:type="dcterms:W3CDTF">2025-04-18T11:13:24Z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