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№15</w:t>
      </w:r>
    </w:p>
    <w:p>
      <w:pPr>
        <w:pStyle w:val="Subtitle"/>
      </w:pPr>
      <w:r>
        <w:t xml:space="preserve">Имитационное</w:t>
      </w:r>
      <w:r>
        <w:t xml:space="preserve"> </w:t>
      </w:r>
      <w:r>
        <w:t xml:space="preserve">моделирование</w:t>
      </w:r>
    </w:p>
    <w:p>
      <w:pPr>
        <w:pStyle w:val="Author"/>
      </w:pPr>
      <w:r>
        <w:t xml:space="preserve">Ганина</w:t>
      </w:r>
      <w:r>
        <w:t xml:space="preserve"> </w:t>
      </w:r>
      <w:r>
        <w:t xml:space="preserve">Таисия</w:t>
      </w:r>
      <w:r>
        <w:t xml:space="preserve"> </w:t>
      </w:r>
      <w:r>
        <w:t xml:space="preserve">Сергеевна,</w:t>
      </w:r>
      <w:r>
        <w:t xml:space="preserve"> </w:t>
      </w:r>
      <w:r>
        <w:t xml:space="preserve">НФИбд-01-22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Выполнить моделирование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numPr>
          <w:ilvl w:val="0"/>
          <w:numId w:val="1001"/>
        </w:numPr>
        <w:pStyle w:val="Compact"/>
      </w:pPr>
      <w:r>
        <w:t xml:space="preserve">Модель обслуживания механиков на складе.</w:t>
      </w:r>
    </w:p>
    <w:p>
      <w:pPr>
        <w:numPr>
          <w:ilvl w:val="0"/>
          <w:numId w:val="1001"/>
        </w:numPr>
        <w:pStyle w:val="Compact"/>
      </w:pPr>
      <w:r>
        <w:t xml:space="preserve">Модель обслуживания в порту судов двух типов.</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GPSS (General Purpose Simulation System) — это один из первых специализированных языков программирования для имитационного моделирования, созданный в 1961 году американским инженером Джеффри Гордоном в корпорации IBM. Первоначально язык разрабатывался для нужд моделирования сложных логистических и производственных процессов в промышленных и военных системах, где требовался учёт случайных событий и взаимодействия большого количества объектов во времени.</w:t>
      </w:r>
    </w:p>
    <w:p>
      <w:pPr>
        <w:pStyle w:val="BodyText"/>
      </w:pPr>
      <w:r>
        <w:t xml:space="preserve">GPSS стал знаковым инструментом в истории моделирования: он заложил основы событийного подхода и ввёл понятие транзакта как активного объекта, перемещающегося по блокам логики системы. Эти концепции впоследствии легли в основу многих других языков и программных сред моделирования. Благодаря модульной структуре и простой записи моделей, GPSS получил широкое распространение в университетах и научных учреждениях как средство обучения и анализа дискретных систем.</w:t>
      </w:r>
    </w:p>
    <w:p>
      <w:pPr>
        <w:pStyle w:val="BodyText"/>
      </w:pPr>
      <w:r>
        <w:t xml:space="preserve">Практическое применение GPSS охватывает широкий спектр задач:</w:t>
      </w:r>
    </w:p>
    <w:p>
      <w:pPr>
        <w:numPr>
          <w:ilvl w:val="0"/>
          <w:numId w:val="1002"/>
        </w:numPr>
      </w:pPr>
      <w:r>
        <w:t xml:space="preserve">Организация работы производственных цехов: моделирование потока деталей между станками, учёт времени обработки, простоев и загрузки оборудования;</w:t>
      </w:r>
    </w:p>
    <w:p>
      <w:pPr>
        <w:numPr>
          <w:ilvl w:val="0"/>
          <w:numId w:val="1002"/>
        </w:numPr>
      </w:pPr>
      <w:r>
        <w:t xml:space="preserve">Системы массового обслуживания: моделирование очередей в банках, поликлиниках, аэропортах с целью оценки времени ожидания и необходимости в дополнительном персонале;</w:t>
      </w:r>
    </w:p>
    <w:p>
      <w:pPr>
        <w:numPr>
          <w:ilvl w:val="0"/>
          <w:numId w:val="1002"/>
        </w:numPr>
      </w:pPr>
      <w:r>
        <w:t xml:space="preserve">Логистика и склады: моделирование перемещения товаров между зонами хранения, погрузки и разгрузки, анализ загрузки транспортных средств;</w:t>
      </w:r>
    </w:p>
    <w:p>
      <w:pPr>
        <w:numPr>
          <w:ilvl w:val="0"/>
          <w:numId w:val="1002"/>
        </w:numPr>
      </w:pPr>
      <w:r>
        <w:t xml:space="preserve">Транспорт: моделирование движения автобусов, поездов, планирование расписаний с учётом времени на посадку и высадку пассажиров;</w:t>
      </w:r>
    </w:p>
    <w:p>
      <w:pPr>
        <w:numPr>
          <w:ilvl w:val="0"/>
          <w:numId w:val="1002"/>
        </w:numPr>
      </w:pPr>
      <w:r>
        <w:t xml:space="preserve">Военные приложения: планирование операций снабжения, имитация действий в сложных логистических цепочках.</w:t>
      </w:r>
    </w:p>
    <w:p>
      <w:pPr>
        <w:pStyle w:val="FirstParagraph"/>
      </w:pPr>
      <w:r>
        <w:t xml:space="preserve">Одним из достоинств GPSS является то, что язык допускает использование случайных величин (например, времени обслуживания или интервалов между заявками), что позволяет создавать реалистичные модели, приближенные к поведению реальных систем. Также GPSS даёт возможность легко собирать статистику по ключевым метрикам: времени пребывания объектов в системе, загрузке ресурсов, количеству отказов и пр.</w:t>
      </w:r>
    </w:p>
    <w:p>
      <w:pPr>
        <w:pStyle w:val="BodyText"/>
      </w:pPr>
      <w:r>
        <w:t xml:space="preserve">Несмотря на то, что с момента своего создания прошло более шестидесяти лет, GPSS продолжает использоваться как в учебных целях, так и в инженерной практике благодаря своей простоте, наглядности и эффективности в решении прикладных задач, связанных с анализом и оптимизацией дискретных процессов.</w:t>
      </w:r>
    </w:p>
    <w:p>
      <w:pPr>
        <w:pStyle w:val="BodyText"/>
      </w:pPr>
      <w:r>
        <w:t xml:space="preserve">[1,2]</w:t>
      </w:r>
      <w:r>
        <w:t xml:space="preserve">.</w:t>
      </w:r>
    </w:p>
    <w:bookmarkEnd w:id="22"/>
    <w:bookmarkStart w:id="45"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1" w:name="модель-обслуживания-механиков-на-складе"/>
    <w:p>
      <w:pPr>
        <w:pStyle w:val="Heading2"/>
      </w:pPr>
      <w:r>
        <w:rPr>
          <w:rStyle w:val="SectionNumber"/>
        </w:rPr>
        <w:t xml:space="preserve">4.1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w:t>
      </w:r>
      <w:r>
        <w:t xml:space="preserve"> </w:t>
      </w:r>
      <w:r>
        <w:t xml:space="preserve">механикам, обслуживающим станки. Время, необходимое для удовлетворения запроса, зависит от типа запасной части. Запросы бывают двух категорий.</w:t>
      </w:r>
    </w:p>
    <w:p>
      <w:pPr>
        <w:numPr>
          <w:ilvl w:val="0"/>
          <w:numId w:val="1003"/>
        </w:numPr>
      </w:pPr>
      <w:r>
        <w:t xml:space="preserve">Для первой категории интервалы времени прихода механиков 420 ± 360 сек., время обслуживания — 300 ± 90 сек.</w:t>
      </w:r>
    </w:p>
    <w:p>
      <w:pPr>
        <w:numPr>
          <w:ilvl w:val="0"/>
          <w:numId w:val="1003"/>
        </w:numPr>
      </w:pPr>
      <w:r>
        <w:t xml:space="preserve">Для второй категории интервалы времени прихода механиков 360 ± 240 сек., время обслуживания — 100 ± 30 сек.</w:t>
      </w:r>
    </w:p>
    <w:p>
      <w:pPr>
        <w:pStyle w:val="FirstParagraph"/>
      </w:pPr>
      <w:r>
        <w:t xml:space="preserve">Порядок обслуживания механиков кладовщиком такой: запросы первой категории</w:t>
      </w:r>
      <w:r>
        <w:t xml:space="preserve"> </w:t>
      </w:r>
      <w:r>
        <w:t xml:space="preserve">обслуживаются только в том случае, когда в очереди нет ни одного запроса второй категории. Внутри одной категории дисциплина обслуживания — «первым пришел – первым обслужился». Необходимо создать модель работы кладовой, моделирование выполнять в течение восьмичасового рабочего дня.</w:t>
      </w:r>
    </w:p>
    <w:p>
      <w:pPr>
        <w:pStyle w:val="BodyText"/>
      </w:pPr>
      <w:r>
        <w:t xml:space="preserve">Таким образом, имеем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6155960"/>
            <wp:effectExtent b="0" l="0" r="0" t="0"/>
            <wp:docPr descr="Figure 1: Модель обслуживания механиков на складе"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6155960"/>
                    </a:xfrm>
                    <a:prstGeom prst="rect">
                      <a:avLst/>
                    </a:prstGeom>
                    <a:noFill/>
                    <a:ln w="9525">
                      <a:noFill/>
                      <a:headEnd/>
                      <a:tailEnd/>
                    </a:ln>
                  </pic:spPr>
                </pic:pic>
              </a:graphicData>
            </a:graphic>
          </wp:inline>
        </w:drawing>
      </w:r>
      <w:bookmarkEnd w:id="26"/>
    </w:p>
    <w:p>
      <w:pPr>
        <w:pStyle w:val="ImageCaption"/>
      </w:pPr>
      <w:r>
        <w:t xml:space="preserve">Figure 1: Модель обслуживания механиков на складе</w:t>
      </w:r>
    </w:p>
    <w:bookmarkEnd w:id="0"/>
    <w:p>
      <w:pPr>
        <w:pStyle w:val="BodyText"/>
      </w:pPr>
      <w:r>
        <w:t xml:space="preserve">После запуска симуляции получаем отчёт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6447692"/>
            <wp:effectExtent b="0" l="0" r="0" t="0"/>
            <wp:docPr descr="Figure 2: Отчёт по модели обслуживания механиков на складе"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6447692"/>
                    </a:xfrm>
                    <a:prstGeom prst="rect">
                      <a:avLst/>
                    </a:prstGeom>
                    <a:noFill/>
                    <a:ln w="9525">
                      <a:noFill/>
                      <a:headEnd/>
                      <a:tailEnd/>
                    </a:ln>
                  </pic:spPr>
                </pic:pic>
              </a:graphicData>
            </a:graphic>
          </wp:inline>
        </w:drawing>
      </w:r>
      <w:bookmarkEnd w:id="30"/>
    </w:p>
    <w:p>
      <w:pPr>
        <w:pStyle w:val="ImageCaption"/>
      </w:pPr>
      <w:r>
        <w:t xml:space="preserve">Figure 2: Отчёт по модели обслуживания механиков на складе</w:t>
      </w:r>
    </w:p>
    <w:bookmarkEnd w:id="0"/>
    <w:p>
      <w:pPr>
        <w:pStyle w:val="BodyText"/>
      </w:pPr>
      <w:r>
        <w:t xml:space="preserve">Результаты работы модели:</w:t>
      </w:r>
    </w:p>
    <w:p>
      <w:pPr>
        <w:numPr>
          <w:ilvl w:val="0"/>
          <w:numId w:val="1004"/>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4"/>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=28800.000;</w:t>
      </w:r>
    </w:p>
    <w:p>
      <w:pPr>
        <w:numPr>
          <w:ilvl w:val="0"/>
          <w:numId w:val="1004"/>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numPr>
          <w:ilvl w:val="0"/>
          <w:numId w:val="1004"/>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numPr>
          <w:ilvl w:val="0"/>
          <w:numId w:val="1004"/>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w:t>
      </w:r>
      <w:r>
        <w:t xml:space="preserve"> </w:t>
      </w:r>
      <w:r>
        <w:rPr>
          <w:rStyle w:val="VerbatimChar"/>
        </w:rPr>
        <w:t xml:space="preserve">qs2</w:t>
      </w:r>
      <w:r>
        <w:t xml:space="preserve">,</w:t>
      </w:r>
      <w:r>
        <w:t xml:space="preserve"> </w:t>
      </w:r>
      <w:r>
        <w:rPr>
          <w:rStyle w:val="VerbatimChar"/>
        </w:rPr>
        <w:t xml:space="preserve">stockman</w:t>
      </w:r>
      <w:r>
        <w:t xml:space="preserve">.</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сек.</w:t>
      </w:r>
    </w:p>
    <w:p>
      <w:pPr>
        <w:pStyle w:val="BodyText"/>
      </w:pPr>
      <w:r>
        <w:t xml:space="preserve">Далее информация об очереди:</w:t>
      </w:r>
    </w:p>
    <w:p>
      <w:pPr>
        <w:pStyle w:val="BodyText"/>
      </w:pPr>
      <w:r>
        <w:t xml:space="preserve">Далее информация об очередях:</w:t>
      </w:r>
    </w:p>
    <w:p>
      <w:pPr>
        <w:numPr>
          <w:ilvl w:val="0"/>
          <w:numId w:val="1005"/>
        </w:numPr>
      </w:pPr>
      <w:r>
        <w:rPr>
          <w:rStyle w:val="VerbatimChar"/>
        </w:rPr>
        <w:t xml:space="preserve">QUEUE</w:t>
      </w:r>
      <w:r>
        <w:t xml:space="preserve">=QS1 – имя объекта типа «очередь» для первого типа заявок;</w:t>
      </w:r>
    </w:p>
    <w:p>
      <w:pPr>
        <w:numPr>
          <w:ilvl w:val="0"/>
          <w:numId w:val="1005"/>
        </w:numPr>
      </w:pPr>
      <w:r>
        <w:rPr>
          <w:rStyle w:val="VerbatimChar"/>
        </w:rPr>
        <w:t xml:space="preserve">MAX</w:t>
      </w:r>
      <w:r>
        <w:t xml:space="preserve">=8 – максимальное число ожидающих заявок от клиента в очереди;</w:t>
      </w:r>
    </w:p>
    <w:p>
      <w:pPr>
        <w:numPr>
          <w:ilvl w:val="0"/>
          <w:numId w:val="1005"/>
        </w:numPr>
      </w:pPr>
      <w:r>
        <w:rPr>
          <w:rStyle w:val="VerbatimChar"/>
        </w:rPr>
        <w:t xml:space="preserve">CONT</w:t>
      </w:r>
      <w:r>
        <w:t xml:space="preserve">=6 – количество заявок в очереди на момент завершения моделирования;</w:t>
      </w:r>
    </w:p>
    <w:p>
      <w:pPr>
        <w:numPr>
          <w:ilvl w:val="0"/>
          <w:numId w:val="1005"/>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5"/>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5"/>
        </w:numPr>
      </w:pPr>
      <w:r>
        <w:rPr>
          <w:rStyle w:val="VerbatimChar"/>
        </w:rPr>
        <w:t xml:space="preserve">AVE.CONT</w:t>
      </w:r>
      <w:r>
        <w:t xml:space="preserve">=2,177 заявок от клиентов в среднем были в очереди;</w:t>
      </w:r>
    </w:p>
    <w:p>
      <w:pPr>
        <w:numPr>
          <w:ilvl w:val="0"/>
          <w:numId w:val="1005"/>
        </w:numPr>
      </w:pPr>
      <w:r>
        <w:rPr>
          <w:rStyle w:val="VerbatimChar"/>
        </w:rPr>
        <w:t xml:space="preserve">AVE.TIME</w:t>
      </w:r>
      <w:r>
        <w:t xml:space="preserve">=883,029 секунд в среднем заявки от клиентов провели в очереди (с учётом всех входов в очередь);</w:t>
      </w:r>
    </w:p>
    <w:p>
      <w:pPr>
        <w:numPr>
          <w:ilvl w:val="0"/>
          <w:numId w:val="1005"/>
        </w:numPr>
      </w:pPr>
      <w:r>
        <w:rPr>
          <w:rStyle w:val="VerbatimChar"/>
        </w:rPr>
        <w:t xml:space="preserve">AVE.(–0)</w:t>
      </w:r>
      <w:r>
        <w:t xml:space="preserve">=935,747 секунд в среднем заявки от клиентов провели в очереди (без учета «нулевых» входов в очередь).</w:t>
      </w:r>
    </w:p>
    <w:p>
      <w:pPr>
        <w:numPr>
          <w:ilvl w:val="0"/>
          <w:numId w:val="1005"/>
        </w:numPr>
      </w:pPr>
      <w:r>
        <w:rPr>
          <w:rStyle w:val="VerbatimChar"/>
        </w:rPr>
        <w:t xml:space="preserve">QUEUE</w:t>
      </w:r>
      <w:r>
        <w:t xml:space="preserve">=QS2 – имя объекта типа «очередь» для второго типа заявок;</w:t>
      </w:r>
    </w:p>
    <w:p>
      <w:pPr>
        <w:numPr>
          <w:ilvl w:val="0"/>
          <w:numId w:val="1005"/>
        </w:numPr>
      </w:pPr>
      <w:r>
        <w:rPr>
          <w:rStyle w:val="VerbatimChar"/>
        </w:rPr>
        <w:t xml:space="preserve">MAX</w:t>
      </w:r>
      <w:r>
        <w:t xml:space="preserve">=3 – максимальное число ожидающих заявок от клиента в очереди;</w:t>
      </w:r>
    </w:p>
    <w:p>
      <w:pPr>
        <w:numPr>
          <w:ilvl w:val="0"/>
          <w:numId w:val="1005"/>
        </w:numPr>
      </w:pPr>
      <w:r>
        <w:rPr>
          <w:rStyle w:val="VerbatimChar"/>
        </w:rPr>
        <w:t xml:space="preserve">CONT</w:t>
      </w:r>
      <w:r>
        <w:t xml:space="preserve">=2 – количество заявок в очереди на момент завершения моделирования;</w:t>
      </w:r>
    </w:p>
    <w:p>
      <w:pPr>
        <w:numPr>
          <w:ilvl w:val="0"/>
          <w:numId w:val="1005"/>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5"/>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5"/>
        </w:numPr>
      </w:pPr>
      <w:r>
        <w:rPr>
          <w:rStyle w:val="VerbatimChar"/>
        </w:rPr>
        <w:t xml:space="preserve">AVE.CONT</w:t>
      </w:r>
      <w:r>
        <w:t xml:space="preserve">=0,439 заявок от клиентов в среднем были в очереди;</w:t>
      </w:r>
    </w:p>
    <w:p>
      <w:pPr>
        <w:numPr>
          <w:ilvl w:val="0"/>
          <w:numId w:val="1005"/>
        </w:numPr>
      </w:pPr>
      <w:r>
        <w:rPr>
          <w:rStyle w:val="VerbatimChar"/>
        </w:rPr>
        <w:t xml:space="preserve">AVE.TIME</w:t>
      </w:r>
      <w:r>
        <w:t xml:space="preserve">=152,399 секунд в среднем заявки от клиентов провели в очереди (с учётом всех входов в очередь);</w:t>
      </w:r>
    </w:p>
    <w:p>
      <w:pPr>
        <w:numPr>
          <w:ilvl w:val="0"/>
          <w:numId w:val="1005"/>
        </w:numPr>
      </w:pPr>
      <w:r>
        <w:rPr>
          <w:rStyle w:val="VerbatimChar"/>
        </w:rPr>
        <w:t xml:space="preserve">AVE.(–0)</w:t>
      </w:r>
      <w:r>
        <w:t xml:space="preserve">=156,162 секунд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numPr>
          <w:ilvl w:val="0"/>
          <w:numId w:val="1006"/>
        </w:numPr>
        <w:pStyle w:val="Compact"/>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numPr>
          <w:ilvl w:val="0"/>
          <w:numId w:val="1006"/>
        </w:numPr>
        <w:pStyle w:val="Compact"/>
      </w:pPr>
      <w:r>
        <w:rPr>
          <w:rStyle w:val="VerbatimChar"/>
        </w:rPr>
        <w:t xml:space="preserve">PRI</w:t>
      </w:r>
      <w:r>
        <w:t xml:space="preserve">=1 – следующая заявка с приоритетом 1, то есть первого типа;</w:t>
      </w:r>
    </w:p>
    <w:p>
      <w:pPr>
        <w:numPr>
          <w:ilvl w:val="0"/>
          <w:numId w:val="1006"/>
        </w:numPr>
        <w:pStyle w:val="Compact"/>
      </w:pPr>
      <w:r>
        <w:rPr>
          <w:rStyle w:val="VerbatimChar"/>
        </w:rPr>
        <w:t xml:space="preserve">BDT</w:t>
      </w:r>
      <w:r>
        <w:t xml:space="preserve">=28815,063 – время назначенного события, связанного с данным транзактом;</w:t>
      </w:r>
    </w:p>
    <w:p>
      <w:pPr>
        <w:numPr>
          <w:ilvl w:val="0"/>
          <w:numId w:val="1006"/>
        </w:numPr>
        <w:pStyle w:val="Compact"/>
      </w:pPr>
      <w:r>
        <w:rPr>
          <w:rStyle w:val="VerbatimChar"/>
        </w:rPr>
        <w:t xml:space="preserve">ASSEM</w:t>
      </w:r>
      <w:r>
        <w:t xml:space="preserve">=141 – номер семейства транзактов;</w:t>
      </w:r>
    </w:p>
    <w:p>
      <w:pPr>
        <w:numPr>
          <w:ilvl w:val="0"/>
          <w:numId w:val="1006"/>
        </w:numPr>
        <w:pStyle w:val="Compact"/>
      </w:pPr>
      <w:r>
        <w:rPr>
          <w:rStyle w:val="VerbatimChar"/>
        </w:rPr>
        <w:t xml:space="preserve">CURRENT</w:t>
      </w:r>
      <w:r>
        <w:t xml:space="preserve">=5 – номер блока, в котором находится транзакт;</w:t>
      </w:r>
    </w:p>
    <w:p>
      <w:pPr>
        <w:numPr>
          <w:ilvl w:val="0"/>
          <w:numId w:val="1006"/>
        </w:numPr>
        <w:pStyle w:val="Compact"/>
      </w:pPr>
      <w:r>
        <w:rPr>
          <w:rStyle w:val="VerbatimChar"/>
        </w:rPr>
        <w:t xml:space="preserve">NEXT</w:t>
      </w:r>
      <w:r>
        <w:t xml:space="preserve">=6 – номер блока, в который должен войти транзакт.</w:t>
      </w:r>
    </w:p>
    <w:bookmarkEnd w:id="31"/>
    <w:bookmarkStart w:id="44" w:name="Xf2c53700e2ed52c994f143e6374ea902f84194b"/>
    <w:p>
      <w:pPr>
        <w:pStyle w:val="Heading2"/>
      </w:pPr>
      <w:r>
        <w:rPr>
          <w:rStyle w:val="SectionNumber"/>
        </w:rPr>
        <w:t xml:space="preserve">4.2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w:t>
      </w:r>
      <w:r>
        <w:t xml:space="preserve"> </w:t>
      </w:r>
      <w:r>
        <w:t xml:space="preserve">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Параметры модели:</w:t>
      </w:r>
    </w:p>
    <w:p>
      <w:pPr>
        <w:numPr>
          <w:ilvl w:val="0"/>
          <w:numId w:val="1007"/>
        </w:numPr>
      </w:pPr>
      <w:r>
        <w:t xml:space="preserve">для корабля первого типа:</w:t>
      </w:r>
    </w:p>
    <w:p>
      <w:pPr>
        <w:numPr>
          <w:ilvl w:val="1"/>
          <w:numId w:val="1008"/>
        </w:numPr>
        <w:pStyle w:val="Compact"/>
      </w:pPr>
      <w:r>
        <w:t xml:space="preserve">интервал прибытия: 130 ± 30 мин;</w:t>
      </w:r>
    </w:p>
    <w:p>
      <w:pPr>
        <w:numPr>
          <w:ilvl w:val="1"/>
          <w:numId w:val="1008"/>
        </w:numPr>
        <w:pStyle w:val="Compact"/>
      </w:pPr>
      <w:r>
        <w:t xml:space="preserve">время входа в порт: 30 ± 7 мин;</w:t>
      </w:r>
    </w:p>
    <w:p>
      <w:pPr>
        <w:numPr>
          <w:ilvl w:val="1"/>
          <w:numId w:val="1008"/>
        </w:numPr>
        <w:pStyle w:val="Compact"/>
      </w:pPr>
      <w:r>
        <w:t xml:space="preserve">количество доступных причалов: 6;</w:t>
      </w:r>
    </w:p>
    <w:p>
      <w:pPr>
        <w:numPr>
          <w:ilvl w:val="1"/>
          <w:numId w:val="1008"/>
        </w:numPr>
        <w:pStyle w:val="Compact"/>
      </w:pPr>
      <w:r>
        <w:t xml:space="preserve">время погрузки/разгрузки: 12 ± 2 час;</w:t>
      </w:r>
    </w:p>
    <w:p>
      <w:pPr>
        <w:numPr>
          <w:ilvl w:val="1"/>
          <w:numId w:val="1008"/>
        </w:numPr>
        <w:pStyle w:val="Compact"/>
      </w:pPr>
      <w:r>
        <w:t xml:space="preserve">время выхода из порта: 20 ± 5 мин;</w:t>
      </w:r>
    </w:p>
    <w:p>
      <w:pPr>
        <w:numPr>
          <w:ilvl w:val="0"/>
          <w:numId w:val="1007"/>
        </w:numPr>
      </w:pPr>
      <w:r>
        <w:t xml:space="preserve">для корабля второго типа:</w:t>
      </w:r>
    </w:p>
    <w:p>
      <w:pPr>
        <w:numPr>
          <w:ilvl w:val="1"/>
          <w:numId w:val="1009"/>
        </w:numPr>
        <w:pStyle w:val="Compact"/>
      </w:pPr>
      <w:r>
        <w:t xml:space="preserve">интервал прибытия: 390 ± 60 мин;</w:t>
      </w:r>
    </w:p>
    <w:p>
      <w:pPr>
        <w:numPr>
          <w:ilvl w:val="1"/>
          <w:numId w:val="1009"/>
        </w:numPr>
        <w:pStyle w:val="Compact"/>
      </w:pPr>
      <w:r>
        <w:t xml:space="preserve">время входа в порт: 45 ± 12 мин;</w:t>
      </w:r>
    </w:p>
    <w:p>
      <w:pPr>
        <w:numPr>
          <w:ilvl w:val="1"/>
          <w:numId w:val="1009"/>
        </w:numPr>
        <w:pStyle w:val="Compact"/>
      </w:pPr>
      <w:r>
        <w:t xml:space="preserve">количество доступных причалов: 3;</w:t>
      </w:r>
    </w:p>
    <w:p>
      <w:pPr>
        <w:numPr>
          <w:ilvl w:val="1"/>
          <w:numId w:val="1009"/>
        </w:numPr>
        <w:pStyle w:val="Compact"/>
      </w:pPr>
      <w:r>
        <w:t xml:space="preserve">время погрузки/разгрузки: 18 ± 4 час;</w:t>
      </w:r>
    </w:p>
    <w:p>
      <w:pPr>
        <w:numPr>
          <w:ilvl w:val="1"/>
          <w:numId w:val="1009"/>
        </w:numPr>
        <w:pStyle w:val="Compact"/>
      </w:pPr>
      <w:r>
        <w:t xml:space="preserve">время выхода из порта: 35 ± 10 мин.</w:t>
      </w:r>
    </w:p>
    <w:p>
      <w:pPr>
        <w:numPr>
          <w:ilvl w:val="1"/>
          <w:numId w:val="1009"/>
        </w:numPr>
        <w:pStyle w:val="Compact"/>
      </w:pPr>
      <w:r>
        <w:t xml:space="preserve">время моделирования: 365 дней по 8 часов.</w:t>
      </w:r>
    </w:p>
    <w:p>
      <w:pPr>
        <w:pStyle w:val="FirstParagraph"/>
      </w:pPr>
      <w:r>
        <w:t xml:space="preserve">Код программы будет следующим(рис.</w:t>
      </w:r>
      <w:r>
        <w:t xml:space="preserve"> </w:t>
      </w:r>
      <w:hyperlink w:anchor="fig:003">
        <w:r>
          <w:rPr>
            <w:rStyle w:val="Hyperlink"/>
          </w:rPr>
          <w:t xml:space="preserve">3</w:t>
        </w:r>
      </w:hyperlink>
      <w:r>
        <w:t xml:space="preserve">).</w:t>
      </w:r>
    </w:p>
    <w:bookmarkStart w:id="0" w:name="fig:003"/>
    <w:p>
      <w:pPr>
        <w:pStyle w:val="CaptionedFigure"/>
      </w:pPr>
      <w:bookmarkStart w:id="35" w:name="fig:003"/>
      <w:r>
        <w:drawing>
          <wp:inline>
            <wp:extent cx="5334000" cy="6500368"/>
            <wp:effectExtent b="0" l="0" r="0" t="0"/>
            <wp:docPr descr="Figure 3: Модель обслуживания в порту судов двух типов" title="" id="33" name="Picture"/>
            <a:graphic>
              <a:graphicData uri="http://schemas.openxmlformats.org/drawingml/2006/picture">
                <pic:pic>
                  <pic:nvPicPr>
                    <pic:cNvPr descr="image/3.png" id="34" name="Picture"/>
                    <pic:cNvPicPr>
                      <a:picLocks noChangeArrowheads="1" noChangeAspect="1"/>
                    </pic:cNvPicPr>
                  </pic:nvPicPr>
                  <pic:blipFill>
                    <a:blip r:embed="rId32"/>
                    <a:stretch>
                      <a:fillRect/>
                    </a:stretch>
                  </pic:blipFill>
                  <pic:spPr bwMode="auto">
                    <a:xfrm>
                      <a:off x="0" y="0"/>
                      <a:ext cx="5334000" cy="6500368"/>
                    </a:xfrm>
                    <a:prstGeom prst="rect">
                      <a:avLst/>
                    </a:prstGeom>
                    <a:noFill/>
                    <a:ln w="9525">
                      <a:noFill/>
                      <a:headEnd/>
                      <a:tailEnd/>
                    </a:ln>
                  </pic:spPr>
                </pic:pic>
              </a:graphicData>
            </a:graphic>
          </wp:inline>
        </w:drawing>
      </w:r>
      <w:bookmarkEnd w:id="35"/>
    </w:p>
    <w:p>
      <w:pPr>
        <w:pStyle w:val="ImageCaption"/>
      </w:pPr>
      <w:r>
        <w:t xml:space="preserve">Figure 3: Модель обслуживания в порту судов двух типов</w:t>
      </w:r>
    </w:p>
    <w:bookmarkEnd w:id="0"/>
    <w:p>
      <w:pPr>
        <w:pStyle w:val="BodyText"/>
      </w:pPr>
      <w:r>
        <w:t xml:space="preserve">Получим отчет симуляции (рис.</w:t>
      </w:r>
      <w:r>
        <w:t xml:space="preserve"> </w:t>
      </w:r>
      <w:hyperlink w:anchor="fig:004">
        <w:r>
          <w:rPr>
            <w:rStyle w:val="Hyperlink"/>
          </w:rPr>
          <w:t xml:space="preserve">4</w:t>
        </w:r>
      </w:hyperlink>
      <w:r>
        <w:t xml:space="preserve">,</w:t>
      </w:r>
      <w:r>
        <w:t xml:space="preserve"> </w:t>
      </w:r>
      <w:hyperlink w:anchor="fig:005">
        <w:r>
          <w:rPr>
            <w:rStyle w:val="Hyperlink"/>
          </w:rPr>
          <w:t xml:space="preserve">5</w:t>
        </w:r>
      </w:hyperlink>
      <w:r>
        <w:t xml:space="preserve">).</w:t>
      </w:r>
    </w:p>
    <w:bookmarkStart w:id="0" w:name="fig:004"/>
    <w:p>
      <w:pPr>
        <w:pStyle w:val="CaptionedFigure"/>
      </w:pPr>
      <w:bookmarkStart w:id="39" w:name="fig:004"/>
      <w:r>
        <w:drawing>
          <wp:inline>
            <wp:extent cx="5334000" cy="4354940"/>
            <wp:effectExtent b="0" l="0" r="0" t="0"/>
            <wp:docPr descr="Figure 4: Отчёт по модели обслуживания в порту судов двух типов" title="" id="37" name="Picture"/>
            <a:graphic>
              <a:graphicData uri="http://schemas.openxmlformats.org/drawingml/2006/picture">
                <pic:pic>
                  <pic:nvPicPr>
                    <pic:cNvPr descr="image/4.png" id="38" name="Picture"/>
                    <pic:cNvPicPr>
                      <a:picLocks noChangeArrowheads="1" noChangeAspect="1"/>
                    </pic:cNvPicPr>
                  </pic:nvPicPr>
                  <pic:blipFill>
                    <a:blip r:embed="rId36"/>
                    <a:stretch>
                      <a:fillRect/>
                    </a:stretch>
                  </pic:blipFill>
                  <pic:spPr bwMode="auto">
                    <a:xfrm>
                      <a:off x="0" y="0"/>
                      <a:ext cx="5334000" cy="4354940"/>
                    </a:xfrm>
                    <a:prstGeom prst="rect">
                      <a:avLst/>
                    </a:prstGeom>
                    <a:noFill/>
                    <a:ln w="9525">
                      <a:noFill/>
                      <a:headEnd/>
                      <a:tailEnd/>
                    </a:ln>
                  </pic:spPr>
                </pic:pic>
              </a:graphicData>
            </a:graphic>
          </wp:inline>
        </w:drawing>
      </w:r>
      <w:bookmarkEnd w:id="39"/>
    </w:p>
    <w:p>
      <w:pPr>
        <w:pStyle w:val="ImageCaption"/>
      </w:pPr>
      <w:r>
        <w:t xml:space="preserve">Figure 4: Отчёт по модели обслуживания в порту судов двух типов</w:t>
      </w:r>
    </w:p>
    <w:bookmarkEnd w:id="0"/>
    <w:bookmarkStart w:id="0" w:name="fig:005"/>
    <w:p>
      <w:pPr>
        <w:pStyle w:val="CaptionedFigure"/>
      </w:pPr>
      <w:bookmarkStart w:id="43" w:name="fig:005"/>
      <w:r>
        <w:drawing>
          <wp:inline>
            <wp:extent cx="5334000" cy="5805277"/>
            <wp:effectExtent b="0" l="0" r="0" t="0"/>
            <wp:docPr descr="Figure 5: Отчёт по модели обслуживания в порту судов двух типов" title="" id="41" name="Picture"/>
            <a:graphic>
              <a:graphicData uri="http://schemas.openxmlformats.org/drawingml/2006/picture">
                <pic:pic>
                  <pic:nvPicPr>
                    <pic:cNvPr descr="image/5.png" id="42" name="Picture"/>
                    <pic:cNvPicPr>
                      <a:picLocks noChangeArrowheads="1" noChangeAspect="1"/>
                    </pic:cNvPicPr>
                  </pic:nvPicPr>
                  <pic:blipFill>
                    <a:blip r:embed="rId40"/>
                    <a:stretch>
                      <a:fillRect/>
                    </a:stretch>
                  </pic:blipFill>
                  <pic:spPr bwMode="auto">
                    <a:xfrm>
                      <a:off x="0" y="0"/>
                      <a:ext cx="5334000" cy="5805277"/>
                    </a:xfrm>
                    <a:prstGeom prst="rect">
                      <a:avLst/>
                    </a:prstGeom>
                    <a:noFill/>
                    <a:ln w="9525">
                      <a:noFill/>
                      <a:headEnd/>
                      <a:tailEnd/>
                    </a:ln>
                  </pic:spPr>
                </pic:pic>
              </a:graphicData>
            </a:graphic>
          </wp:inline>
        </w:drawing>
      </w:r>
      <w:bookmarkEnd w:id="43"/>
    </w:p>
    <w:p>
      <w:pPr>
        <w:pStyle w:val="ImageCaption"/>
      </w:pPr>
      <w:r>
        <w:t xml:space="preserve">Figure 5: Отчёт по модели обслуживания в порту судов двух типов</w:t>
      </w:r>
    </w:p>
    <w:bookmarkEnd w:id="0"/>
    <w:p>
      <w:pPr>
        <w:pStyle w:val="BodyText"/>
      </w:pPr>
      <w:r>
        <w:t xml:space="preserve">Проанализируем отчёт:</w:t>
      </w:r>
    </w:p>
    <w:p>
      <w:pPr>
        <w:numPr>
          <w:ilvl w:val="0"/>
          <w:numId w:val="1010"/>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10"/>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=175200.000;</w:t>
      </w:r>
    </w:p>
    <w:p>
      <w:pPr>
        <w:numPr>
          <w:ilvl w:val="0"/>
          <w:numId w:val="1010"/>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numPr>
          <w:ilvl w:val="0"/>
          <w:numId w:val="1010"/>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numPr>
          <w:ilvl w:val="0"/>
          <w:numId w:val="1010"/>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buks</w:t>
      </w:r>
      <w:r>
        <w:t xml:space="preserve">,</w:t>
      </w:r>
      <w:r>
        <w:t xml:space="preserve"> </w:t>
      </w:r>
      <w:r>
        <w:rPr>
          <w:rStyle w:val="VerbatimChar"/>
        </w:rPr>
        <w:t xml:space="preserve">prch1</w:t>
      </w:r>
      <w:r>
        <w:t xml:space="preserve">,</w:t>
      </w:r>
      <w:r>
        <w:t xml:space="preserve"> </w:t>
      </w:r>
      <w:r>
        <w:rPr>
          <w:rStyle w:val="VerbatimChar"/>
        </w:rPr>
        <w:t xml:space="preserve">prch2</w:t>
      </w:r>
      <w:r>
        <w:t xml:space="preserve">,</w:t>
      </w:r>
      <w:r>
        <w:t xml:space="preserve"> </w:t>
      </w:r>
      <w:r>
        <w:rPr>
          <w:rStyle w:val="VerbatimChar"/>
        </w:rPr>
        <w:t xml:space="preserve">type1</w:t>
      </w:r>
      <w:r>
        <w:t xml:space="preserve">,</w:t>
      </w:r>
      <w:r>
        <w:t xml:space="preserve"> </w:t>
      </w:r>
      <w:r>
        <w:rPr>
          <w:rStyle w:val="VerbatimChar"/>
        </w:rPr>
        <w:t xml:space="preserve">type2</w:t>
      </w:r>
      <w:r>
        <w:t xml:space="preserve">.</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11"/>
        </w:numPr>
      </w:pPr>
      <w:r>
        <w:rPr>
          <w:rStyle w:val="VerbatimChar"/>
        </w:rPr>
        <w:t xml:space="preserve">QUEUE</w:t>
      </w:r>
      <w:r>
        <w:t xml:space="preserve">=TYPE1 – имя объекта типа «очередь» для первого типа судов;</w:t>
      </w:r>
    </w:p>
    <w:p>
      <w:pPr>
        <w:numPr>
          <w:ilvl w:val="0"/>
          <w:numId w:val="1011"/>
        </w:numPr>
      </w:pPr>
      <w:r>
        <w:rPr>
          <w:rStyle w:val="VerbatimChar"/>
        </w:rPr>
        <w:t xml:space="preserve">MAX</w:t>
      </w:r>
      <w:r>
        <w:t xml:space="preserve">=4 – максимальное число ожидающих заявок от клиента в очереди;</w:t>
      </w:r>
    </w:p>
    <w:p>
      <w:pPr>
        <w:numPr>
          <w:ilvl w:val="0"/>
          <w:numId w:val="1011"/>
        </w:numPr>
      </w:pPr>
      <w:r>
        <w:rPr>
          <w:rStyle w:val="VerbatimChar"/>
        </w:rPr>
        <w:t xml:space="preserve">CONT</w:t>
      </w:r>
      <w:r>
        <w:t xml:space="preserve">=0 – на момент завершения моделирования очередь была пуста;</w:t>
      </w:r>
    </w:p>
    <w:p>
      <w:pPr>
        <w:numPr>
          <w:ilvl w:val="0"/>
          <w:numId w:val="1011"/>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11"/>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11"/>
        </w:numPr>
      </w:pPr>
      <w:r>
        <w:rPr>
          <w:rStyle w:val="VerbatimChar"/>
        </w:rPr>
        <w:t xml:space="preserve">AVE.CONT</w:t>
      </w:r>
      <w:r>
        <w:t xml:space="preserve">=0,750 заявок от клиентов в среднем были в очереди;</w:t>
      </w:r>
    </w:p>
    <w:p>
      <w:pPr>
        <w:numPr>
          <w:ilvl w:val="0"/>
          <w:numId w:val="1011"/>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11"/>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11"/>
        </w:numPr>
      </w:pPr>
      <w:r>
        <w:rPr>
          <w:rStyle w:val="VerbatimChar"/>
        </w:rPr>
        <w:t xml:space="preserve">QUEUE</w:t>
      </w:r>
      <w:r>
        <w:t xml:space="preserve">=TYPE2 – имя объекта типа «очередь» для второго типа судов;</w:t>
      </w:r>
    </w:p>
    <w:p>
      <w:pPr>
        <w:numPr>
          <w:ilvl w:val="0"/>
          <w:numId w:val="1011"/>
        </w:numPr>
      </w:pPr>
      <w:r>
        <w:rPr>
          <w:rStyle w:val="VerbatimChar"/>
        </w:rPr>
        <w:t xml:space="preserve">MAX</w:t>
      </w:r>
      <w:r>
        <w:t xml:space="preserve">=4 – максимальное число ожидающих заявок от клиента в очереди;</w:t>
      </w:r>
    </w:p>
    <w:p>
      <w:pPr>
        <w:numPr>
          <w:ilvl w:val="0"/>
          <w:numId w:val="1011"/>
        </w:numPr>
      </w:pPr>
      <w:r>
        <w:rPr>
          <w:rStyle w:val="VerbatimChar"/>
        </w:rPr>
        <w:t xml:space="preserve">CONT</w:t>
      </w:r>
      <w:r>
        <w:t xml:space="preserve">=2 – количество заявок в очереди на момент завершения моделирования;</w:t>
      </w:r>
    </w:p>
    <w:p>
      <w:pPr>
        <w:numPr>
          <w:ilvl w:val="0"/>
          <w:numId w:val="1011"/>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11"/>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11"/>
        </w:numPr>
      </w:pPr>
      <w:r>
        <w:rPr>
          <w:rStyle w:val="VerbatimChar"/>
        </w:rPr>
        <w:t xml:space="preserve">AVE.CONT</w:t>
      </w:r>
      <w:r>
        <w:t xml:space="preserve">=0,897 заявок от клиентов в среднем были в очереди;</w:t>
      </w:r>
    </w:p>
    <w:p>
      <w:pPr>
        <w:numPr>
          <w:ilvl w:val="0"/>
          <w:numId w:val="1011"/>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11"/>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многоканальных устройствах</w:t>
      </w:r>
      <w:r>
        <w:t xml:space="preserve"> </w:t>
      </w:r>
      <w:r>
        <w:rPr>
          <w:rStyle w:val="VerbatimChar"/>
        </w:rPr>
        <w:t xml:space="preserve">STORAGE</w:t>
      </w:r>
      <w:r>
        <w:t xml:space="preserve">. У нас указано, что первого типа причалов 6, второго – три, а буксиров 2.</w:t>
      </w:r>
    </w:p>
    <w:p>
      <w:pPr>
        <w:pStyle w:val="BodyText"/>
      </w:pPr>
      <w:r>
        <w:t xml:space="preserve">Видим, что к первому типу причалов</w:t>
      </w:r>
      <w:r>
        <w:t xml:space="preserve"> </w:t>
      </w:r>
      <w:r>
        <w:rPr>
          <w:rStyle w:val="VerbatimChar"/>
        </w:rPr>
        <w:t xml:space="preserve">PRCH1</w:t>
      </w:r>
      <w:r>
        <w:t xml:space="preserve"> </w:t>
      </w:r>
      <w:r>
        <w:t xml:space="preserve">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w:t>
      </w:r>
      <w:r>
        <w:t xml:space="preserve"> </w:t>
      </w:r>
      <w:r>
        <w:rPr>
          <w:rStyle w:val="VerbatimChar"/>
        </w:rPr>
        <w:t xml:space="preserve">PRCH1</w:t>
      </w:r>
      <w:r>
        <w:t xml:space="preserve"> </w:t>
      </w:r>
      <w:r>
        <w:t xml:space="preserve">на обработку попало всего 444 судов(второго типа). Полезность работы причалов составила 0,983. При этом среднее время занятости причалов составило 2,950 мин.</w:t>
      </w:r>
    </w:p>
    <w:p>
      <w:pPr>
        <w:pStyle w:val="BodyText"/>
      </w:pPr>
      <w:r>
        <w:t xml:space="preserve">Есть два буксира</w:t>
      </w:r>
      <w:r>
        <w:t xml:space="preserve"> </w:t>
      </w:r>
      <w:r>
        <w:rPr>
          <w:rStyle w:val="VerbatimChar"/>
        </w:rPr>
        <w:t xml:space="preserve">buks</w:t>
      </w:r>
      <w:r>
        <w:t xml:space="preserve">. К ним поступили судна 4454 раз. Полезность работы – 0,393, среднее время занятости – 0,786.</w:t>
      </w:r>
    </w:p>
    <w:p>
      <w:pPr>
        <w:pStyle w:val="BodyText"/>
      </w:pPr>
      <w:r>
        <w:t xml:space="preserve">Далее идёт информация о будущих событиях.</w:t>
      </w:r>
    </w:p>
    <w:bookmarkEnd w:id="44"/>
    <w:bookmarkEnd w:id="45"/>
    <w:bookmarkStart w:id="46"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я выполнила моделирование обслуживания с приоритетами и провела анализ результатов.</w:t>
      </w:r>
    </w:p>
    <w:bookmarkEnd w:id="46"/>
    <w:bookmarkStart w:id="51" w:name="список-литературы"/>
    <w:p>
      <w:pPr>
        <w:pStyle w:val="Heading1"/>
      </w:pPr>
      <w:r>
        <w:t xml:space="preserve">Список литературы</w:t>
      </w:r>
    </w:p>
    <w:bookmarkStart w:id="50" w:name="refs"/>
    <w:bookmarkStart w:id="48" w:name="ref-first"/>
    <w:p>
      <w:pPr>
        <w:pStyle w:val="Bibliography"/>
      </w:pPr>
      <w:r>
        <w:t xml:space="preserve">1.</w:t>
      </w:r>
      <w:r>
        <w:t xml:space="preserve"> </w:t>
      </w:r>
      <w:r>
        <w:t xml:space="preserve">	</w:t>
      </w:r>
      <w:r>
        <w:t xml:space="preserve">GPSS-WORLD, основы имитационного моделирования на живых примерах</w:t>
      </w:r>
      <w:r>
        <w:t xml:space="preserve"> </w:t>
      </w:r>
      <w:r>
        <w:t xml:space="preserve">[Электронный ресурс]. URL:</w:t>
      </w:r>
      <w:r>
        <w:t xml:space="preserve"> </w:t>
      </w:r>
      <w:hyperlink r:id="rId47">
        <w:r>
          <w:rPr>
            <w:rStyle w:val="Hyperlink"/>
          </w:rPr>
          <w:t xml:space="preserve">https://habr.com/ru/articles/192044/</w:t>
        </w:r>
      </w:hyperlink>
      <w:r>
        <w:t xml:space="preserve">.</w:t>
      </w:r>
    </w:p>
    <w:bookmarkEnd w:id="48"/>
    <w:bookmarkStart w:id="49" w:name="ref-second"/>
    <w:p>
      <w:pPr>
        <w:pStyle w:val="Bibliography"/>
      </w:pPr>
      <w:r>
        <w:t xml:space="preserve">2.</w:t>
      </w:r>
      <w:r>
        <w:t xml:space="preserve"> </w:t>
      </w:r>
      <w:r>
        <w:t xml:space="preserve">	</w:t>
      </w:r>
      <w:r>
        <w:t xml:space="preserve">М. К.Е. GPSS World. Основы имитационного моделирования различных систем. Москва: ДМК Пресс, 2004. 318 с.</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47" Target="https://habr.com/ru/articles/192044/" TargetMode="External" /></Relationships>
</file>

<file path=word/_rels/footnotes.xml.rels><?xml version="1.0" encoding="UTF-8"?><Relationships xmlns="http://schemas.openxmlformats.org/package/2006/relationships"><Relationship Type="http://schemas.openxmlformats.org/officeDocument/2006/relationships/hyperlink" Id="rId47" Target="https://habr.com/ru/articles/1920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№15</dc:title>
  <dc:creator>Ганина Таисия Сергеевна, НФИбд-01-22</dc:creator>
  <dc:language>ru-RU</dc:language>
  <cp:keywords/>
  <dcterms:created xsi:type="dcterms:W3CDTF">2025-05-02T12:43:59Z</dcterms:created>
  <dcterms:modified xsi:type="dcterms:W3CDTF">2025-05-02T12:43:59Z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Имитационное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