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с двумя очередями;</w:t>
      </w:r>
    </w:p>
    <w:p>
      <w:pPr>
        <w:numPr>
          <w:ilvl w:val="0"/>
          <w:numId w:val="1001"/>
        </w:numPr>
        <w:pStyle w:val="Compact"/>
      </w:pPr>
      <w:r>
        <w:t xml:space="preserve">модель с одной очередью;</w:t>
      </w:r>
    </w:p>
    <w:p>
      <w:pPr>
        <w:numPr>
          <w:ilvl w:val="0"/>
          <w:numId w:val="1001"/>
        </w:numPr>
        <w:pStyle w:val="Compact"/>
      </w:pPr>
      <w:r>
        <w:t xml:space="preserve">изменить модели, чтобы определить оптимальное число пропускных пунктов.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постановка-задачи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На пограничном контрольно -пропускном пункте транспорта имеются 2 пункта пропуска. Интервалы времени между поступлением автомобилей имеют экспоненциальное распределение со средним значением</w:t>
      </w:r>
      <w:r>
        <w:t xml:space="preserve"> </w:t>
      </w:r>
      <m:oMath>
        <m:r>
          <m:t>μ</m:t>
        </m:r>
      </m:oMath>
      <w:r>
        <w:t xml:space="preserve">. Время прохождения автомобилями пограничного контроля имеет равномерное распределение на интервале [a, b].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</w:p>
    <w:p>
      <w:pPr>
        <w:numPr>
          <w:ilvl w:val="0"/>
          <w:numId w:val="1003"/>
        </w:numPr>
        <w:pStyle w:val="Compact"/>
      </w:pPr>
      <w:r>
        <w:t xml:space="preserve">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</w:p>
    <w:p>
      <w:pPr>
        <w:numPr>
          <w:ilvl w:val="0"/>
          <w:numId w:val="1003"/>
        </w:numPr>
        <w:pStyle w:val="Compact"/>
      </w:pPr>
      <w:r>
        <w:t xml:space="preserve">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1, 75 мин, a = 1 мин, b = 7 мин.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numPr>
          <w:ilvl w:val="0"/>
          <w:numId w:val="1004"/>
        </w:numPr>
        <w:pStyle w:val="Compact"/>
      </w:pPr>
      <w:r>
        <w:t xml:space="preserve">характеристик качества обслуживания автомобилей, в частности, средних длин очередей; среднего времени обслуживания автомобиля; среднего времени пребывания автомобиля на пункте пропуска;</w:t>
      </w:r>
    </w:p>
    <w:p>
      <w:pPr>
        <w:numPr>
          <w:ilvl w:val="0"/>
          <w:numId w:val="1004"/>
        </w:numPr>
        <w:pStyle w:val="Compact"/>
      </w:pPr>
      <w:r>
        <w:t xml:space="preserve">наилучшей стратегии обслуживания автомобилей на пункте пограничного контроля;</w:t>
      </w:r>
    </w:p>
    <w:p>
      <w:pPr>
        <w:numPr>
          <w:ilvl w:val="0"/>
          <w:numId w:val="1004"/>
        </w:numPr>
        <w:pStyle w:val="Compact"/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  <w:r>
        <w:t xml:space="preserve"> </w:t>
      </w:r>
      <w:r>
        <w:t xml:space="preserve">- коэффициенты загрузки системы;</w:t>
      </w:r>
      <w:r>
        <w:t xml:space="preserve"> </w:t>
      </w:r>
      <w:r>
        <w:t xml:space="preserve">- максимальные и средние длины очередей;</w:t>
      </w:r>
      <w:r>
        <w:t xml:space="preserve"> </w:t>
      </w:r>
      <w:r>
        <w:t xml:space="preserve">- средние значения времени ожидания обслуживания.</w:t>
      </w:r>
    </w:p>
    <w:p>
      <w:pPr>
        <w:pStyle w:val="BodyText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302196"/>
            <wp:effectExtent b="0" l="0" r="0" t="0"/>
            <wp:docPr descr="Figure 1: Модель первой стратегии обслуживания (2 пункта)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Модель первой стратегии обслуживания (2 пункта)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7492030"/>
            <wp:effectExtent b="0" l="0" r="0" t="0"/>
            <wp:docPr descr="Figure 2: Отчёт по модели первой стратегии обслуживания (2 пункта)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Отчёт по модели первой стратегии обслуживания (2 пункта)</w:t>
      </w:r>
    </w:p>
    <w:bookmarkEnd w:id="0"/>
    <w:bookmarkEnd w:id="31"/>
    <w:bookmarkStart w:id="41" w:name="модель-для-второй-стратегии-обслужива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Модель для второй стратегии обслуживания</w:t>
      </w:r>
    </w:p>
    <w:p>
      <w:pPr>
        <w:pStyle w:val="FirstParagraph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пунктом. Теперь мы используем многоканальное устройство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3271706"/>
            <wp:effectExtent b="0" l="0" r="0" t="0"/>
            <wp:docPr descr="Figure 3: Модель второй стратегии обслуживания (2 пункта)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Модель второй стратегии обслуживания (2 пункта)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5656082"/>
            <wp:effectExtent b="0" l="0" r="0" t="0"/>
            <wp:docPr descr="Figure 4: Отчёт по модели второй стратегии обслуживания (2 пункта)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Отчёт по модели второй стратегии обслуживания (2 пункта)</w:t>
      </w:r>
    </w:p>
    <w:bookmarkEnd w:id="0"/>
    <w:p>
      <w:pPr>
        <w:pStyle w:val="BodyText"/>
      </w:pPr>
      <w:r>
        <w:t xml:space="preserve">Сведём полученные статистики моделирования в таблицу (табл. [</w:t>
      </w:r>
      <w:hyperlink w:anchor="tbl:sravni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tbl:sravni"/>
    <w:bookmarkStart w:id="40" w:name="tbl:sravni"/>
    <w:p>
      <w:pPr>
        <w:pStyle w:val="TableCaption"/>
      </w:pPr>
      <w:r>
        <w:t xml:space="preserve">Table 1: Сравнение стратегий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Сравнение стратегий "/>
      </w:tblPr>
      <w:tblGrid>
        <w:gridCol w:w="2996"/>
        <w:gridCol w:w="1391"/>
        <w:gridCol w:w="963"/>
        <w:gridCol w:w="1070"/>
        <w:gridCol w:w="149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Показатель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стратегия 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пункт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пункт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 целом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Поступило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Обслужено автомобилей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Коэффициент загрузки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0,9965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Максимальная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Средняя длина очереди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187,114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374,212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344,466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Среднее время ожидания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644,465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607,138</w:t>
            </w:r>
          </w:p>
        </w:tc>
      </w:tr>
    </w:tbl>
    <w:bookmarkEnd w:id="40"/>
    <w:bookmarkEnd w:id="0"/>
    <w:p>
      <w:pPr>
        <w:pStyle w:val="BodyText"/>
      </w:pPr>
      <w:r>
        <w:t xml:space="preserve">По сравнению видно, что в первой стратегии через два пункта прошло больше автомобилей (5853), из них было обслужено 5076, то есть 777 машин не были приняты (примерно 13%). Во второй стратегии поступило 5719 автомобилей, обслужили 5049, и потери составили 670 машин (около 12%).</w:t>
      </w:r>
    </w:p>
    <w:p>
      <w:pPr>
        <w:pStyle w:val="BodyText"/>
      </w:pPr>
      <w:r>
        <w:t xml:space="preserve">Несмотря на большее количество обслуженных машин в первой стратегии, во второй процент потерь меньше. Также во второй стратегии коэффициент загрузки равен 1, что означает отсутствие простоев. Максимальная и средняя длина очереди, а также среднее время ожидания во второй стратегии тоже ниже. Это говорит о более равномерной и устойчивой работе. В целом, вторая стратегия показала себя лучше с точки зрения эффективности и организации процесса.</w:t>
      </w:r>
    </w:p>
    <w:bookmarkEnd w:id="41"/>
    <w:bookmarkStart w:id="86" w:name="Xf93fd02b9c527d9f12f26d897c7ed4444cb9e0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Оптимизация модели двух стратегий обслуживания</w:t>
      </w:r>
    </w:p>
    <w:p>
      <w:pPr>
        <w:pStyle w:val="FirstParagraph"/>
      </w:pPr>
      <w:r>
        <w:t xml:space="preserve">Теперь нужно поменять модели так, чтобы определить оптимальное число пропускных пунктов (от 1 до 4). Условия:</w:t>
      </w:r>
    </w:p>
    <w:p>
      <w:pPr>
        <w:numPr>
          <w:ilvl w:val="0"/>
          <w:numId w:val="1005"/>
        </w:numPr>
        <w:pStyle w:val="Compact"/>
      </w:pPr>
      <w:r>
        <w:t xml:space="preserve">коэффициент загрузки пропускных пунктов принадлежит интервалу [0, 5; 0, 95];</w:t>
      </w:r>
    </w:p>
    <w:p>
      <w:pPr>
        <w:numPr>
          <w:ilvl w:val="0"/>
          <w:numId w:val="1005"/>
        </w:numPr>
        <w:pStyle w:val="Compact"/>
      </w:pPr>
      <w:r>
        <w:t xml:space="preserve">среднее число автомобилей, одновременно находящихся на контрольно пропускном пункте, не должно превышать 3;</w:t>
      </w:r>
    </w:p>
    <w:p>
      <w:pPr>
        <w:numPr>
          <w:ilvl w:val="0"/>
          <w:numId w:val="1005"/>
        </w:numPr>
        <w:pStyle w:val="Compact"/>
      </w:pPr>
      <w:r>
        <w:t xml:space="preserve">среднее время ожидания обслуживания не должно превышать 4 мин.</w:t>
      </w:r>
    </w:p>
    <w:p>
      <w:pPr>
        <w:pStyle w:val="FirstParagraph"/>
      </w:pPr>
      <w:r>
        <w:t xml:space="preserve">Если у нас 1 пункт, то модель будет выглядеть одинаково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5" w:name="fig:005"/>
      <w:r>
        <w:drawing>
          <wp:inline>
            <wp:extent cx="5334000" cy="3127962"/>
            <wp:effectExtent b="0" l="0" r="0" t="0"/>
            <wp:docPr descr="Figure 5: Модель с одним пропускным пунктом (обе стратегии)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5: Модель с одним пропускным пунктом (обе стратегии)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9" w:name="fig:006"/>
      <w:r>
        <w:drawing>
          <wp:inline>
            <wp:extent cx="5334000" cy="5646095"/>
            <wp:effectExtent b="0" l="0" r="0" t="0"/>
            <wp:docPr descr="Figure 6: Отчёт по модели с одним пропускным пунктом (обе стратегии)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6: Отчёт по модели с одним пропускным пунктом (обе стратегии)</w:t>
      </w:r>
    </w:p>
    <w:bookmarkEnd w:id="0"/>
    <w:p>
      <w:pPr>
        <w:pStyle w:val="BodyText"/>
      </w:pPr>
      <w:r>
        <w:t xml:space="preserve">Здесь легко заметить, что условия не выполняются. Слишком большое время ожидания, коэффициент загрузки равен 1, среднее число автомобилей велико.</w:t>
      </w:r>
    </w:p>
    <w:p>
      <w:pPr>
        <w:pStyle w:val="BodyText"/>
      </w:pPr>
      <w:r>
        <w:t xml:space="preserve">Так как модели с 2 пропускными пунктами у нас уже реализованы, и под условия также не подходят, перейдём к 3 и 4 пунктам.</w:t>
      </w:r>
    </w:p>
    <w:p>
      <w:pPr>
        <w:pStyle w:val="BodyText"/>
      </w:pPr>
      <w:r>
        <w:t xml:space="preserve">Далее попробуем смоделировать три КПП для первой стратегии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3" w:name="fig:007"/>
      <w:r>
        <w:drawing>
          <wp:inline>
            <wp:extent cx="5334000" cy="6056243"/>
            <wp:effectExtent b="0" l="0" r="0" t="0"/>
            <wp:docPr descr="Figure 7: Модель первой стратегии обслуживания (3 пункта)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7: Модель первой стратегии обслуживания (3 пункта)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7" w:name="fig:008"/>
      <w:r>
        <w:drawing>
          <wp:inline>
            <wp:extent cx="5334000" cy="6812732"/>
            <wp:effectExtent b="0" l="0" r="0" t="0"/>
            <wp:docPr descr="Figure 8: Отчёт по модели первой стратегии обслуживания (3 пункта)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8: Отчёт по модели первой стратегии обслуживания (3 пункта)</w:t>
      </w:r>
    </w:p>
    <w:bookmarkEnd w:id="0"/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</w:t>
      </w:r>
    </w:p>
    <w:p>
      <w:pPr>
        <w:pStyle w:val="BodyText"/>
      </w:pPr>
      <w:r>
        <w:t xml:space="preserve">А вот</w:t>
      </w:r>
      <w:r>
        <w:t xml:space="preserve"> </w:t>
      </w:r>
      <w:r>
        <w:rPr>
          <w:bCs/>
          <w:b/>
        </w:rPr>
        <w:t xml:space="preserve">для второй стратегии три КПП – оптимальное количество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1" w:name="fig:009"/>
      <w:r>
        <w:drawing>
          <wp:inline>
            <wp:extent cx="5334000" cy="4247197"/>
            <wp:effectExtent b="0" l="0" r="0" t="0"/>
            <wp:docPr descr="Figure 9: Модель второй стратегии обслуживания (3 пункта)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9: Модель второй стратегии обслуживания (3 пункта)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5" w:name="fig:010"/>
      <w:r>
        <w:drawing>
          <wp:inline>
            <wp:extent cx="5334000" cy="5684292"/>
            <wp:effectExtent b="0" l="0" r="0" t="0"/>
            <wp:docPr descr="Figure 10: Отчёт по модели второй стратегии обслуживания (3 пункта)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10: Отчёт по модели второй стратегии обслуживания (3 пункта)</w:t>
      </w:r>
    </w:p>
    <w:bookmarkEnd w:id="0"/>
    <w:p>
      <w:pPr>
        <w:pStyle w:val="BodyText"/>
      </w:pPr>
      <w:r>
        <w:t xml:space="preserve">В этом случае все критерии выполняются.</w:t>
      </w:r>
    </w:p>
    <w:p>
      <w:pPr>
        <w:pStyle w:val="BodyText"/>
      </w:pPr>
      <w:r>
        <w:t xml:space="preserve">И перейдём к четырём пропускным пунктам. Для первой стратегии получим:(рис.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9" w:name="fig:011"/>
      <w:r>
        <w:drawing>
          <wp:inline>
            <wp:extent cx="5334000" cy="6510617"/>
            <wp:effectExtent b="0" l="0" r="0" t="0"/>
            <wp:docPr descr="Figure 11: Модель первой стратегии обслуживания (4 пункта)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11: Модель первой стратегии обслуживания (4 пункта)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6198453"/>
            <wp:effectExtent b="0" l="0" r="0" t="0"/>
            <wp:docPr descr="Figure 12: Отчёт по модели первой стратегии обслуживания (4 пункта)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Отчёт по модели первой стратегии обслуживания (4 пункта)</w:t>
      </w:r>
    </w:p>
    <w:bookmarkEnd w:id="0"/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5752226"/>
            <wp:effectExtent b="0" l="0" r="0" t="0"/>
            <wp:docPr descr="Figure 13: Отчёт по модели первой стратегии обслуживания (4 пункта)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2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Отчёт по модели первой стратегии обслуживания (4 пункта)</w:t>
      </w:r>
    </w:p>
    <w:bookmarkEnd w:id="0"/>
    <w:p>
      <w:pPr>
        <w:pStyle w:val="BodyText"/>
      </w:pPr>
      <w:r>
        <w:t xml:space="preserve">Для первой стратегии это количество пропускных пунктов (четыре) является оптимальным, так как выполняются все критерии: среднее количество автомобилей в очереди меньше 3 и коэффициент загрузки в нужном диапазоне, а также среднее время ожидания меньше 4.</w:t>
      </w:r>
    </w:p>
    <w:p>
      <w:pPr>
        <w:pStyle w:val="BodyText"/>
      </w:pPr>
      <w:r>
        <w:t xml:space="preserve">И для второй стратегии, хоть мы уже и нашли оптимальное количество КПП, смоделируем работу с 4-мя КПП: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1" w:name="fig:014"/>
      <w:r>
        <w:drawing>
          <wp:inline>
            <wp:extent cx="5334000" cy="4227688"/>
            <wp:effectExtent b="0" l="0" r="0" t="0"/>
            <wp:docPr descr="Figure 14: Модель второй стратегии обслуживания (4 пункта)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14: Модель второй стратегии обслуживания (4 пункта)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5" w:name="fig:015"/>
      <w:r>
        <w:drawing>
          <wp:inline>
            <wp:extent cx="5334000" cy="5791013"/>
            <wp:effectExtent b="0" l="0" r="0" t="0"/>
            <wp:docPr descr="Figure 15: Отчёт по модели второй стратегии обслуживания (4 пункта)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Отчёт по модели второй стратегии обслуживания (4 пункта)</w:t>
      </w:r>
    </w:p>
    <w:bookmarkEnd w:id="0"/>
    <w:p>
      <w:pPr>
        <w:pStyle w:val="BodyText"/>
      </w:pPr>
      <w:r>
        <w:t xml:space="preserve">Все условия выполняются, но по отчёту можно сделать вывод, что четвертый пункт не играет значительной роли, и лишь немного разгружает остальные три пункта, что не является необходимым. Можно сделать вывод, что 4 пропускной пункт излишне разгружает систему.</w:t>
      </w:r>
    </w:p>
    <w:p>
      <w:pPr>
        <w:pStyle w:val="BodyText"/>
      </w:pPr>
      <w:r>
        <w:t xml:space="preserve">В результате анализа наилучшим количеством пропускных пунктов будет</w:t>
      </w:r>
      <w:r>
        <w:t xml:space="preserve"> </w:t>
      </w:r>
      <w:r>
        <w:rPr>
          <w:bCs/>
          <w:b/>
        </w:rPr>
        <w:t xml:space="preserve">3 при втором типе обслуживания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4 при первом</w:t>
      </w:r>
      <w:r>
        <w:t xml:space="preserve">.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реализовала с помощью gpss:</w:t>
      </w:r>
    </w:p>
    <w:p>
      <w:pPr>
        <w:numPr>
          <w:ilvl w:val="0"/>
          <w:numId w:val="1006"/>
        </w:numPr>
        <w:pStyle w:val="Compact"/>
      </w:pPr>
      <w:r>
        <w:t xml:space="preserve">модель с двумя очередями;</w:t>
      </w:r>
    </w:p>
    <w:p>
      <w:pPr>
        <w:numPr>
          <w:ilvl w:val="0"/>
          <w:numId w:val="1006"/>
        </w:numPr>
        <w:pStyle w:val="Compact"/>
      </w:pPr>
      <w:r>
        <w:t xml:space="preserve">модель с одной очередью;</w:t>
      </w:r>
    </w:p>
    <w:p>
      <w:pPr>
        <w:numPr>
          <w:ilvl w:val="0"/>
          <w:numId w:val="1006"/>
        </w:numPr>
        <w:pStyle w:val="Compact"/>
      </w:pPr>
      <w:r>
        <w:t xml:space="preserve">изменить модели, чтобы определить оптимальное число пропускных пунктов.</w:t>
      </w:r>
    </w:p>
    <w:bookmarkEnd w:id="88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Start w:id="90" w:name="ref-firs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GPSS-WORLD, основы имитационного моделирования на живых примерах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89">
        <w:r>
          <w:rPr>
            <w:rStyle w:val="Hyperlink"/>
          </w:rPr>
          <w:t xml:space="preserve">https://habr.com/ru/articles/192044/</w:t>
        </w:r>
      </w:hyperlink>
      <w:r>
        <w:t xml:space="preserve">.</w:t>
      </w:r>
    </w:p>
    <w:bookmarkEnd w:id="90"/>
    <w:bookmarkStart w:id="91" w:name="ref-second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М. К.Е. GPSS World. Основы имитационного моделирования различных систем. Москва: ДМК Пресс, 2004. 318 с.</w:t>
      </w: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89" Target="https://habr.com/ru/articles/1920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habr.com/ru/articles/1920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Ганина Таисия Сергеевна, НФИбд-01-22</dc:creator>
  <dc:language>ru-RU</dc:language>
  <cp:keywords/>
  <dcterms:created xsi:type="dcterms:W3CDTF">2025-05-03T18:22:06Z</dcterms:created>
  <dcterms:modified xsi:type="dcterms:W3CDTF">2025-05-03T18:22:06Z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