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E4BFE1"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American Heartland Rail: A Phased, Economically Viable Intercity Rail Network for the U.S. Midwest and South (Revised)</w:t>
      </w:r>
    </w:p>
    <w:p w14:paraId="4AA1E358"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Slade Gilmer</w:t>
      </w:r>
      <w:r w:rsidRPr="00DC650F">
        <w:rPr>
          <w:rFonts w:ascii="Times New Roman" w:eastAsia="Times New Roman" w:hAnsi="Times New Roman" w:cs="Times New Roman"/>
          <w:sz w:val="24"/>
          <w:szCs w:val="24"/>
        </w:rPr>
        <w:br/>
        <w:t>Graduate Student, University of Alabama in Huntsville</w:t>
      </w:r>
    </w:p>
    <w:p w14:paraId="3F9B812F"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F590FA">
          <v:rect id="_x0000_i1025" style="width:0;height:1.5pt" o:hralign="center" o:hrstd="t" o:hr="t" fillcolor="#a0a0a0" stroked="f"/>
        </w:pict>
      </w:r>
    </w:p>
    <w:p w14:paraId="4BB7B639"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Abstract</w:t>
      </w:r>
    </w:p>
    <w:p w14:paraId="749FD3D5" w14:textId="77777777" w:rsidR="004B1024" w:rsidRPr="004B1024" w:rsidRDefault="004B1024" w:rsidP="004B1024">
      <w:pPr>
        <w:spacing w:before="100" w:beforeAutospacing="1" w:after="100" w:afterAutospacing="1" w:line="240" w:lineRule="auto"/>
        <w:rPr>
          <w:rFonts w:ascii="Times New Roman" w:eastAsia="Times New Roman" w:hAnsi="Times New Roman" w:cs="Times New Roman"/>
          <w:sz w:val="24"/>
          <w:szCs w:val="24"/>
        </w:rPr>
      </w:pPr>
      <w:r w:rsidRPr="004B1024">
        <w:rPr>
          <w:rFonts w:ascii="Times New Roman" w:eastAsia="Times New Roman" w:hAnsi="Times New Roman" w:cs="Times New Roman"/>
          <w:sz w:val="24"/>
          <w:szCs w:val="24"/>
        </w:rPr>
        <w:t>The American Heartland Rail (AHR) system is a proposed intercity passenger rail network connecting the Midwest and Southern United States through a phased, corridor-based approach. A simulation-based network model incorporating generalized cost, mode competition, and frequency-dependent demand was developed and calibrated using Amtrak FY2025 data.</w:t>
      </w:r>
    </w:p>
    <w:p w14:paraId="328E94D5" w14:textId="77777777" w:rsidR="004B1024" w:rsidRPr="004B1024" w:rsidRDefault="004B1024" w:rsidP="004B1024">
      <w:pPr>
        <w:spacing w:before="100" w:beforeAutospacing="1" w:after="100" w:afterAutospacing="1" w:line="240" w:lineRule="auto"/>
        <w:rPr>
          <w:rFonts w:ascii="Times New Roman" w:eastAsia="Times New Roman" w:hAnsi="Times New Roman" w:cs="Times New Roman"/>
          <w:sz w:val="24"/>
          <w:szCs w:val="24"/>
        </w:rPr>
      </w:pPr>
      <w:r w:rsidRPr="004B1024">
        <w:rPr>
          <w:rFonts w:ascii="Times New Roman" w:eastAsia="Times New Roman" w:hAnsi="Times New Roman" w:cs="Times New Roman"/>
          <w:sz w:val="24"/>
          <w:szCs w:val="24"/>
        </w:rPr>
        <w:t>Monte Carlo simulation results indicate that the finalized system achieves mean annual ridership of approximately 9 million passengers, farebox recovery ratios exceeding 1.3, and benefit-cost ratios (BCR) above 2.4. The system demonstrates strong robustness, maintaining farebox recovery above 1.0 in over 90% of simulations and requiring minimal operating subsidy in the vast majority of cases.</w:t>
      </w:r>
    </w:p>
    <w:p w14:paraId="22F06BFF" w14:textId="00D62A1A" w:rsidR="004B1024" w:rsidRPr="004B1024" w:rsidRDefault="004B1024" w:rsidP="004B1024">
      <w:pPr>
        <w:spacing w:before="100" w:beforeAutospacing="1" w:after="100" w:afterAutospacing="1" w:line="240" w:lineRule="auto"/>
        <w:rPr>
          <w:rFonts w:ascii="Times New Roman" w:eastAsia="Times New Roman" w:hAnsi="Times New Roman" w:cs="Times New Roman"/>
          <w:sz w:val="24"/>
          <w:szCs w:val="24"/>
        </w:rPr>
      </w:pPr>
      <w:r w:rsidRPr="004B1024">
        <w:rPr>
          <w:rFonts w:ascii="Times New Roman" w:eastAsia="Times New Roman" w:hAnsi="Times New Roman" w:cs="Times New Roman"/>
          <w:sz w:val="24"/>
          <w:szCs w:val="24"/>
        </w:rPr>
        <w:t>Results show that economically viable intercity rail in the United States can be achieved through</w:t>
      </w:r>
      <w:r w:rsidR="00C332F3">
        <w:rPr>
          <w:rFonts w:ascii="Times New Roman" w:eastAsia="Times New Roman" w:hAnsi="Times New Roman" w:cs="Times New Roman"/>
          <w:sz w:val="24"/>
          <w:szCs w:val="24"/>
        </w:rPr>
        <w:t xml:space="preserve"> network topology and</w:t>
      </w:r>
      <w:r w:rsidRPr="004B1024">
        <w:rPr>
          <w:rFonts w:ascii="Times New Roman" w:eastAsia="Times New Roman" w:hAnsi="Times New Roman" w:cs="Times New Roman"/>
          <w:sz w:val="24"/>
          <w:szCs w:val="24"/>
        </w:rPr>
        <w:t xml:space="preserve"> </w:t>
      </w:r>
      <w:r w:rsidRPr="00C332F3">
        <w:rPr>
          <w:rFonts w:ascii="Times New Roman" w:eastAsia="Times New Roman" w:hAnsi="Times New Roman" w:cs="Times New Roman"/>
          <w:bCs/>
          <w:sz w:val="24"/>
          <w:szCs w:val="24"/>
        </w:rPr>
        <w:t>mid-distance corridor chaining</w:t>
      </w:r>
      <w:r w:rsidRPr="004B1024">
        <w:rPr>
          <w:rFonts w:ascii="Times New Roman" w:eastAsia="Times New Roman" w:hAnsi="Times New Roman" w:cs="Times New Roman"/>
          <w:sz w:val="24"/>
          <w:szCs w:val="24"/>
        </w:rPr>
        <w:t>, where interconnected metropolitan regions generate strong network effects</w:t>
      </w:r>
      <w:r w:rsidR="00336A77">
        <w:rPr>
          <w:rFonts w:ascii="Times New Roman" w:eastAsia="Times New Roman" w:hAnsi="Times New Roman" w:cs="Times New Roman"/>
          <w:sz w:val="24"/>
          <w:szCs w:val="24"/>
        </w:rPr>
        <w:t xml:space="preserve"> and </w:t>
      </w:r>
      <w:r w:rsidR="00C332F3">
        <w:rPr>
          <w:rFonts w:ascii="Times New Roman" w:eastAsia="Times New Roman" w:hAnsi="Times New Roman" w:cs="Times New Roman"/>
          <w:sz w:val="24"/>
          <w:szCs w:val="24"/>
        </w:rPr>
        <w:t>are the primary driver</w:t>
      </w:r>
      <w:r w:rsidR="00466C6E">
        <w:rPr>
          <w:rFonts w:ascii="Times New Roman" w:eastAsia="Times New Roman" w:hAnsi="Times New Roman" w:cs="Times New Roman"/>
          <w:sz w:val="24"/>
          <w:szCs w:val="24"/>
        </w:rPr>
        <w:t>s</w:t>
      </w:r>
      <w:r w:rsidR="00C332F3">
        <w:rPr>
          <w:rFonts w:ascii="Times New Roman" w:eastAsia="Times New Roman" w:hAnsi="Times New Roman" w:cs="Times New Roman"/>
          <w:sz w:val="24"/>
          <w:szCs w:val="24"/>
        </w:rPr>
        <w:t xml:space="preserve"> of economic viability rather than endpoint demand alone</w:t>
      </w:r>
      <w:r w:rsidRPr="004B1024">
        <w:rPr>
          <w:rFonts w:ascii="Times New Roman" w:eastAsia="Times New Roman" w:hAnsi="Times New Roman" w:cs="Times New Roman"/>
          <w:sz w:val="24"/>
          <w:szCs w:val="24"/>
        </w:rPr>
        <w:t xml:space="preserve">. The findings </w:t>
      </w:r>
      <w:r w:rsidR="00C332F3">
        <w:rPr>
          <w:rFonts w:ascii="Times New Roman" w:eastAsia="Times New Roman" w:hAnsi="Times New Roman" w:cs="Times New Roman"/>
          <w:sz w:val="24"/>
          <w:szCs w:val="24"/>
        </w:rPr>
        <w:t>demonstrate</w:t>
      </w:r>
      <w:r w:rsidRPr="004B1024">
        <w:rPr>
          <w:rFonts w:ascii="Times New Roman" w:eastAsia="Times New Roman" w:hAnsi="Times New Roman" w:cs="Times New Roman"/>
          <w:sz w:val="24"/>
          <w:szCs w:val="24"/>
        </w:rPr>
        <w:t xml:space="preserve"> that carefully designed regional rail systems can achieve both financial sustainability and resilience under uncertain conditions.</w:t>
      </w:r>
      <w:r w:rsidR="00C332F3">
        <w:rPr>
          <w:rFonts w:ascii="Times New Roman" w:eastAsia="Times New Roman" w:hAnsi="Times New Roman" w:cs="Times New Roman"/>
          <w:sz w:val="24"/>
          <w:szCs w:val="24"/>
        </w:rPr>
        <w:t xml:space="preserve"> </w:t>
      </w:r>
    </w:p>
    <w:p w14:paraId="789B872C"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C7A874">
          <v:rect id="_x0000_i1026" style="width:0;height:1.5pt" o:hralign="center" o:hrstd="t" o:hr="t" fillcolor="#a0a0a0" stroked="f"/>
        </w:pict>
      </w:r>
    </w:p>
    <w:p w14:paraId="019D8D3D"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1. Introduction</w:t>
      </w:r>
    </w:p>
    <w:p w14:paraId="14400028"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Intercity passenger rail in the United States has historically struggled to achieve financial sustainability outside of high-density corridors such as the Northeast Corridor. However, emerging demographic patterns suggest that mid-distance (200–600 mile) corridors connecting mid-sized metropolitan areas may provide favorable conditions for rail competitiveness.</w:t>
      </w:r>
    </w:p>
    <w:p w14:paraId="7652AB56" w14:textId="7C6BED73" w:rsid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This study presents the design and evaluation of the American Heartland Rail (AHR) system, a phased intercity network intended to maximize economic viability through strategic corridor selection and network connectivity. The objective is to identify a scalable system that achieves strong ridership, high farebox recovery, and minimal reliance on operating subsidies.</w:t>
      </w:r>
    </w:p>
    <w:p w14:paraId="5381507C" w14:textId="7CC76DEE" w:rsidR="004B1024" w:rsidRPr="00C332F3" w:rsidRDefault="004B1024" w:rsidP="00DC650F">
      <w:pPr>
        <w:spacing w:before="100" w:beforeAutospacing="1" w:after="100" w:afterAutospacing="1" w:line="240" w:lineRule="auto"/>
        <w:rPr>
          <w:rFonts w:ascii="Times New Roman" w:eastAsia="Times New Roman" w:hAnsi="Times New Roman" w:cs="Times New Roman"/>
          <w:sz w:val="24"/>
          <w:szCs w:val="24"/>
        </w:rPr>
      </w:pPr>
      <w:r w:rsidRPr="00C332F3">
        <w:rPr>
          <w:rFonts w:ascii="Times New Roman" w:hAnsi="Times New Roman" w:cs="Times New Roman"/>
          <w:sz w:val="24"/>
          <w:szCs w:val="24"/>
        </w:rPr>
        <w:t xml:space="preserve">Unlike prior conceptual studies, this work emphasizes </w:t>
      </w:r>
      <w:r w:rsidRPr="00C332F3">
        <w:rPr>
          <w:rStyle w:val="Strong"/>
          <w:rFonts w:ascii="Times New Roman" w:hAnsi="Times New Roman" w:cs="Times New Roman"/>
          <w:sz w:val="24"/>
          <w:szCs w:val="24"/>
        </w:rPr>
        <w:t>system robustness under uncertainty</w:t>
      </w:r>
      <w:r w:rsidRPr="00C332F3">
        <w:rPr>
          <w:rFonts w:ascii="Times New Roman" w:hAnsi="Times New Roman" w:cs="Times New Roman"/>
          <w:sz w:val="24"/>
          <w:szCs w:val="24"/>
        </w:rPr>
        <w:t xml:space="preserve">, evaluating not only baseline performance but also the stability of outcomes across a wide range </w:t>
      </w:r>
      <w:r w:rsidRPr="00C332F3">
        <w:rPr>
          <w:rFonts w:ascii="Times New Roman" w:hAnsi="Times New Roman" w:cs="Times New Roman"/>
          <w:sz w:val="24"/>
          <w:szCs w:val="24"/>
        </w:rPr>
        <w:lastRenderedPageBreak/>
        <w:t>of economic and operational conditions. This approach allows for identification of rail networks that are not only efficient in theory, but resilient in practice.</w:t>
      </w:r>
      <w:r w:rsidR="00C332F3">
        <w:rPr>
          <w:rFonts w:ascii="Times New Roman" w:hAnsi="Times New Roman" w:cs="Times New Roman"/>
          <w:sz w:val="24"/>
          <w:szCs w:val="24"/>
        </w:rPr>
        <w:t xml:space="preserve"> This study identifies not only a viable system, but the structural characteristics required for intercity rail success in mid-density regions. </w:t>
      </w:r>
    </w:p>
    <w:p w14:paraId="5C83FF69"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96379E">
          <v:rect id="_x0000_i1027" style="width:0;height:1.5pt" o:hralign="center" o:hrstd="t" o:hr="t" fillcolor="#a0a0a0" stroked="f"/>
        </w:pict>
      </w:r>
    </w:p>
    <w:p w14:paraId="4EEA366F"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2. Methodology</w:t>
      </w:r>
    </w:p>
    <w:p w14:paraId="0A37319F"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i/>
          <w:iCs/>
          <w:sz w:val="24"/>
          <w:szCs w:val="24"/>
        </w:rPr>
        <w:t>(Your methodology section is already strong—only light polish applied)</w:t>
      </w:r>
    </w:p>
    <w:p w14:paraId="02774674"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A simulation-based network model was developed in Python to evaluate system performance under varying operational and economic conditions. Calibration constants were selected using Amtrak FY2025 ridership data to ensure realistic demand scaling.</w:t>
      </w:r>
    </w:p>
    <w:p w14:paraId="34D691A1"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2.1 Network Representation</w:t>
      </w:r>
    </w:p>
    <w:p w14:paraId="269D9DE4"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The system is modeled as a graph:</w:t>
      </w:r>
    </w:p>
    <w:p w14:paraId="07BEFA7D" w14:textId="77777777" w:rsidR="00DC650F" w:rsidRPr="00DC650F" w:rsidRDefault="00DC650F" w:rsidP="00DC65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Nodes = metropolitan areas </w:t>
      </w:r>
    </w:p>
    <w:p w14:paraId="449C4BE7" w14:textId="77777777" w:rsidR="00DC650F" w:rsidRPr="00DC650F" w:rsidRDefault="00DC650F" w:rsidP="00DC65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Edges = rail segments with distance and frequency </w:t>
      </w:r>
    </w:p>
    <w:p w14:paraId="3B18A320" w14:textId="77777777" w:rsidR="00DC650F" w:rsidRPr="004B1024"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lang w:val="es-ES"/>
        </w:rPr>
      </w:pPr>
      <w:r w:rsidRPr="004B1024">
        <w:rPr>
          <w:rFonts w:ascii="Times New Roman" w:eastAsia="Times New Roman" w:hAnsi="Times New Roman" w:cs="Times New Roman"/>
          <w:b/>
          <w:bCs/>
          <w:sz w:val="27"/>
          <w:szCs w:val="27"/>
          <w:lang w:val="es-ES"/>
        </w:rPr>
        <w:t xml:space="preserve">2.2 </w:t>
      </w:r>
      <w:proofErr w:type="spellStart"/>
      <w:r w:rsidRPr="004B1024">
        <w:rPr>
          <w:rFonts w:ascii="Times New Roman" w:eastAsia="Times New Roman" w:hAnsi="Times New Roman" w:cs="Times New Roman"/>
          <w:b/>
          <w:bCs/>
          <w:sz w:val="27"/>
          <w:szCs w:val="27"/>
          <w:lang w:val="es-ES"/>
        </w:rPr>
        <w:t>Demand</w:t>
      </w:r>
      <w:proofErr w:type="spellEnd"/>
      <w:r w:rsidRPr="004B1024">
        <w:rPr>
          <w:rFonts w:ascii="Times New Roman" w:eastAsia="Times New Roman" w:hAnsi="Times New Roman" w:cs="Times New Roman"/>
          <w:b/>
          <w:bCs/>
          <w:sz w:val="27"/>
          <w:szCs w:val="27"/>
          <w:lang w:val="es-ES"/>
        </w:rPr>
        <w:t xml:space="preserve"> </w:t>
      </w:r>
      <w:proofErr w:type="spellStart"/>
      <w:r w:rsidRPr="004B1024">
        <w:rPr>
          <w:rFonts w:ascii="Times New Roman" w:eastAsia="Times New Roman" w:hAnsi="Times New Roman" w:cs="Times New Roman"/>
          <w:b/>
          <w:bCs/>
          <w:sz w:val="27"/>
          <w:szCs w:val="27"/>
          <w:lang w:val="es-ES"/>
        </w:rPr>
        <w:t>Model</w:t>
      </w:r>
      <w:proofErr w:type="spellEnd"/>
    </w:p>
    <w:p w14:paraId="3B36E408" w14:textId="77777777" w:rsidR="00DC650F" w:rsidRPr="004B1024" w:rsidRDefault="00DC650F" w:rsidP="00DC650F">
      <w:pPr>
        <w:spacing w:before="100" w:beforeAutospacing="1" w:after="100" w:afterAutospacing="1" w:line="240" w:lineRule="auto"/>
        <w:contextualSpacing/>
        <w:jc w:val="center"/>
        <w:rPr>
          <w:rFonts w:ascii="Times New Roman" w:eastAsia="Times New Roman" w:hAnsi="Times New Roman" w:cs="Times New Roman"/>
          <w:b/>
          <w:i/>
          <w:sz w:val="24"/>
          <w:szCs w:val="24"/>
          <w:lang w:val="es-ES"/>
        </w:rPr>
      </w:pPr>
      <w:proofErr w:type="spellStart"/>
      <w:r w:rsidRPr="004B1024">
        <w:rPr>
          <w:rFonts w:ascii="Times New Roman" w:eastAsia="Times New Roman" w:hAnsi="Times New Roman" w:cs="Times New Roman"/>
          <w:b/>
          <w:i/>
          <w:sz w:val="24"/>
          <w:szCs w:val="24"/>
          <w:lang w:val="es-ES"/>
        </w:rPr>
        <w:t>D</w:t>
      </w:r>
      <w:r w:rsidRPr="004B1024">
        <w:rPr>
          <w:rFonts w:ascii="Times New Roman" w:eastAsia="Times New Roman" w:hAnsi="Times New Roman" w:cs="Times New Roman"/>
          <w:b/>
          <w:i/>
          <w:sz w:val="24"/>
          <w:szCs w:val="24"/>
          <w:vertAlign w:val="subscript"/>
          <w:lang w:val="es-ES"/>
        </w:rPr>
        <w:t>ij</w:t>
      </w:r>
      <w:proofErr w:type="spellEnd"/>
      <w:r w:rsidRPr="004B1024">
        <w:rPr>
          <w:rFonts w:ascii="Times New Roman" w:eastAsia="Times New Roman" w:hAnsi="Times New Roman" w:cs="Times New Roman"/>
          <w:b/>
          <w:i/>
          <w:sz w:val="24"/>
          <w:szCs w:val="24"/>
          <w:lang w:val="es-ES"/>
        </w:rPr>
        <w:t>=k</w:t>
      </w:r>
      <w:r w:rsidRPr="004B1024">
        <w:rPr>
          <w:rFonts w:ascii="Cambria Math" w:eastAsia="Times New Roman" w:hAnsi="Cambria Math" w:cs="Cambria Math"/>
          <w:b/>
          <w:i/>
          <w:sz w:val="24"/>
          <w:szCs w:val="24"/>
          <w:lang w:val="es-ES"/>
        </w:rPr>
        <w:t xml:space="preserve">⋅ </w:t>
      </w:r>
      <w:proofErr w:type="spellStart"/>
      <w:r w:rsidRPr="004B1024">
        <w:rPr>
          <w:rFonts w:ascii="Times New Roman" w:eastAsia="Times New Roman" w:hAnsi="Times New Roman" w:cs="Times New Roman"/>
          <w:b/>
          <w:i/>
          <w:sz w:val="24"/>
          <w:szCs w:val="24"/>
          <w:u w:val="single"/>
          <w:lang w:val="es-ES"/>
        </w:rPr>
        <w:t>P</w:t>
      </w:r>
      <w:r w:rsidRPr="004B1024">
        <w:rPr>
          <w:rFonts w:ascii="Times New Roman" w:eastAsia="Times New Roman" w:hAnsi="Times New Roman" w:cs="Times New Roman"/>
          <w:b/>
          <w:i/>
          <w:sz w:val="24"/>
          <w:szCs w:val="24"/>
          <w:u w:val="single"/>
          <w:vertAlign w:val="subscript"/>
          <w:lang w:val="es-ES"/>
        </w:rPr>
        <w:t>i</w:t>
      </w:r>
      <w:r w:rsidRPr="004B1024">
        <w:rPr>
          <w:rFonts w:ascii="Times New Roman" w:eastAsia="Times New Roman" w:hAnsi="Times New Roman" w:cs="Times New Roman"/>
          <w:b/>
          <w:i/>
          <w:sz w:val="24"/>
          <w:szCs w:val="24"/>
          <w:u w:val="single"/>
          <w:lang w:val="es-ES"/>
        </w:rPr>
        <w:t>P</w:t>
      </w:r>
      <w:r w:rsidRPr="004B1024">
        <w:rPr>
          <w:rFonts w:ascii="Times New Roman" w:eastAsia="Times New Roman" w:hAnsi="Times New Roman" w:cs="Times New Roman"/>
          <w:b/>
          <w:i/>
          <w:sz w:val="24"/>
          <w:szCs w:val="24"/>
          <w:u w:val="single"/>
          <w:vertAlign w:val="subscript"/>
          <w:lang w:val="es-ES"/>
        </w:rPr>
        <w:t>j</w:t>
      </w:r>
      <w:proofErr w:type="spellEnd"/>
    </w:p>
    <w:p w14:paraId="43D6E5D7" w14:textId="77777777" w:rsidR="00DC650F" w:rsidRPr="004B1024" w:rsidRDefault="00DC650F" w:rsidP="00DC650F">
      <w:pPr>
        <w:spacing w:before="100" w:beforeAutospacing="1" w:after="100" w:afterAutospacing="1" w:line="240" w:lineRule="auto"/>
        <w:contextualSpacing/>
        <w:jc w:val="center"/>
        <w:rPr>
          <w:rFonts w:ascii="Times New Roman" w:eastAsia="Times New Roman" w:hAnsi="Times New Roman" w:cs="Times New Roman"/>
          <w:b/>
          <w:i/>
          <w:sz w:val="24"/>
          <w:szCs w:val="24"/>
          <w:lang w:val="es-ES"/>
        </w:rPr>
      </w:pPr>
      <w:r w:rsidRPr="004B1024">
        <w:rPr>
          <w:rFonts w:ascii="Times New Roman" w:eastAsia="Times New Roman" w:hAnsi="Times New Roman" w:cs="Times New Roman"/>
          <w:b/>
          <w:i/>
          <w:sz w:val="24"/>
          <w:szCs w:val="24"/>
          <w:lang w:val="es-ES"/>
        </w:rPr>
        <w:t xml:space="preserve">           </w:t>
      </w:r>
      <w:proofErr w:type="spellStart"/>
      <w:r w:rsidRPr="004B1024">
        <w:rPr>
          <w:rFonts w:ascii="Times New Roman" w:eastAsia="Times New Roman" w:hAnsi="Times New Roman" w:cs="Times New Roman"/>
          <w:b/>
          <w:i/>
          <w:sz w:val="24"/>
          <w:szCs w:val="24"/>
          <w:lang w:val="es-ES"/>
        </w:rPr>
        <w:t>d</w:t>
      </w:r>
      <w:r w:rsidRPr="004B1024">
        <w:rPr>
          <w:rFonts w:ascii="Times New Roman" w:eastAsia="Times New Roman" w:hAnsi="Times New Roman" w:cs="Times New Roman"/>
          <w:b/>
          <w:i/>
          <w:sz w:val="24"/>
          <w:szCs w:val="24"/>
          <w:vertAlign w:val="subscript"/>
          <w:lang w:val="es-ES"/>
        </w:rPr>
        <w:t>ij</w:t>
      </w:r>
      <w:proofErr w:type="spellEnd"/>
    </w:p>
    <w:p w14:paraId="263C4844" w14:textId="77777777" w:rsidR="00DC650F" w:rsidRPr="00897460"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897460">
        <w:rPr>
          <w:rFonts w:ascii="Times New Roman" w:eastAsia="Times New Roman" w:hAnsi="Times New Roman" w:cs="Times New Roman"/>
          <w:sz w:val="24"/>
          <w:szCs w:val="24"/>
        </w:rPr>
        <w:t>where:</w:t>
      </w:r>
    </w:p>
    <w:p w14:paraId="71AD2667" w14:textId="77777777" w:rsidR="00DC650F" w:rsidRPr="00897460" w:rsidRDefault="00DC650F" w:rsidP="00DC650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97460">
        <w:rPr>
          <w:rFonts w:ascii="Times New Roman" w:eastAsia="Times New Roman" w:hAnsi="Times New Roman" w:cs="Times New Roman"/>
          <w:sz w:val="24"/>
          <w:szCs w:val="24"/>
        </w:rPr>
        <w:t>P</w:t>
      </w:r>
      <w:r w:rsidRPr="00491796">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w:t>
      </w:r>
      <w:proofErr w:type="spellStart"/>
      <w:proofErr w:type="gramStart"/>
      <w:r w:rsidRPr="00897460">
        <w:rPr>
          <w:rFonts w:ascii="Times New Roman" w:eastAsia="Times New Roman" w:hAnsi="Times New Roman" w:cs="Times New Roman"/>
          <w:sz w:val="24"/>
          <w:szCs w:val="24"/>
        </w:rPr>
        <w:t>P</w:t>
      </w:r>
      <w:r w:rsidRPr="00491796">
        <w:rPr>
          <w:rFonts w:ascii="Times New Roman" w:eastAsia="Times New Roman" w:hAnsi="Times New Roman" w:cs="Times New Roman"/>
          <w:sz w:val="24"/>
          <w:szCs w:val="24"/>
          <w:vertAlign w:val="subscript"/>
        </w:rPr>
        <w:t>j</w:t>
      </w:r>
      <w:proofErr w:type="spellEnd"/>
      <w:r w:rsidRPr="008974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897460">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r w:rsidRPr="008974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population (by metro area) of cities </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j</w:t>
      </w:r>
    </w:p>
    <w:p w14:paraId="1AA7251F" w14:textId="77777777" w:rsidR="00DC650F" w:rsidRPr="00897460" w:rsidRDefault="00DC650F" w:rsidP="00DC650F">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w:t>
      </w:r>
      <w:r>
        <w:rPr>
          <w:rFonts w:ascii="Times New Roman" w:eastAsia="Times New Roman" w:hAnsi="Times New Roman" w:cs="Times New Roman"/>
          <w:sz w:val="24"/>
          <w:szCs w:val="24"/>
          <w:vertAlign w:val="subscript"/>
        </w:rPr>
        <w:t>ij</w:t>
      </w:r>
      <w:proofErr w:type="spellEnd"/>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distance between cities</w:t>
      </w:r>
      <w:r w:rsidRPr="00491796">
        <w:rPr>
          <w:rFonts w:ascii="Times New Roman" w:eastAsia="Times New Roman" w:hAnsi="Times New Roman" w:cs="Times New Roman"/>
          <w:i/>
          <w:sz w:val="24"/>
          <w:szCs w:val="24"/>
        </w:rPr>
        <w:t xml:space="preserve"> </w:t>
      </w:r>
      <w:proofErr w:type="spellStart"/>
      <w:r w:rsidRPr="00491796">
        <w:rPr>
          <w:rFonts w:ascii="Times New Roman" w:eastAsia="Times New Roman" w:hAnsi="Times New Roman" w:cs="Times New Roman"/>
          <w:i/>
          <w:sz w:val="24"/>
          <w:szCs w:val="24"/>
        </w:rPr>
        <w:t>i</w:t>
      </w:r>
      <w:proofErr w:type="spellEnd"/>
      <w:r>
        <w:rPr>
          <w:rFonts w:ascii="Times New Roman" w:eastAsia="Times New Roman" w:hAnsi="Times New Roman" w:cs="Times New Roman"/>
          <w:sz w:val="24"/>
          <w:szCs w:val="24"/>
        </w:rPr>
        <w:t xml:space="preserve"> and </w:t>
      </w:r>
      <w:r w:rsidRPr="00491796">
        <w:rPr>
          <w:rFonts w:ascii="Times New Roman" w:eastAsia="Times New Roman" w:hAnsi="Times New Roman" w:cs="Times New Roman"/>
          <w:i/>
          <w:sz w:val="24"/>
          <w:szCs w:val="24"/>
        </w:rPr>
        <w:t>j</w:t>
      </w:r>
      <w:r w:rsidRPr="00897460">
        <w:rPr>
          <w:rFonts w:ascii="Times New Roman" w:eastAsia="Times New Roman" w:hAnsi="Times New Roman" w:cs="Times New Roman"/>
          <w:i/>
          <w:sz w:val="24"/>
          <w:szCs w:val="24"/>
        </w:rPr>
        <w:t xml:space="preserve"> </w:t>
      </w:r>
    </w:p>
    <w:p w14:paraId="1947D8BA" w14:textId="77777777" w:rsid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897460">
        <w:rPr>
          <w:rFonts w:ascii="Times New Roman" w:eastAsia="Times New Roman" w:hAnsi="Times New Roman" w:cs="Times New Roman"/>
          <w:sz w:val="24"/>
          <w:szCs w:val="24"/>
        </w:rPr>
        <w:t xml:space="preserve">k </w:t>
      </w:r>
      <w:r>
        <w:rPr>
          <w:rFonts w:ascii="Times New Roman" w:eastAsia="Times New Roman" w:hAnsi="Times New Roman" w:cs="Times New Roman"/>
          <w:sz w:val="24"/>
          <w:szCs w:val="24"/>
        </w:rPr>
        <w:t>=</w:t>
      </w:r>
      <w:r w:rsidRPr="00897460">
        <w:rPr>
          <w:rFonts w:ascii="Times New Roman" w:eastAsia="Times New Roman" w:hAnsi="Times New Roman" w:cs="Times New Roman"/>
          <w:sz w:val="24"/>
          <w:szCs w:val="24"/>
        </w:rPr>
        <w:t xml:space="preserve"> calibration constant</w:t>
      </w:r>
      <w:r w:rsidRPr="00DC650F">
        <w:rPr>
          <w:rFonts w:ascii="Times New Roman" w:eastAsia="Times New Roman" w:hAnsi="Times New Roman" w:cs="Times New Roman"/>
          <w:b/>
          <w:bCs/>
          <w:sz w:val="27"/>
          <w:szCs w:val="27"/>
        </w:rPr>
        <w:t xml:space="preserve"> </w:t>
      </w:r>
    </w:p>
    <w:p w14:paraId="74520F77"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2.3 Mode Competition</w:t>
      </w:r>
    </w:p>
    <w:p w14:paraId="0B283568"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Generalized cost:</w:t>
      </w:r>
    </w:p>
    <w:p w14:paraId="20957CEC" w14:textId="77777777" w:rsidR="00DC650F" w:rsidRPr="00897460" w:rsidRDefault="00DC650F" w:rsidP="00DC650F">
      <w:pPr>
        <w:spacing w:after="0" w:line="240" w:lineRule="auto"/>
        <w:jc w:val="center"/>
        <w:rPr>
          <w:rFonts w:ascii="Times New Roman" w:eastAsia="Times New Roman" w:hAnsi="Times New Roman" w:cs="Times New Roman"/>
          <w:b/>
          <w:i/>
          <w:sz w:val="24"/>
          <w:szCs w:val="24"/>
        </w:rPr>
      </w:pPr>
      <w:r w:rsidRPr="00491796">
        <w:rPr>
          <w:rFonts w:ascii="Times New Roman" w:eastAsia="Times New Roman" w:hAnsi="Times New Roman" w:cs="Times New Roman"/>
          <w:b/>
          <w:i/>
          <w:sz w:val="24"/>
          <w:szCs w:val="24"/>
        </w:rPr>
        <w:t>GC=</w:t>
      </w:r>
      <w:r>
        <w:rPr>
          <w:rFonts w:ascii="Times New Roman" w:eastAsia="Times New Roman" w:hAnsi="Times New Roman" w:cs="Times New Roman"/>
          <w:b/>
          <w:i/>
          <w:sz w:val="24"/>
          <w:szCs w:val="24"/>
        </w:rPr>
        <w:t xml:space="preserve"> </w:t>
      </w:r>
      <w:r w:rsidRPr="00491796">
        <w:rPr>
          <w:rFonts w:ascii="Times New Roman" w:eastAsia="Times New Roman" w:hAnsi="Times New Roman" w:cs="Times New Roman"/>
          <w:b/>
          <w:i/>
          <w:sz w:val="24"/>
          <w:szCs w:val="24"/>
        </w:rPr>
        <w:t>t</w:t>
      </w:r>
      <w:r w:rsidRPr="00491796">
        <w:rPr>
          <w:rFonts w:ascii="Cambria Math" w:eastAsia="Times New Roman" w:hAnsi="Cambria Math" w:cs="Cambria Math"/>
          <w:b/>
          <w:i/>
          <w:sz w:val="24"/>
          <w:szCs w:val="24"/>
        </w:rPr>
        <w:t>⋅</w:t>
      </w:r>
      <w:r>
        <w:rPr>
          <w:rFonts w:ascii="Cambria Math" w:eastAsia="Times New Roman" w:hAnsi="Cambria Math" w:cs="Cambria Math"/>
          <w:b/>
          <w:i/>
          <w:sz w:val="24"/>
          <w:szCs w:val="24"/>
        </w:rPr>
        <w:t xml:space="preserve"> </w:t>
      </w:r>
      <w:r w:rsidRPr="00491796">
        <w:rPr>
          <w:rFonts w:ascii="Times New Roman" w:eastAsia="Times New Roman" w:hAnsi="Times New Roman" w:cs="Times New Roman"/>
          <w:b/>
          <w:i/>
          <w:sz w:val="24"/>
          <w:szCs w:val="24"/>
        </w:rPr>
        <w:t>VOT+C</w:t>
      </w:r>
    </w:p>
    <w:p w14:paraId="21E62EAC" w14:textId="77777777" w:rsidR="00DC650F" w:rsidRPr="00897460"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897460">
        <w:rPr>
          <w:rFonts w:ascii="Times New Roman" w:eastAsia="Times New Roman" w:hAnsi="Times New Roman" w:cs="Times New Roman"/>
          <w:sz w:val="24"/>
          <w:szCs w:val="24"/>
        </w:rPr>
        <w:t>where:</w:t>
      </w:r>
    </w:p>
    <w:p w14:paraId="16993429" w14:textId="77777777" w:rsidR="00DC650F" w:rsidRPr="00897460" w:rsidRDefault="00DC650F" w:rsidP="00DC650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1796">
        <w:rPr>
          <w:rFonts w:ascii="Times New Roman" w:eastAsia="Times New Roman" w:hAnsi="Times New Roman" w:cs="Times New Roman"/>
          <w:i/>
          <w:sz w:val="24"/>
          <w:szCs w:val="24"/>
        </w:rPr>
        <w:t>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r w:rsidRPr="00897460">
        <w:rPr>
          <w:rFonts w:ascii="Times New Roman" w:eastAsia="Times New Roman" w:hAnsi="Times New Roman" w:cs="Times New Roman"/>
          <w:sz w:val="24"/>
          <w:szCs w:val="24"/>
        </w:rPr>
        <w:t xml:space="preserve"> travel time </w:t>
      </w:r>
    </w:p>
    <w:p w14:paraId="0E72BACD" w14:textId="77777777" w:rsidR="00DC650F" w:rsidRPr="00897460" w:rsidRDefault="00DC650F" w:rsidP="00DC650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91796">
        <w:rPr>
          <w:rFonts w:ascii="Times New Roman" w:eastAsia="Times New Roman" w:hAnsi="Times New Roman" w:cs="Times New Roman"/>
          <w:i/>
          <w:sz w:val="24"/>
          <w:szCs w:val="24"/>
        </w:rPr>
        <w:t>VOT</w:t>
      </w:r>
      <w:r w:rsidRPr="008974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897460">
        <w:rPr>
          <w:rFonts w:ascii="Times New Roman" w:eastAsia="Times New Roman" w:hAnsi="Times New Roman" w:cs="Times New Roman"/>
          <w:sz w:val="24"/>
          <w:szCs w:val="24"/>
        </w:rPr>
        <w:t xml:space="preserve"> value of time </w:t>
      </w:r>
    </w:p>
    <w:p w14:paraId="6274FCE6" w14:textId="77777777" w:rsidR="00DC650F" w:rsidRPr="00897460" w:rsidRDefault="00DC650F" w:rsidP="00DC650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97460">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897460">
        <w:rPr>
          <w:rFonts w:ascii="Times New Roman" w:eastAsia="Times New Roman" w:hAnsi="Times New Roman" w:cs="Times New Roman"/>
          <w:sz w:val="24"/>
          <w:szCs w:val="24"/>
        </w:rPr>
        <w:t xml:space="preserve"> monetary cost </w:t>
      </w:r>
    </w:p>
    <w:p w14:paraId="3D16E6C3"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lastRenderedPageBreak/>
        <w:t>2.4 Frequency &amp; Reliability</w:t>
      </w:r>
    </w:p>
    <w:p w14:paraId="329F8D33"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Demand adjusted using:</w:t>
      </w:r>
    </w:p>
    <w:p w14:paraId="2DF8A682" w14:textId="77777777" w:rsidR="00DC650F" w:rsidRPr="00DC650F" w:rsidRDefault="00DC650F" w:rsidP="00DC65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frequency multipliers </w:t>
      </w:r>
    </w:p>
    <w:p w14:paraId="37189FEB" w14:textId="77777777" w:rsidR="00DC650F" w:rsidRPr="00DC650F" w:rsidRDefault="00DC650F" w:rsidP="00DC65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reliability penalties </w:t>
      </w:r>
    </w:p>
    <w:p w14:paraId="46BBDA47"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2.5 Economic Evaluation</w:t>
      </w:r>
    </w:p>
    <w:p w14:paraId="2FB1C2D1"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Metrics:</w:t>
      </w:r>
    </w:p>
    <w:p w14:paraId="518B8A6A" w14:textId="77777777" w:rsidR="00DC650F" w:rsidRPr="00DC650F" w:rsidRDefault="00DC650F" w:rsidP="00DC65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Ridership </w:t>
      </w:r>
    </w:p>
    <w:p w14:paraId="7149F114" w14:textId="77777777" w:rsidR="00DC650F" w:rsidRPr="00DC650F" w:rsidRDefault="00DC650F" w:rsidP="00DC65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Revenue </w:t>
      </w:r>
    </w:p>
    <w:p w14:paraId="3CB26DAC" w14:textId="77777777" w:rsidR="00DC650F" w:rsidRPr="00DC650F" w:rsidRDefault="00DC650F" w:rsidP="00DC65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O&amp;M </w:t>
      </w:r>
    </w:p>
    <w:p w14:paraId="24263E6C" w14:textId="77777777" w:rsidR="00DC650F" w:rsidRPr="00DC650F" w:rsidRDefault="00DC650F" w:rsidP="00DC65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Farebox </w:t>
      </w:r>
    </w:p>
    <w:p w14:paraId="6A356E07" w14:textId="77777777" w:rsidR="00DC650F" w:rsidRPr="00DC650F" w:rsidRDefault="00DC650F" w:rsidP="00DC65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BCR </w:t>
      </w:r>
    </w:p>
    <w:p w14:paraId="1ECAF69C"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2.6 Robustness Testing</w:t>
      </w:r>
    </w:p>
    <w:p w14:paraId="6B638002" w14:textId="77777777" w:rsidR="00DC650F" w:rsidRPr="00DC650F" w:rsidRDefault="00DC650F" w:rsidP="00DC65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Monte Carlo simulation </w:t>
      </w:r>
    </w:p>
    <w:p w14:paraId="6332B58D" w14:textId="77777777" w:rsidR="00DC650F" w:rsidRPr="00DC650F" w:rsidRDefault="00DC650F" w:rsidP="00DC650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parameter sensitivity </w:t>
      </w:r>
    </w:p>
    <w:p w14:paraId="05E8393B" w14:textId="48B64948" w:rsidR="004B1024" w:rsidRDefault="00DC650F" w:rsidP="004B10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network perturbation </w:t>
      </w:r>
    </w:p>
    <w:p w14:paraId="142626D3" w14:textId="1D71A48E" w:rsidR="004B1024" w:rsidRPr="004B1024" w:rsidRDefault="004B1024" w:rsidP="004B1024">
      <w:pPr>
        <w:spacing w:before="100" w:beforeAutospacing="1" w:after="100" w:afterAutospacing="1" w:line="240" w:lineRule="auto"/>
        <w:rPr>
          <w:rFonts w:ascii="Times New Roman" w:eastAsia="Times New Roman" w:hAnsi="Times New Roman" w:cs="Times New Roman"/>
          <w:sz w:val="24"/>
          <w:szCs w:val="24"/>
        </w:rPr>
      </w:pPr>
      <w:r w:rsidRPr="004B1024">
        <w:rPr>
          <w:rFonts w:ascii="Times New Roman" w:hAnsi="Times New Roman" w:cs="Times New Roman"/>
          <w:sz w:val="24"/>
          <w:szCs w:val="24"/>
        </w:rPr>
        <w:t>The use of Monte Carlo simulation enables evaluation of system robustness, ensuring that conclusions are not dependent on a single set of assumptions.</w:t>
      </w:r>
    </w:p>
    <w:p w14:paraId="5FC6FBB9"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E07B32">
          <v:rect id="_x0000_i1028" style="width:0;height:1.5pt" o:hralign="center" o:hrstd="t" o:hr="t" fillcolor="#a0a0a0" stroked="f"/>
        </w:pict>
      </w:r>
    </w:p>
    <w:p w14:paraId="6FB3D6E0"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3. System Design</w:t>
      </w:r>
    </w:p>
    <w:p w14:paraId="61473414"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3.1 Core Network (Finalized System)</w:t>
      </w:r>
    </w:p>
    <w:p w14:paraId="3AEFD029" w14:textId="35888033" w:rsidR="00C332F3" w:rsidRDefault="00C332F3" w:rsidP="00DC65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finalized AHR system emerges from iterative evaluation of corridor configurations</w:t>
      </w:r>
      <w:r w:rsidR="00466C6E">
        <w:rPr>
          <w:rFonts w:ascii="Times New Roman" w:eastAsia="Times New Roman" w:hAnsi="Times New Roman" w:cs="Times New Roman"/>
          <w:sz w:val="24"/>
          <w:szCs w:val="24"/>
        </w:rPr>
        <w:t xml:space="preserve"> and represents a locally optimal network structure under the modeled conditions.</w:t>
      </w:r>
      <w:r>
        <w:rPr>
          <w:rFonts w:ascii="Times New Roman" w:eastAsia="Times New Roman" w:hAnsi="Times New Roman" w:cs="Times New Roman"/>
          <w:sz w:val="24"/>
          <w:szCs w:val="24"/>
        </w:rPr>
        <w:t xml:space="preserve"> </w:t>
      </w:r>
    </w:p>
    <w:p w14:paraId="03A5C1E7" w14:textId="07784950" w:rsidR="00DC650F" w:rsidRDefault="00DC650F" w:rsidP="00DC650F">
      <w:pPr>
        <w:spacing w:before="100" w:beforeAutospacing="1" w:after="100" w:afterAutospacing="1" w:line="240" w:lineRule="auto"/>
        <w:rPr>
          <w:rFonts w:ascii="Times New Roman" w:eastAsia="Times New Roman" w:hAnsi="Times New Roman" w:cs="Times New Roman"/>
          <w:b/>
          <w:sz w:val="24"/>
          <w:szCs w:val="24"/>
        </w:rPr>
      </w:pPr>
      <w:r w:rsidRPr="00DC650F">
        <w:rPr>
          <w:rFonts w:ascii="Times New Roman" w:eastAsia="Times New Roman" w:hAnsi="Times New Roman" w:cs="Times New Roman"/>
          <w:sz w:val="24"/>
          <w:szCs w:val="24"/>
        </w:rPr>
        <w:t>The finalized AHR system consists of two primary spines connected through key nodes</w:t>
      </w:r>
      <w:r w:rsidR="00336A77">
        <w:rPr>
          <w:rFonts w:ascii="Times New Roman" w:eastAsia="Times New Roman" w:hAnsi="Times New Roman" w:cs="Times New Roman"/>
          <w:sz w:val="24"/>
          <w:szCs w:val="24"/>
        </w:rPr>
        <w:t xml:space="preserve"> and</w:t>
      </w:r>
      <w:bookmarkStart w:id="0" w:name="_GoBack"/>
      <w:bookmarkEnd w:id="0"/>
      <w:r w:rsidR="00AC6059">
        <w:rPr>
          <w:rFonts w:ascii="Times New Roman" w:eastAsia="Times New Roman" w:hAnsi="Times New Roman" w:cs="Times New Roman"/>
          <w:sz w:val="24"/>
          <w:szCs w:val="24"/>
        </w:rPr>
        <w:t xml:space="preserve"> </w:t>
      </w:r>
      <w:r w:rsidR="00336A77">
        <w:rPr>
          <w:rFonts w:ascii="Times New Roman" w:eastAsia="Times New Roman" w:hAnsi="Times New Roman" w:cs="Times New Roman"/>
          <w:sz w:val="24"/>
          <w:szCs w:val="24"/>
        </w:rPr>
        <w:t>is shown</w:t>
      </w:r>
      <w:r w:rsidR="00AC6059">
        <w:rPr>
          <w:rFonts w:ascii="Times New Roman" w:eastAsia="Times New Roman" w:hAnsi="Times New Roman" w:cs="Times New Roman"/>
          <w:sz w:val="24"/>
          <w:szCs w:val="24"/>
        </w:rPr>
        <w:t xml:space="preserve"> in </w:t>
      </w:r>
      <w:r w:rsidR="00AC6059">
        <w:rPr>
          <w:rFonts w:ascii="Times New Roman" w:eastAsia="Times New Roman" w:hAnsi="Times New Roman" w:cs="Times New Roman"/>
          <w:b/>
          <w:sz w:val="24"/>
          <w:szCs w:val="24"/>
        </w:rPr>
        <w:t xml:space="preserve">Figure 1. </w:t>
      </w:r>
    </w:p>
    <w:p w14:paraId="241703E5" w14:textId="7D887F9C" w:rsidR="00AC6059" w:rsidRDefault="00AC6059" w:rsidP="00DC65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1: </w:t>
      </w:r>
      <w:r>
        <w:rPr>
          <w:rFonts w:ascii="Times New Roman" w:eastAsia="Times New Roman" w:hAnsi="Times New Roman" w:cs="Times New Roman"/>
          <w:sz w:val="24"/>
          <w:szCs w:val="24"/>
        </w:rPr>
        <w:t xml:space="preserve">Final American Heartland Rail (AHR) network configuration. The system consists of two primary spines connecting Texas, the Midwest, the Southeast, and the Ohio Valley. The addition of Greenville, SC, significantly strengthens the southeastern corridor. Dashed lines indicate optional future extensions not included in the core system. </w:t>
      </w:r>
    </w:p>
    <w:p w14:paraId="7894806D" w14:textId="1B4850BA" w:rsidR="00AC6059" w:rsidRPr="00AC6059" w:rsidRDefault="00AC6059" w:rsidP="00DC65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04DAF7C" wp14:editId="5572CC91">
            <wp:extent cx="5943600" cy="431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HR V2 Fig 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311650"/>
                    </a:xfrm>
                    <a:prstGeom prst="rect">
                      <a:avLst/>
                    </a:prstGeom>
                  </pic:spPr>
                </pic:pic>
              </a:graphicData>
            </a:graphic>
          </wp:inline>
        </w:drawing>
      </w:r>
    </w:p>
    <w:p w14:paraId="090C7E35"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Southwest–Midwest–Ohio Spine:</w:t>
      </w:r>
    </w:p>
    <w:p w14:paraId="3F526F13" w14:textId="77777777" w:rsidR="00DC650F" w:rsidRPr="00DC650F" w:rsidRDefault="00DC650F" w:rsidP="00DC650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San Antonio → Austin → Houston → Waco → Dallas → Little Rock → Memphis </w:t>
      </w:r>
    </w:p>
    <w:p w14:paraId="587C121A" w14:textId="77777777" w:rsidR="00DC650F" w:rsidRPr="00DC650F" w:rsidRDefault="00DC650F" w:rsidP="00DC650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Memphis → Nashville → Louisville → Cincinnati → Columbus → Cleveland → Pittsburgh </w:t>
      </w:r>
    </w:p>
    <w:p w14:paraId="2ACF665C"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Midwest–Southeast–Carolina Spine:</w:t>
      </w:r>
    </w:p>
    <w:p w14:paraId="71969503" w14:textId="77777777" w:rsidR="00DC650F" w:rsidRPr="00DC650F" w:rsidRDefault="00DC650F" w:rsidP="00DC65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Chicago → Indianapolis → Louisville → Nashville → Atlanta </w:t>
      </w:r>
    </w:p>
    <w:p w14:paraId="38DF79C5" w14:textId="77777777" w:rsidR="00DC650F" w:rsidRPr="00DC650F" w:rsidRDefault="00DC650F" w:rsidP="00DC650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Atlanta → </w:t>
      </w:r>
      <w:r w:rsidRPr="00DC650F">
        <w:rPr>
          <w:rFonts w:ascii="Times New Roman" w:eastAsia="Times New Roman" w:hAnsi="Times New Roman" w:cs="Times New Roman"/>
          <w:b/>
          <w:bCs/>
          <w:sz w:val="24"/>
          <w:szCs w:val="24"/>
        </w:rPr>
        <w:t>Greenville</w:t>
      </w:r>
      <w:r w:rsidRPr="00DC650F">
        <w:rPr>
          <w:rFonts w:ascii="Times New Roman" w:eastAsia="Times New Roman" w:hAnsi="Times New Roman" w:cs="Times New Roman"/>
          <w:sz w:val="24"/>
          <w:szCs w:val="24"/>
        </w:rPr>
        <w:t xml:space="preserve"> → Charlotte → Greensboro → Raleigh </w:t>
      </w:r>
    </w:p>
    <w:p w14:paraId="704F40C6"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Key Connectors:</w:t>
      </w:r>
    </w:p>
    <w:p w14:paraId="2B74CD57" w14:textId="77777777" w:rsidR="00DC650F" w:rsidRPr="00DC650F" w:rsidRDefault="00DC650F" w:rsidP="00DC650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Memphis ↔ Nashville </w:t>
      </w:r>
    </w:p>
    <w:p w14:paraId="3AF63B2D" w14:textId="77777777" w:rsidR="00DC650F" w:rsidRPr="00DC650F" w:rsidRDefault="00DC650F" w:rsidP="00DC650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St. Louis ↔ Nashville </w:t>
      </w:r>
    </w:p>
    <w:p w14:paraId="13490C82"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Plains Corridor:</w:t>
      </w:r>
    </w:p>
    <w:p w14:paraId="7471A4ED" w14:textId="77777777" w:rsidR="00DC650F" w:rsidRPr="00DC650F" w:rsidRDefault="00DC650F" w:rsidP="00DC650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Dallas → Oklahoma City → Tulsa → Joplin → Kansas City → St. Louis → Springfield → Chicago </w:t>
      </w:r>
    </w:p>
    <w:p w14:paraId="46D0FFCC"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2E2FBFC">
          <v:rect id="_x0000_i1029" style="width:0;height:1.5pt" o:hralign="center" o:hrstd="t" o:hr="t" fillcolor="#a0a0a0" stroked="f"/>
        </w:pict>
      </w:r>
    </w:p>
    <w:p w14:paraId="5AF21DEF"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Major Design Insight</w:t>
      </w:r>
    </w:p>
    <w:p w14:paraId="15733816" w14:textId="30EB6B32" w:rsidR="00DC650F" w:rsidRPr="00C332F3"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C332F3">
        <w:rPr>
          <w:rFonts w:ascii="Times New Roman" w:eastAsia="Times New Roman" w:hAnsi="Times New Roman" w:cs="Times New Roman"/>
          <w:sz w:val="24"/>
          <w:szCs w:val="24"/>
        </w:rPr>
        <w:t xml:space="preserve">System performance is maximized when corridors form </w:t>
      </w:r>
      <w:r w:rsidRPr="00C332F3">
        <w:rPr>
          <w:rFonts w:ascii="Times New Roman" w:eastAsia="Times New Roman" w:hAnsi="Times New Roman" w:cs="Times New Roman"/>
          <w:bCs/>
          <w:sz w:val="24"/>
          <w:szCs w:val="24"/>
        </w:rPr>
        <w:t>continuous chains of mid-sized metropolitan areas</w:t>
      </w:r>
      <w:r w:rsidRPr="00C332F3">
        <w:rPr>
          <w:rFonts w:ascii="Times New Roman" w:eastAsia="Times New Roman" w:hAnsi="Times New Roman" w:cs="Times New Roman"/>
          <w:sz w:val="24"/>
          <w:szCs w:val="24"/>
        </w:rPr>
        <w:t>, rather than isolated point-to-point connections.</w:t>
      </w:r>
      <w:r w:rsidR="00F14146" w:rsidRPr="00C332F3">
        <w:rPr>
          <w:rFonts w:ascii="Times New Roman" w:eastAsia="Times New Roman" w:hAnsi="Times New Roman" w:cs="Times New Roman"/>
          <w:sz w:val="24"/>
          <w:szCs w:val="24"/>
        </w:rPr>
        <w:t xml:space="preserve"> </w:t>
      </w:r>
      <w:r w:rsidR="00F14146" w:rsidRPr="00C332F3">
        <w:rPr>
          <w:rFonts w:ascii="Times New Roman" w:hAnsi="Times New Roman" w:cs="Times New Roman"/>
          <w:sz w:val="24"/>
          <w:szCs w:val="24"/>
        </w:rPr>
        <w:t xml:space="preserve">This reflects the importance of </w:t>
      </w:r>
      <w:r w:rsidR="00F14146" w:rsidRPr="00C332F3">
        <w:rPr>
          <w:rStyle w:val="Strong"/>
          <w:rFonts w:ascii="Times New Roman" w:hAnsi="Times New Roman" w:cs="Times New Roman"/>
          <w:b w:val="0"/>
          <w:sz w:val="24"/>
          <w:szCs w:val="24"/>
        </w:rPr>
        <w:t>network effects and trip chaining</w:t>
      </w:r>
      <w:r w:rsidR="00F14146" w:rsidRPr="00C332F3">
        <w:rPr>
          <w:rFonts w:ascii="Times New Roman" w:hAnsi="Times New Roman" w:cs="Times New Roman"/>
          <w:b/>
          <w:sz w:val="24"/>
          <w:szCs w:val="24"/>
        </w:rPr>
        <w:t>,</w:t>
      </w:r>
      <w:r w:rsidR="00F14146" w:rsidRPr="00C332F3">
        <w:rPr>
          <w:rFonts w:ascii="Times New Roman" w:hAnsi="Times New Roman" w:cs="Times New Roman"/>
          <w:sz w:val="24"/>
          <w:szCs w:val="24"/>
        </w:rPr>
        <w:t xml:space="preserve"> where intermediate nodes generate additional demand and improve system-wide efficiency.</w:t>
      </w:r>
    </w:p>
    <w:p w14:paraId="003B6ACE"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The addition of Greenville, SC was found to significantly improve both ridership and system-wide efficiency by densifying the highest-performing southeastern corridor.</w:t>
      </w:r>
      <w:r>
        <w:rPr>
          <w:rFonts w:ascii="Times New Roman" w:eastAsia="Times New Roman" w:hAnsi="Times New Roman" w:cs="Times New Roman"/>
          <w:sz w:val="24"/>
          <w:szCs w:val="24"/>
        </w:rPr>
        <w:t xml:space="preserve"> In addition, the addition of Tulsa, OK, and Joplin, MO, was a major improvement for the Oklahoma City to Kansas City corridor from the originally proposed Oklahoma City to Wichita to Kansas City corridor. </w:t>
      </w:r>
    </w:p>
    <w:p w14:paraId="027D06E7"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E9F60D">
          <v:rect id="_x0000_i1030" style="width:0;height:1.5pt" o:hralign="center" o:hrstd="t" o:hr="t" fillcolor="#a0a0a0" stroked="f"/>
        </w:pict>
      </w:r>
    </w:p>
    <w:p w14:paraId="117E89E3"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3.2 Rejected Corridors</w:t>
      </w:r>
    </w:p>
    <w:p w14:paraId="3E7C93A2"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The following corridors were evaluated and found to degrade system performance:</w:t>
      </w:r>
    </w:p>
    <w:p w14:paraId="4C38810F" w14:textId="77777777" w:rsidR="00DC650F" w:rsidRPr="00DC650F" w:rsidRDefault="00DC650F" w:rsidP="00DC65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Memphis → Atlanta (all variants) </w:t>
      </w:r>
    </w:p>
    <w:p w14:paraId="2EBBFE75" w14:textId="77777777" w:rsidR="00DC650F" w:rsidRPr="00DC650F" w:rsidRDefault="00DC650F" w:rsidP="00DC65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Nashville → Knoxville → Greensboro </w:t>
      </w:r>
    </w:p>
    <w:p w14:paraId="7D1D9874" w14:textId="77777777" w:rsidR="00DC650F" w:rsidRPr="00DC650F" w:rsidRDefault="00DC650F" w:rsidP="00DC65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Dallas → Texarkana → Little Rock </w:t>
      </w:r>
    </w:p>
    <w:p w14:paraId="736EA50E" w14:textId="77777777" w:rsidR="00DC650F" w:rsidRPr="00DC650F" w:rsidRDefault="00DC650F" w:rsidP="00DC65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St. Louis → Evansville / Paducah → Nashville </w:t>
      </w:r>
    </w:p>
    <w:p w14:paraId="76BF014B" w14:textId="77777777" w:rsidR="00DC650F" w:rsidRPr="00DC650F" w:rsidRDefault="00DC650F" w:rsidP="00DC650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Oklahoma City → Wichita → Kansas City </w:t>
      </w:r>
    </w:p>
    <w:p w14:paraId="0AA3800C" w14:textId="20731513" w:rsidR="00DC650F" w:rsidRPr="00C332F3" w:rsidRDefault="00DC650F" w:rsidP="000D1EAE">
      <w:pPr>
        <w:spacing w:before="100" w:beforeAutospacing="1" w:after="100" w:afterAutospacing="1" w:line="240" w:lineRule="auto"/>
        <w:rPr>
          <w:rFonts w:ascii="Times New Roman" w:eastAsia="Times New Roman" w:hAnsi="Times New Roman" w:cs="Times New Roman"/>
          <w:b/>
          <w:sz w:val="24"/>
          <w:szCs w:val="24"/>
        </w:rPr>
      </w:pPr>
      <w:r w:rsidRPr="00DC650F">
        <w:rPr>
          <w:rFonts w:ascii="Times New Roman" w:eastAsia="Times New Roman" w:hAnsi="Times New Roman" w:cs="Times New Roman"/>
          <w:sz w:val="24"/>
          <w:szCs w:val="24"/>
        </w:rPr>
        <w:t>These results</w:t>
      </w:r>
      <w:r w:rsidR="00C332F3">
        <w:rPr>
          <w:rFonts w:ascii="Times New Roman" w:eastAsia="Times New Roman" w:hAnsi="Times New Roman" w:cs="Times New Roman"/>
          <w:sz w:val="24"/>
          <w:szCs w:val="24"/>
        </w:rPr>
        <w:t xml:space="preserve"> </w:t>
      </w:r>
      <w:r w:rsidRPr="00DC650F">
        <w:rPr>
          <w:rFonts w:ascii="Times New Roman" w:eastAsia="Times New Roman" w:hAnsi="Times New Roman" w:cs="Times New Roman"/>
          <w:sz w:val="24"/>
          <w:szCs w:val="24"/>
        </w:rPr>
        <w:t xml:space="preserve">demonstrate </w:t>
      </w:r>
      <w:r w:rsidR="00C332F3">
        <w:rPr>
          <w:rFonts w:ascii="Times New Roman" w:eastAsia="Times New Roman" w:hAnsi="Times New Roman" w:cs="Times New Roman"/>
          <w:sz w:val="24"/>
          <w:szCs w:val="24"/>
        </w:rPr>
        <w:t>that geographic intuition alone is insufficient for network design, and that improperly placed links can disrupt system-wide flow and overall efficiency. These re</w:t>
      </w:r>
      <w:r w:rsidR="00466C6E">
        <w:rPr>
          <w:rFonts w:ascii="Times New Roman" w:eastAsia="Times New Roman" w:hAnsi="Times New Roman" w:cs="Times New Roman"/>
          <w:sz w:val="24"/>
          <w:szCs w:val="24"/>
        </w:rPr>
        <w:t>s</w:t>
      </w:r>
      <w:r w:rsidR="00C332F3">
        <w:rPr>
          <w:rFonts w:ascii="Times New Roman" w:eastAsia="Times New Roman" w:hAnsi="Times New Roman" w:cs="Times New Roman"/>
          <w:sz w:val="24"/>
          <w:szCs w:val="24"/>
        </w:rPr>
        <w:t xml:space="preserve">ults are </w:t>
      </w:r>
      <w:r w:rsidR="00466C6E">
        <w:rPr>
          <w:rFonts w:ascii="Times New Roman" w:eastAsia="Times New Roman" w:hAnsi="Times New Roman" w:cs="Times New Roman"/>
          <w:sz w:val="24"/>
          <w:szCs w:val="24"/>
        </w:rPr>
        <w:t>shown</w:t>
      </w:r>
      <w:r w:rsidR="00C332F3">
        <w:rPr>
          <w:rFonts w:ascii="Times New Roman" w:eastAsia="Times New Roman" w:hAnsi="Times New Roman" w:cs="Times New Roman"/>
          <w:sz w:val="24"/>
          <w:szCs w:val="24"/>
        </w:rPr>
        <w:t xml:space="preserve"> in </w:t>
      </w:r>
      <w:r w:rsidR="00C332F3">
        <w:rPr>
          <w:rFonts w:ascii="Times New Roman" w:eastAsia="Times New Roman" w:hAnsi="Times New Roman" w:cs="Times New Roman"/>
          <w:b/>
          <w:sz w:val="24"/>
          <w:szCs w:val="24"/>
        </w:rPr>
        <w:t xml:space="preserve">Figure 2. </w:t>
      </w:r>
    </w:p>
    <w:p w14:paraId="5538BBFD" w14:textId="3B9B384F" w:rsidR="000D1EAE" w:rsidRDefault="000D1EAE" w:rsidP="000D1EAE">
      <w:pPr>
        <w:spacing w:before="100" w:beforeAutospacing="1" w:after="100" w:afterAutospacing="1" w:line="240" w:lineRule="auto"/>
        <w:rPr>
          <w:rFonts w:ascii="Times New Roman" w:hAnsi="Times New Roman" w:cs="Times New Roman"/>
          <w:sz w:val="24"/>
          <w:szCs w:val="24"/>
        </w:rPr>
      </w:pPr>
      <w:r w:rsidRPr="000D1EAE">
        <w:rPr>
          <w:rStyle w:val="Strong"/>
          <w:rFonts w:ascii="Times New Roman" w:hAnsi="Times New Roman" w:cs="Times New Roman"/>
          <w:sz w:val="24"/>
          <w:szCs w:val="24"/>
        </w:rPr>
        <w:t xml:space="preserve">Figure </w:t>
      </w:r>
      <w:r>
        <w:rPr>
          <w:rStyle w:val="Strong"/>
          <w:rFonts w:ascii="Times New Roman" w:hAnsi="Times New Roman" w:cs="Times New Roman"/>
          <w:sz w:val="24"/>
          <w:szCs w:val="24"/>
        </w:rPr>
        <w:t>2</w:t>
      </w:r>
      <w:r w:rsidRPr="000D1EAE">
        <w:rPr>
          <w:rStyle w:val="Strong"/>
          <w:rFonts w:ascii="Times New Roman" w:hAnsi="Times New Roman" w:cs="Times New Roman"/>
          <w:sz w:val="24"/>
          <w:szCs w:val="24"/>
        </w:rPr>
        <w:t>:</w:t>
      </w:r>
      <w:r w:rsidRPr="000D1EAE">
        <w:rPr>
          <w:rFonts w:ascii="Times New Roman" w:hAnsi="Times New Roman" w:cs="Times New Roman"/>
          <w:sz w:val="24"/>
          <w:szCs w:val="24"/>
        </w:rPr>
        <w:t xml:space="preserve"> Performance impact of evaluated alternative corridors. Several intuitive routes were found to reduce system-wide ridership and economic performance, demonstrating that network structure and corridor chaining are more important than geographic intuition alone.</w:t>
      </w:r>
    </w:p>
    <w:p w14:paraId="1E58981A" w14:textId="0F40495A" w:rsidR="000D1EAE" w:rsidRPr="000D1EAE" w:rsidRDefault="000D1EAE" w:rsidP="000D1E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4AB878" wp14:editId="355426F7">
            <wp:extent cx="5943600" cy="504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HR V2 Fig 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048250"/>
                    </a:xfrm>
                    <a:prstGeom prst="rect">
                      <a:avLst/>
                    </a:prstGeom>
                  </pic:spPr>
                </pic:pic>
              </a:graphicData>
            </a:graphic>
          </wp:inline>
        </w:drawing>
      </w:r>
    </w:p>
    <w:p w14:paraId="3D73F07A"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90FBCF">
          <v:rect id="_x0000_i1031" style="width:0;height:1.5pt" o:hralign="center" o:hrstd="t" o:hr="t" fillcolor="#a0a0a0" stroked="f"/>
        </w:pict>
      </w:r>
    </w:p>
    <w:p w14:paraId="23DD40EE"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3.3 Optional Extensions</w:t>
      </w:r>
    </w:p>
    <w:p w14:paraId="7A109E4F"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These provide demand but do not improve core efficiency:</w:t>
      </w:r>
    </w:p>
    <w:p w14:paraId="6A963136" w14:textId="77777777" w:rsidR="00DC650F" w:rsidRPr="00DC650F" w:rsidRDefault="00DC650F" w:rsidP="00DC65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Raleigh → Hampton Roads </w:t>
      </w:r>
    </w:p>
    <w:p w14:paraId="1EEACFD8" w14:textId="77777777" w:rsidR="00DC650F" w:rsidRPr="00DC650F" w:rsidRDefault="00DC650F" w:rsidP="00DC65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Gulf Coast corridor (long-term) </w:t>
      </w:r>
    </w:p>
    <w:p w14:paraId="3134422C" w14:textId="3D04AE3E" w:rsidR="00DC650F" w:rsidRDefault="00DC650F" w:rsidP="00DC650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Florida system (separate high-demand system) </w:t>
      </w:r>
    </w:p>
    <w:p w14:paraId="779D5B55" w14:textId="420D898C" w:rsidR="004B1024" w:rsidRDefault="00336A77" w:rsidP="004B10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C5D1C6">
          <v:rect id="_x0000_i1032" style="width:0;height:1.5pt" o:hralign="center" o:hrstd="t" o:hr="t" fillcolor="#a0a0a0" stroked="f"/>
        </w:pict>
      </w:r>
    </w:p>
    <w:p w14:paraId="10441D20" w14:textId="77777777" w:rsidR="004B1024" w:rsidRPr="004B1024" w:rsidRDefault="004B1024" w:rsidP="004B1024">
      <w:pPr>
        <w:pStyle w:val="Heading3"/>
        <w:rPr>
          <w:sz w:val="36"/>
          <w:szCs w:val="36"/>
        </w:rPr>
      </w:pPr>
      <w:r w:rsidRPr="004B1024">
        <w:rPr>
          <w:rStyle w:val="Strong"/>
          <w:b/>
          <w:bCs/>
          <w:sz w:val="36"/>
          <w:szCs w:val="36"/>
        </w:rPr>
        <w:t>3.4 Network Design Principle</w:t>
      </w:r>
    </w:p>
    <w:p w14:paraId="201E2001" w14:textId="77777777" w:rsidR="004B1024" w:rsidRPr="00C332F3" w:rsidRDefault="004B1024" w:rsidP="004B1024">
      <w:pPr>
        <w:pStyle w:val="NormalWeb"/>
      </w:pPr>
      <w:r w:rsidRPr="00C332F3">
        <w:t xml:space="preserve">The system is designed around a core principle: </w:t>
      </w:r>
      <w:r w:rsidRPr="00C332F3">
        <w:rPr>
          <w:rStyle w:val="Strong"/>
          <w:b w:val="0"/>
        </w:rPr>
        <w:t>continuous chains of mid-sized metropolitan areas outperform isolated high-demand endpoints</w:t>
      </w:r>
      <w:r w:rsidRPr="00C332F3">
        <w:t>.</w:t>
      </w:r>
    </w:p>
    <w:p w14:paraId="3EBE95DD" w14:textId="1E95CFB1" w:rsidR="004B1024" w:rsidRDefault="004B1024" w:rsidP="004B1024">
      <w:pPr>
        <w:pStyle w:val="NormalWeb"/>
      </w:pPr>
      <w:r w:rsidRPr="00C332F3">
        <w:lastRenderedPageBreak/>
        <w:t xml:space="preserve">Rather than maximizing individual corridor demand, the AHR system maximizes </w:t>
      </w:r>
      <w:r w:rsidRPr="00C332F3">
        <w:rPr>
          <w:rStyle w:val="Strong"/>
          <w:b w:val="0"/>
        </w:rPr>
        <w:t>network connectivity and trip chaining</w:t>
      </w:r>
      <w:r w:rsidRPr="00C332F3">
        <w:t>, allowing multiple medium-demand links to compound into high system-wide ridership and revenue.</w:t>
      </w:r>
    </w:p>
    <w:p w14:paraId="744D7F81" w14:textId="5E74A3D8" w:rsidR="00C332F3" w:rsidRPr="00C332F3" w:rsidRDefault="00C332F3" w:rsidP="004B1024">
      <w:pPr>
        <w:pStyle w:val="NormalWeb"/>
      </w:pPr>
      <w:r>
        <w:t>The central finding of this study is that network topology dominates corridor-level demand in determining system performance.</w:t>
      </w:r>
    </w:p>
    <w:p w14:paraId="7425F503" w14:textId="77777777" w:rsidR="004B1024" w:rsidRPr="00DC650F" w:rsidRDefault="004B1024" w:rsidP="004B1024">
      <w:pPr>
        <w:spacing w:before="100" w:beforeAutospacing="1" w:after="100" w:afterAutospacing="1" w:line="240" w:lineRule="auto"/>
        <w:rPr>
          <w:rFonts w:ascii="Times New Roman" w:eastAsia="Times New Roman" w:hAnsi="Times New Roman" w:cs="Times New Roman"/>
          <w:sz w:val="24"/>
          <w:szCs w:val="24"/>
        </w:rPr>
      </w:pPr>
    </w:p>
    <w:p w14:paraId="3CDB6E5F"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18F8AF">
          <v:rect id="_x0000_i1033" style="width:0;height:1.5pt" o:hralign="center" o:hrstd="t" o:hr="t" fillcolor="#a0a0a0" stroked="f"/>
        </w:pict>
      </w:r>
    </w:p>
    <w:p w14:paraId="49260AED"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4. Results</w:t>
      </w:r>
    </w:p>
    <w:p w14:paraId="537E0CD3" w14:textId="77777777"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4.1 Baseline Performance (Final System)</w:t>
      </w:r>
    </w:p>
    <w:p w14:paraId="25BED59E" w14:textId="77777777" w:rsidR="00DC650F" w:rsidRPr="00DC650F" w:rsidRDefault="00DC650F" w:rsidP="00DC65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Ridership: ~9.0M </w:t>
      </w:r>
    </w:p>
    <w:p w14:paraId="2515D582" w14:textId="77777777" w:rsidR="00DC650F" w:rsidRPr="00DC650F" w:rsidRDefault="00DC650F" w:rsidP="00DC65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Revenue: ~$635M </w:t>
      </w:r>
    </w:p>
    <w:p w14:paraId="51AC9E2A" w14:textId="77777777" w:rsidR="00DC650F" w:rsidRPr="00DC650F" w:rsidRDefault="00DC650F" w:rsidP="00DC65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Farebox: ~1.37 </w:t>
      </w:r>
    </w:p>
    <w:p w14:paraId="663C851A" w14:textId="77777777" w:rsidR="00DC650F" w:rsidRPr="00DC650F" w:rsidRDefault="00DC650F" w:rsidP="00DC65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BCR: ~2.42 </w:t>
      </w:r>
    </w:p>
    <w:p w14:paraId="3ACB1A1A" w14:textId="6A2DE8BD" w:rsidR="00DC650F" w:rsidRDefault="00DC650F" w:rsidP="00DC650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Subsidy: ~$0.47 per rider </w:t>
      </w:r>
    </w:p>
    <w:p w14:paraId="7E467758" w14:textId="3D7DFF25" w:rsidR="00F14146" w:rsidRDefault="00F14146" w:rsidP="00F14146">
      <w:pPr>
        <w:spacing w:before="100" w:beforeAutospacing="1" w:after="100" w:afterAutospacing="1" w:line="240" w:lineRule="auto"/>
        <w:rPr>
          <w:rFonts w:ascii="Times New Roman" w:hAnsi="Times New Roman" w:cs="Times New Roman"/>
          <w:b/>
          <w:sz w:val="24"/>
          <w:szCs w:val="24"/>
        </w:rPr>
      </w:pPr>
      <w:r w:rsidRPr="00F14146">
        <w:rPr>
          <w:rFonts w:ascii="Times New Roman" w:hAnsi="Times New Roman" w:cs="Times New Roman"/>
          <w:sz w:val="24"/>
          <w:szCs w:val="24"/>
        </w:rPr>
        <w:t>These results establish a strong baseline, but do not fully capture system behavior under uncertainty, which is addressed through Monte Carlo analysis in the following section.</w:t>
      </w:r>
      <w:r w:rsidR="00AC6059">
        <w:rPr>
          <w:rFonts w:ascii="Times New Roman" w:hAnsi="Times New Roman" w:cs="Times New Roman"/>
          <w:sz w:val="24"/>
          <w:szCs w:val="24"/>
        </w:rPr>
        <w:t xml:space="preserve"> The baseline performance is shown in </w:t>
      </w:r>
      <w:r w:rsidR="00AC6059">
        <w:rPr>
          <w:rFonts w:ascii="Times New Roman" w:hAnsi="Times New Roman" w:cs="Times New Roman"/>
          <w:b/>
          <w:sz w:val="24"/>
          <w:szCs w:val="24"/>
        </w:rPr>
        <w:t xml:space="preserve">Figure </w:t>
      </w:r>
      <w:r w:rsidR="000D1EAE">
        <w:rPr>
          <w:rFonts w:ascii="Times New Roman" w:hAnsi="Times New Roman" w:cs="Times New Roman"/>
          <w:b/>
          <w:sz w:val="24"/>
          <w:szCs w:val="24"/>
        </w:rPr>
        <w:t>3</w:t>
      </w:r>
      <w:r w:rsidR="00AC6059">
        <w:rPr>
          <w:rFonts w:ascii="Times New Roman" w:hAnsi="Times New Roman" w:cs="Times New Roman"/>
          <w:b/>
          <w:sz w:val="24"/>
          <w:szCs w:val="24"/>
        </w:rPr>
        <w:t xml:space="preserve">. </w:t>
      </w:r>
    </w:p>
    <w:p w14:paraId="7E1ECCFE" w14:textId="37AA1E36" w:rsidR="00AC6059" w:rsidRPr="00AC6059" w:rsidRDefault="00AC6059" w:rsidP="00F1414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w:t>
      </w:r>
      <w:r w:rsidR="000D1EAE">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w:t>
      </w:r>
      <w:r w:rsidRPr="00AC6059">
        <w:rPr>
          <w:rFonts w:ascii="Times New Roman" w:hAnsi="Times New Roman" w:cs="Times New Roman"/>
          <w:sz w:val="24"/>
          <w:szCs w:val="24"/>
        </w:rPr>
        <w:t xml:space="preserve">Baseline performance metrics for the finalized AHR system, showing annual ridership, revenue, public benefits, and operating costs, along with farebox recovery and benefit-cost ratio </w:t>
      </w:r>
      <w:r w:rsidRPr="00AC6059">
        <w:rPr>
          <w:rFonts w:ascii="Times New Roman" w:hAnsi="Times New Roman" w:cs="Times New Roman"/>
          <w:sz w:val="24"/>
          <w:szCs w:val="24"/>
        </w:rPr>
        <w:lastRenderedPageBreak/>
        <w:t>(BCR).</w:t>
      </w:r>
      <w:r w:rsidR="000D1EAE">
        <w:rPr>
          <w:rFonts w:ascii="Times New Roman" w:eastAsia="Times New Roman" w:hAnsi="Times New Roman" w:cs="Times New Roman"/>
          <w:b/>
          <w:noProof/>
          <w:sz w:val="24"/>
          <w:szCs w:val="24"/>
        </w:rPr>
        <w:t xml:space="preserve"> </w:t>
      </w:r>
      <w:r>
        <w:rPr>
          <w:rFonts w:ascii="Times New Roman" w:eastAsia="Times New Roman" w:hAnsi="Times New Roman" w:cs="Times New Roman"/>
          <w:b/>
          <w:noProof/>
          <w:sz w:val="24"/>
          <w:szCs w:val="24"/>
        </w:rPr>
        <w:drawing>
          <wp:inline distT="0" distB="0" distL="0" distR="0" wp14:anchorId="0FA35DD3" wp14:editId="432B31E1">
            <wp:extent cx="5943600" cy="57778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HR V2 Fig 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777865"/>
                    </a:xfrm>
                    <a:prstGeom prst="rect">
                      <a:avLst/>
                    </a:prstGeom>
                  </pic:spPr>
                </pic:pic>
              </a:graphicData>
            </a:graphic>
          </wp:inline>
        </w:drawing>
      </w:r>
    </w:p>
    <w:p w14:paraId="1CB52141"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092C29">
          <v:rect id="_x0000_i1034" style="width:0;height:1.5pt" o:hralign="center" o:hrstd="t" o:hr="t" fillcolor="#a0a0a0" stroked="f"/>
        </w:pict>
      </w:r>
    </w:p>
    <w:p w14:paraId="6BC96ADD" w14:textId="3812EA05" w:rsidR="00DC650F" w:rsidRPr="00DC650F" w:rsidRDefault="00DC650F" w:rsidP="00DC650F">
      <w:pPr>
        <w:spacing w:before="100" w:beforeAutospacing="1" w:after="100" w:afterAutospacing="1" w:line="240" w:lineRule="auto"/>
        <w:outlineLvl w:val="2"/>
        <w:rPr>
          <w:rFonts w:ascii="Times New Roman" w:eastAsia="Times New Roman" w:hAnsi="Times New Roman" w:cs="Times New Roman"/>
          <w:b/>
          <w:bCs/>
          <w:sz w:val="27"/>
          <w:szCs w:val="27"/>
        </w:rPr>
      </w:pPr>
      <w:r w:rsidRPr="00DC650F">
        <w:rPr>
          <w:rFonts w:ascii="Times New Roman" w:eastAsia="Times New Roman" w:hAnsi="Times New Roman" w:cs="Times New Roman"/>
          <w:b/>
          <w:bCs/>
          <w:sz w:val="27"/>
          <w:szCs w:val="27"/>
        </w:rPr>
        <w:t>4.2 Monte Carlo Results</w:t>
      </w:r>
    </w:p>
    <w:p w14:paraId="29159F97" w14:textId="77777777" w:rsidR="00DC650F" w:rsidRPr="00DC650F" w:rsidRDefault="00DC650F" w:rsidP="00DC65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Farebox ≥ 1.0 → </w:t>
      </w:r>
      <w:r w:rsidRPr="00DC650F">
        <w:rPr>
          <w:rFonts w:ascii="Times New Roman" w:eastAsia="Times New Roman" w:hAnsi="Times New Roman" w:cs="Times New Roman"/>
          <w:b/>
          <w:bCs/>
          <w:sz w:val="24"/>
          <w:szCs w:val="24"/>
        </w:rPr>
        <w:t>91% of runs</w:t>
      </w:r>
      <w:r w:rsidRPr="00DC650F">
        <w:rPr>
          <w:rFonts w:ascii="Times New Roman" w:eastAsia="Times New Roman" w:hAnsi="Times New Roman" w:cs="Times New Roman"/>
          <w:sz w:val="24"/>
          <w:szCs w:val="24"/>
        </w:rPr>
        <w:t xml:space="preserve"> </w:t>
      </w:r>
    </w:p>
    <w:p w14:paraId="3D982EB6" w14:textId="77777777" w:rsidR="00DC650F" w:rsidRPr="00DC650F" w:rsidRDefault="00DC650F" w:rsidP="00DC65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BCR ≥ 2.0 → </w:t>
      </w:r>
      <w:r w:rsidRPr="00DC650F">
        <w:rPr>
          <w:rFonts w:ascii="Times New Roman" w:eastAsia="Times New Roman" w:hAnsi="Times New Roman" w:cs="Times New Roman"/>
          <w:b/>
          <w:bCs/>
          <w:sz w:val="24"/>
          <w:szCs w:val="24"/>
        </w:rPr>
        <w:t>77% of runs</w:t>
      </w:r>
      <w:r w:rsidRPr="00DC650F">
        <w:rPr>
          <w:rFonts w:ascii="Times New Roman" w:eastAsia="Times New Roman" w:hAnsi="Times New Roman" w:cs="Times New Roman"/>
          <w:sz w:val="24"/>
          <w:szCs w:val="24"/>
        </w:rPr>
        <w:t xml:space="preserve"> </w:t>
      </w:r>
    </w:p>
    <w:p w14:paraId="1244C134" w14:textId="77777777" w:rsidR="00DC650F" w:rsidRPr="00DC650F" w:rsidRDefault="00DC650F" w:rsidP="00DC65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Zero subsidy → </w:t>
      </w:r>
      <w:r w:rsidRPr="00DC650F">
        <w:rPr>
          <w:rFonts w:ascii="Times New Roman" w:eastAsia="Times New Roman" w:hAnsi="Times New Roman" w:cs="Times New Roman"/>
          <w:b/>
          <w:bCs/>
          <w:sz w:val="24"/>
          <w:szCs w:val="24"/>
        </w:rPr>
        <w:t>91% of runs</w:t>
      </w:r>
      <w:r w:rsidRPr="00DC650F">
        <w:rPr>
          <w:rFonts w:ascii="Times New Roman" w:eastAsia="Times New Roman" w:hAnsi="Times New Roman" w:cs="Times New Roman"/>
          <w:sz w:val="24"/>
          <w:szCs w:val="24"/>
        </w:rPr>
        <w:t xml:space="preserve"> </w:t>
      </w:r>
    </w:p>
    <w:p w14:paraId="72B4AD7F" w14:textId="77777777" w:rsidR="00DC650F" w:rsidRPr="00DC650F" w:rsidRDefault="00DC650F" w:rsidP="00DC650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Subsidy &lt; $5 → </w:t>
      </w:r>
      <w:r w:rsidRPr="00DC650F">
        <w:rPr>
          <w:rFonts w:ascii="Times New Roman" w:eastAsia="Times New Roman" w:hAnsi="Times New Roman" w:cs="Times New Roman"/>
          <w:b/>
          <w:bCs/>
          <w:sz w:val="24"/>
          <w:szCs w:val="24"/>
        </w:rPr>
        <w:t>96.7%</w:t>
      </w:r>
      <w:r w:rsidRPr="00DC650F">
        <w:rPr>
          <w:rFonts w:ascii="Times New Roman" w:eastAsia="Times New Roman" w:hAnsi="Times New Roman" w:cs="Times New Roman"/>
          <w:sz w:val="24"/>
          <w:szCs w:val="24"/>
        </w:rPr>
        <w:t xml:space="preserve"> </w:t>
      </w:r>
    </w:p>
    <w:p w14:paraId="1870D787"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Worst-case:</w:t>
      </w:r>
    </w:p>
    <w:p w14:paraId="3C090938" w14:textId="77777777" w:rsidR="00DC650F" w:rsidRPr="00DC650F" w:rsidRDefault="00DC650F" w:rsidP="00DC650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lastRenderedPageBreak/>
        <w:t xml:space="preserve">BCR: 1.43 </w:t>
      </w:r>
    </w:p>
    <w:p w14:paraId="41B38581" w14:textId="77777777" w:rsidR="00DC650F" w:rsidRPr="00DC650F" w:rsidRDefault="00DC650F" w:rsidP="00DC650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manageable subsidy </w:t>
      </w:r>
    </w:p>
    <w:p w14:paraId="1F158FBD"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Best-case:</w:t>
      </w:r>
    </w:p>
    <w:p w14:paraId="19381264" w14:textId="77777777" w:rsidR="00DC650F" w:rsidRPr="00DC650F" w:rsidRDefault="00DC650F" w:rsidP="00DC650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BCR: 3.7 </w:t>
      </w:r>
    </w:p>
    <w:p w14:paraId="172639CF" w14:textId="2CD66A35" w:rsidR="00DC650F" w:rsidRDefault="00DC650F" w:rsidP="00DC650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zero subsidy </w:t>
      </w:r>
    </w:p>
    <w:p w14:paraId="38B52EBF" w14:textId="5AA5768E" w:rsidR="000D1EAE" w:rsidRPr="000D1EAE" w:rsidRDefault="000D1EAE" w:rsidP="000D1E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These results are </w:t>
      </w:r>
      <w:r w:rsidR="00466C6E">
        <w:rPr>
          <w:rFonts w:ascii="Times New Roman" w:eastAsia="Times New Roman" w:hAnsi="Times New Roman" w:cs="Times New Roman"/>
          <w:sz w:val="24"/>
          <w:szCs w:val="24"/>
        </w:rPr>
        <w:t>shown</w:t>
      </w:r>
      <w:r>
        <w:rPr>
          <w:rFonts w:ascii="Times New Roman" w:eastAsia="Times New Roman" w:hAnsi="Times New Roman" w:cs="Times New Roman"/>
          <w:sz w:val="24"/>
          <w:szCs w:val="24"/>
        </w:rPr>
        <w:t xml:space="preserve"> below in </w:t>
      </w:r>
      <w:r>
        <w:rPr>
          <w:rFonts w:ascii="Times New Roman" w:eastAsia="Times New Roman" w:hAnsi="Times New Roman" w:cs="Times New Roman"/>
          <w:b/>
          <w:sz w:val="24"/>
          <w:szCs w:val="24"/>
        </w:rPr>
        <w:t>Figure 4.</w:t>
      </w:r>
      <w:r w:rsidR="00C332F3">
        <w:rPr>
          <w:rFonts w:ascii="Times New Roman" w:eastAsia="Times New Roman" w:hAnsi="Times New Roman" w:cs="Times New Roman"/>
          <w:b/>
          <w:sz w:val="24"/>
          <w:szCs w:val="24"/>
        </w:rPr>
        <w:t xml:space="preserve"> </w:t>
      </w:r>
      <w:r w:rsidR="00C332F3">
        <w:rPr>
          <w:rFonts w:ascii="Times New Roman" w:eastAsia="Times New Roman" w:hAnsi="Times New Roman" w:cs="Times New Roman"/>
          <w:sz w:val="24"/>
          <w:szCs w:val="24"/>
        </w:rPr>
        <w:t xml:space="preserve">Notably, no simulation produced failure, indicating </w:t>
      </w:r>
      <w:r w:rsidR="00466C6E">
        <w:rPr>
          <w:rFonts w:ascii="Times New Roman" w:eastAsia="Times New Roman" w:hAnsi="Times New Roman" w:cs="Times New Roman"/>
          <w:sz w:val="24"/>
          <w:szCs w:val="24"/>
        </w:rPr>
        <w:t>that performance is driven by underlying network structure rather than favorable parameter selection.</w:t>
      </w:r>
      <w:r>
        <w:rPr>
          <w:rFonts w:ascii="Times New Roman" w:eastAsia="Times New Roman" w:hAnsi="Times New Roman" w:cs="Times New Roman"/>
          <w:b/>
          <w:sz w:val="24"/>
          <w:szCs w:val="24"/>
        </w:rPr>
        <w:t xml:space="preserve"> </w:t>
      </w:r>
    </w:p>
    <w:p w14:paraId="4F42B835" w14:textId="3BA7BBA5" w:rsidR="000D1EAE" w:rsidRDefault="000D1EAE" w:rsidP="000D1EAE">
      <w:pPr>
        <w:spacing w:before="100" w:beforeAutospacing="1" w:after="100" w:afterAutospacing="1" w:line="240" w:lineRule="auto"/>
        <w:rPr>
          <w:rFonts w:ascii="Times New Roman" w:hAnsi="Times New Roman" w:cs="Times New Roman"/>
          <w:sz w:val="24"/>
          <w:szCs w:val="24"/>
        </w:rPr>
      </w:pPr>
      <w:r>
        <w:rPr>
          <w:rFonts w:ascii="Times New Roman" w:eastAsia="Times New Roman" w:hAnsi="Times New Roman" w:cs="Times New Roman"/>
          <w:b/>
          <w:sz w:val="24"/>
          <w:szCs w:val="24"/>
        </w:rPr>
        <w:t xml:space="preserve">Figure 4. </w:t>
      </w:r>
      <w:r w:rsidRPr="000D1EAE">
        <w:rPr>
          <w:rFonts w:ascii="Times New Roman" w:hAnsi="Times New Roman" w:cs="Times New Roman"/>
          <w:sz w:val="24"/>
          <w:szCs w:val="24"/>
        </w:rPr>
        <w:t>Monte Carlo simulation results for the finalized AHR system. Distributions of benefit-cost ratio (BCR) and farebox recovery demonstrate strong robustness across a wide range of parameter assumptions. Threshold lines indicate key policy benchmarks.</w:t>
      </w:r>
    </w:p>
    <w:p w14:paraId="5C3A5469" w14:textId="58070FC7" w:rsidR="000D1EAE" w:rsidRPr="000D1EAE" w:rsidRDefault="000D1EAE" w:rsidP="000D1E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1F53670" wp14:editId="2B9F0B37">
            <wp:extent cx="5943600" cy="5330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HR V2 Fig 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330190"/>
                    </a:xfrm>
                    <a:prstGeom prst="rect">
                      <a:avLst/>
                    </a:prstGeom>
                  </pic:spPr>
                </pic:pic>
              </a:graphicData>
            </a:graphic>
          </wp:inline>
        </w:drawing>
      </w:r>
    </w:p>
    <w:p w14:paraId="30846582"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6F011E2">
          <v:rect id="_x0000_i1035" style="width:0;height:1.5pt" o:hralign="center" o:hrstd="t" o:hr="t" fillcolor="#a0a0a0" stroked="f"/>
        </w:pict>
      </w:r>
    </w:p>
    <w:p w14:paraId="6237059D"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Key Finding</w:t>
      </w:r>
    </w:p>
    <w:p w14:paraId="73DF4C9F" w14:textId="15682B2A" w:rsidR="00DC650F" w:rsidRPr="00DC650F" w:rsidRDefault="00DC650F" w:rsidP="00DC650F">
      <w:pPr>
        <w:spacing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The system demonstrates strong robustness, with no catastrophic failure scenario across tested parameter ranges</w:t>
      </w:r>
      <w:r w:rsidRPr="004B1024">
        <w:rPr>
          <w:rFonts w:ascii="Times New Roman" w:eastAsia="Times New Roman" w:hAnsi="Times New Roman" w:cs="Times New Roman"/>
          <w:sz w:val="24"/>
          <w:szCs w:val="24"/>
        </w:rPr>
        <w:t>.</w:t>
      </w:r>
      <w:r w:rsidR="004B1024" w:rsidRPr="004B1024">
        <w:rPr>
          <w:rFonts w:ascii="Times New Roman" w:eastAsia="Times New Roman" w:hAnsi="Times New Roman" w:cs="Times New Roman"/>
          <w:sz w:val="24"/>
          <w:szCs w:val="24"/>
        </w:rPr>
        <w:t xml:space="preserve"> </w:t>
      </w:r>
      <w:r w:rsidR="004B1024" w:rsidRPr="004B1024">
        <w:rPr>
          <w:rFonts w:ascii="Times New Roman" w:hAnsi="Times New Roman" w:cs="Times New Roman"/>
          <w:sz w:val="24"/>
          <w:szCs w:val="24"/>
        </w:rPr>
        <w:t xml:space="preserve">These results indicate that the system is not only economically viable in expectation, but </w:t>
      </w:r>
      <w:r w:rsidR="004B1024" w:rsidRPr="004B1024">
        <w:rPr>
          <w:rStyle w:val="Strong"/>
          <w:rFonts w:ascii="Times New Roman" w:hAnsi="Times New Roman" w:cs="Times New Roman"/>
          <w:sz w:val="24"/>
          <w:szCs w:val="24"/>
        </w:rPr>
        <w:t>highly resilient to uncertainty</w:t>
      </w:r>
      <w:r w:rsidR="004B1024" w:rsidRPr="004B1024">
        <w:rPr>
          <w:rFonts w:ascii="Times New Roman" w:hAnsi="Times New Roman" w:cs="Times New Roman"/>
          <w:sz w:val="24"/>
          <w:szCs w:val="24"/>
        </w:rPr>
        <w:t>, with no observed scenarios resulting in systemic failure.</w:t>
      </w:r>
    </w:p>
    <w:p w14:paraId="588B61E0"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EB0802">
          <v:rect id="_x0000_i1036" style="width:0;height:1.5pt" o:hralign="center" o:hrstd="t" o:hr="t" fillcolor="#a0a0a0" stroked="f"/>
        </w:pict>
      </w:r>
    </w:p>
    <w:p w14:paraId="7636C0CA"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4.3 Network Effects</w:t>
      </w:r>
    </w:p>
    <w:p w14:paraId="2D8EED3C"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Expansion into Ohio produces:</w:t>
      </w:r>
    </w:p>
    <w:p w14:paraId="5F2FE758" w14:textId="77777777" w:rsidR="00DC650F" w:rsidRPr="00DC650F" w:rsidRDefault="00DC650F" w:rsidP="00DC650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large ridership gains </w:t>
      </w:r>
    </w:p>
    <w:p w14:paraId="4BCAFEEC" w14:textId="77777777" w:rsidR="00DC650F" w:rsidRPr="00DC650F" w:rsidRDefault="00DC650F" w:rsidP="00DC650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strong network amplification </w:t>
      </w:r>
    </w:p>
    <w:p w14:paraId="45A28969"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Greenville provides:</w:t>
      </w:r>
    </w:p>
    <w:p w14:paraId="077E6DA5" w14:textId="77777777" w:rsidR="00DC650F" w:rsidRPr="00DC650F" w:rsidRDefault="00DC650F" w:rsidP="00DC650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both </w:t>
      </w:r>
      <w:r w:rsidRPr="00DC650F">
        <w:rPr>
          <w:rFonts w:ascii="Times New Roman" w:eastAsia="Times New Roman" w:hAnsi="Times New Roman" w:cs="Times New Roman"/>
          <w:b/>
          <w:bCs/>
          <w:sz w:val="24"/>
          <w:szCs w:val="24"/>
        </w:rPr>
        <w:t>local demand</w:t>
      </w:r>
      <w:r w:rsidRPr="00DC650F">
        <w:rPr>
          <w:rFonts w:ascii="Times New Roman" w:eastAsia="Times New Roman" w:hAnsi="Times New Roman" w:cs="Times New Roman"/>
          <w:sz w:val="24"/>
          <w:szCs w:val="24"/>
        </w:rPr>
        <w:t xml:space="preserve"> and </w:t>
      </w:r>
      <w:r w:rsidRPr="00DC650F">
        <w:rPr>
          <w:rFonts w:ascii="Times New Roman" w:eastAsia="Times New Roman" w:hAnsi="Times New Roman" w:cs="Times New Roman"/>
          <w:b/>
          <w:bCs/>
          <w:sz w:val="24"/>
          <w:szCs w:val="24"/>
        </w:rPr>
        <w:t>system-wide efficiency gains</w:t>
      </w:r>
      <w:r w:rsidRPr="00DC650F">
        <w:rPr>
          <w:rFonts w:ascii="Times New Roman" w:eastAsia="Times New Roman" w:hAnsi="Times New Roman" w:cs="Times New Roman"/>
          <w:sz w:val="24"/>
          <w:szCs w:val="24"/>
        </w:rPr>
        <w:t xml:space="preserve"> </w:t>
      </w:r>
    </w:p>
    <w:p w14:paraId="18410705"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9F06B3">
          <v:rect id="_x0000_i1037" style="width:0;height:1.5pt" o:hralign="center" o:hrstd="t" o:hr="t" fillcolor="#a0a0a0" stroked="f"/>
        </w:pict>
      </w:r>
    </w:p>
    <w:p w14:paraId="11B70783"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4.4 Segment Importance</w:t>
      </w:r>
    </w:p>
    <w:p w14:paraId="35A7E503" w14:textId="3B216CB5"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Critical segments</w:t>
      </w:r>
      <w:r w:rsidR="000D1EAE">
        <w:rPr>
          <w:rFonts w:ascii="Times New Roman" w:eastAsia="Times New Roman" w:hAnsi="Times New Roman" w:cs="Times New Roman"/>
          <w:sz w:val="24"/>
          <w:szCs w:val="24"/>
        </w:rPr>
        <w:t xml:space="preserve">, which are shown in </w:t>
      </w:r>
      <w:r w:rsidR="000D1EAE">
        <w:rPr>
          <w:rFonts w:ascii="Times New Roman" w:eastAsia="Times New Roman" w:hAnsi="Times New Roman" w:cs="Times New Roman"/>
          <w:b/>
          <w:sz w:val="24"/>
          <w:szCs w:val="24"/>
        </w:rPr>
        <w:t>Figure 5</w:t>
      </w:r>
      <w:r w:rsidRPr="00DC650F">
        <w:rPr>
          <w:rFonts w:ascii="Times New Roman" w:eastAsia="Times New Roman" w:hAnsi="Times New Roman" w:cs="Times New Roman"/>
          <w:sz w:val="24"/>
          <w:szCs w:val="24"/>
        </w:rPr>
        <w:t>:</w:t>
      </w:r>
    </w:p>
    <w:p w14:paraId="05097551" w14:textId="385B2956" w:rsidR="00DC650F" w:rsidRPr="00DC650F" w:rsidRDefault="000D1EAE" w:rsidP="00DC650F">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Austin</w:t>
      </w:r>
      <w:r w:rsidR="00DC650F" w:rsidRPr="00DC650F">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Houston</w:t>
      </w:r>
    </w:p>
    <w:p w14:paraId="56E65401" w14:textId="159D7392" w:rsidR="00DC650F" w:rsidRPr="00DC650F" w:rsidRDefault="000D1EAE" w:rsidP="00DC650F">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Cincinnati </w:t>
      </w:r>
      <w:r w:rsidRPr="00DC650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Columbus</w:t>
      </w:r>
    </w:p>
    <w:p w14:paraId="5D319150" w14:textId="77BAC171" w:rsidR="00DC650F" w:rsidRPr="00DC650F" w:rsidRDefault="00DC650F" w:rsidP="00DC650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Louisville ↔ </w:t>
      </w:r>
      <w:r w:rsidR="000D1EAE">
        <w:rPr>
          <w:rFonts w:ascii="Times New Roman" w:eastAsia="Times New Roman" w:hAnsi="Times New Roman" w:cs="Times New Roman"/>
          <w:sz w:val="24"/>
          <w:szCs w:val="24"/>
        </w:rPr>
        <w:t>Cincinnati</w:t>
      </w:r>
    </w:p>
    <w:p w14:paraId="51A099EE" w14:textId="77777777" w:rsidR="00DC650F" w:rsidRPr="00DC650F" w:rsidRDefault="00DC650F" w:rsidP="00DC650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Dallas ↔ Waco </w:t>
      </w:r>
    </w:p>
    <w:p w14:paraId="7AB24C47" w14:textId="1C4DAC20" w:rsidR="000D1EAE" w:rsidRDefault="00DC650F" w:rsidP="000D1E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Atlanta ↔ </w:t>
      </w:r>
      <w:r w:rsidR="000D1EAE">
        <w:rPr>
          <w:rFonts w:ascii="Times New Roman" w:eastAsia="Times New Roman" w:hAnsi="Times New Roman" w:cs="Times New Roman"/>
          <w:sz w:val="24"/>
          <w:szCs w:val="24"/>
        </w:rPr>
        <w:t>Charlotte</w:t>
      </w:r>
    </w:p>
    <w:p w14:paraId="4CB5DF05" w14:textId="073F0565" w:rsidR="000D1EAE" w:rsidRDefault="000D1EAE" w:rsidP="000D1EAE">
      <w:pPr>
        <w:pStyle w:val="NormalWeb"/>
      </w:pPr>
      <w:r w:rsidRPr="000D1EAE">
        <w:rPr>
          <w:b/>
          <w:bCs/>
        </w:rPr>
        <w:t xml:space="preserve">Figure </w:t>
      </w:r>
      <w:r>
        <w:rPr>
          <w:b/>
          <w:bCs/>
        </w:rPr>
        <w:t>5</w:t>
      </w:r>
      <w:r w:rsidRPr="000D1EAE">
        <w:rPr>
          <w:b/>
          <w:bCs/>
        </w:rPr>
        <w:t>:</w:t>
      </w:r>
      <w:r w:rsidRPr="000D1EAE">
        <w:t xml:space="preserve"> Segment importance ranking based on ridership loss following removal of individual links. Several key corridors, including </w:t>
      </w:r>
      <w:r>
        <w:t>Dallas-Waco</w:t>
      </w:r>
      <w:r w:rsidRPr="000D1EAE">
        <w:t xml:space="preserve"> and Atlanta–</w:t>
      </w:r>
      <w:r>
        <w:t>Charlotte</w:t>
      </w:r>
      <w:r w:rsidRPr="000D1EAE">
        <w:t>, are critical to maintaining system-wide performance.</w:t>
      </w:r>
    </w:p>
    <w:p w14:paraId="0A6CE393" w14:textId="103DC23D" w:rsidR="000D1EAE" w:rsidRPr="000D1EAE" w:rsidRDefault="000D1EAE" w:rsidP="000D1EAE">
      <w:pPr>
        <w:pStyle w:val="NormalWeb"/>
      </w:pPr>
      <w:r>
        <w:rPr>
          <w:noProof/>
        </w:rPr>
        <w:lastRenderedPageBreak/>
        <w:drawing>
          <wp:inline distT="0" distB="0" distL="0" distR="0" wp14:anchorId="2C515A7B" wp14:editId="5B8D1D20">
            <wp:extent cx="5943600" cy="4429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HR V2 Fig 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429125"/>
                    </a:xfrm>
                    <a:prstGeom prst="rect">
                      <a:avLst/>
                    </a:prstGeom>
                  </pic:spPr>
                </pic:pic>
              </a:graphicData>
            </a:graphic>
          </wp:inline>
        </w:drawing>
      </w:r>
    </w:p>
    <w:p w14:paraId="6AD0FFF8" w14:textId="272F0402" w:rsidR="000D1EAE" w:rsidRPr="000D1EAE" w:rsidRDefault="000D1EAE" w:rsidP="000D1EAE">
      <w:pPr>
        <w:spacing w:before="100" w:beforeAutospacing="1" w:after="100" w:afterAutospacing="1" w:line="240" w:lineRule="auto"/>
        <w:rPr>
          <w:rFonts w:ascii="Times New Roman" w:eastAsia="Times New Roman" w:hAnsi="Times New Roman" w:cs="Times New Roman"/>
          <w:b/>
          <w:sz w:val="24"/>
          <w:szCs w:val="24"/>
        </w:rPr>
      </w:pPr>
    </w:p>
    <w:p w14:paraId="5A1F8651" w14:textId="77777777" w:rsidR="000D1EAE" w:rsidRPr="000D1EAE" w:rsidRDefault="000D1EAE" w:rsidP="000D1EAE">
      <w:pPr>
        <w:spacing w:before="100" w:beforeAutospacing="1" w:after="100" w:afterAutospacing="1" w:line="240" w:lineRule="auto"/>
        <w:rPr>
          <w:rFonts w:ascii="Times New Roman" w:eastAsia="Times New Roman" w:hAnsi="Times New Roman" w:cs="Times New Roman"/>
          <w:sz w:val="24"/>
          <w:szCs w:val="24"/>
        </w:rPr>
      </w:pPr>
    </w:p>
    <w:p w14:paraId="7F744419"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D0CFED">
          <v:rect id="_x0000_i1038" style="width:0;height:1.5pt" o:hralign="center" o:hrstd="t" o:hr="t" fillcolor="#a0a0a0" stroked="f"/>
        </w:pict>
      </w:r>
    </w:p>
    <w:p w14:paraId="2A6562BA"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5. Discussion</w:t>
      </w:r>
    </w:p>
    <w:p w14:paraId="0E8945ED"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The AHR system demonstrates that successful intercity rail networks in the U.S. depend on:</w:t>
      </w:r>
    </w:p>
    <w:p w14:paraId="434C4C18" w14:textId="77777777" w:rsidR="00DC650F" w:rsidRPr="00DC650F" w:rsidRDefault="00DC650F" w:rsidP="00DC650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corridor density </w:t>
      </w:r>
    </w:p>
    <w:p w14:paraId="61101AFF" w14:textId="77777777" w:rsidR="00DC650F" w:rsidRPr="00DC650F" w:rsidRDefault="00DC650F" w:rsidP="00DC650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network connectivity </w:t>
      </w:r>
    </w:p>
    <w:p w14:paraId="41E88027" w14:textId="77777777" w:rsidR="00DC650F" w:rsidRPr="00DC650F" w:rsidRDefault="00DC650F" w:rsidP="00DC650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frequency </w:t>
      </w:r>
    </w:p>
    <w:p w14:paraId="0F893801" w14:textId="77777777" w:rsidR="00DC650F" w:rsidRP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The study also identifies three corridor types:</w:t>
      </w:r>
    </w:p>
    <w:p w14:paraId="1E363E0E" w14:textId="77777777" w:rsidR="00DC650F" w:rsidRPr="00DC650F" w:rsidRDefault="00DC650F" w:rsidP="00DC650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b/>
          <w:bCs/>
          <w:sz w:val="24"/>
          <w:szCs w:val="24"/>
        </w:rPr>
        <w:t>Core multipliers</w:t>
      </w:r>
      <w:r w:rsidRPr="00DC650F">
        <w:rPr>
          <w:rFonts w:ascii="Times New Roman" w:eastAsia="Times New Roman" w:hAnsi="Times New Roman" w:cs="Times New Roman"/>
          <w:sz w:val="24"/>
          <w:szCs w:val="24"/>
        </w:rPr>
        <w:t xml:space="preserve"> (improve entire system) </w:t>
      </w:r>
    </w:p>
    <w:p w14:paraId="21F761B3" w14:textId="77777777" w:rsidR="00DC650F" w:rsidRPr="00DC650F" w:rsidRDefault="00DC650F" w:rsidP="00DC650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b/>
          <w:bCs/>
          <w:sz w:val="24"/>
          <w:szCs w:val="24"/>
        </w:rPr>
        <w:t>Terminal extensions</w:t>
      </w:r>
      <w:r w:rsidRPr="00DC650F">
        <w:rPr>
          <w:rFonts w:ascii="Times New Roman" w:eastAsia="Times New Roman" w:hAnsi="Times New Roman" w:cs="Times New Roman"/>
          <w:sz w:val="24"/>
          <w:szCs w:val="24"/>
        </w:rPr>
        <w:t xml:space="preserve"> (add demand only) </w:t>
      </w:r>
    </w:p>
    <w:p w14:paraId="2A6BD5DD" w14:textId="77777777" w:rsidR="00DC650F" w:rsidRPr="00DC650F" w:rsidRDefault="00DC650F" w:rsidP="00DC650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b/>
          <w:bCs/>
          <w:sz w:val="24"/>
          <w:szCs w:val="24"/>
        </w:rPr>
        <w:t>Regional feeders</w:t>
      </w:r>
      <w:r w:rsidRPr="00DC650F">
        <w:rPr>
          <w:rFonts w:ascii="Times New Roman" w:eastAsia="Times New Roman" w:hAnsi="Times New Roman" w:cs="Times New Roman"/>
          <w:sz w:val="24"/>
          <w:szCs w:val="24"/>
        </w:rPr>
        <w:t xml:space="preserve"> (connect to hubs) </w:t>
      </w:r>
    </w:p>
    <w:p w14:paraId="05F83DDB" w14:textId="273BBCC5" w:rsidR="00DC650F" w:rsidRDefault="00DC650F" w:rsidP="00DC650F">
      <w:p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lastRenderedPageBreak/>
        <w:t>The system naturally defines geographic boundaries, beyond which additional expansion reduces efficiency.</w:t>
      </w:r>
    </w:p>
    <w:p w14:paraId="39C599B9" w14:textId="2DA82A87" w:rsidR="004B1024" w:rsidRDefault="004B1024" w:rsidP="004B1024">
      <w:pPr>
        <w:spacing w:beforeAutospacing="1" w:after="100" w:afterAutospacing="1" w:line="240" w:lineRule="auto"/>
        <w:rPr>
          <w:rFonts w:ascii="Times New Roman" w:eastAsia="Times New Roman" w:hAnsi="Times New Roman" w:cs="Times New Roman"/>
          <w:sz w:val="24"/>
          <w:szCs w:val="24"/>
        </w:rPr>
      </w:pPr>
      <w:r w:rsidRPr="004B1024">
        <w:rPr>
          <w:rFonts w:ascii="Times New Roman" w:eastAsia="Times New Roman" w:hAnsi="Times New Roman" w:cs="Times New Roman"/>
          <w:sz w:val="24"/>
          <w:szCs w:val="24"/>
        </w:rPr>
        <w:t xml:space="preserve">A key implication of this study is that </w:t>
      </w:r>
      <w:r w:rsidRPr="00C332F3">
        <w:rPr>
          <w:rFonts w:ascii="Times New Roman" w:eastAsia="Times New Roman" w:hAnsi="Times New Roman" w:cs="Times New Roman"/>
          <w:bCs/>
          <w:sz w:val="24"/>
          <w:szCs w:val="24"/>
        </w:rPr>
        <w:t>rail viability in the United States is not strictly a function of population density</w:t>
      </w:r>
      <w:r w:rsidRPr="004B1024">
        <w:rPr>
          <w:rFonts w:ascii="Times New Roman" w:eastAsia="Times New Roman" w:hAnsi="Times New Roman" w:cs="Times New Roman"/>
          <w:sz w:val="24"/>
          <w:szCs w:val="24"/>
        </w:rPr>
        <w:t xml:space="preserve">, but rather of </w:t>
      </w:r>
      <w:r w:rsidRPr="00C332F3">
        <w:rPr>
          <w:rFonts w:ascii="Times New Roman" w:eastAsia="Times New Roman" w:hAnsi="Times New Roman" w:cs="Times New Roman"/>
          <w:bCs/>
          <w:sz w:val="24"/>
          <w:szCs w:val="24"/>
        </w:rPr>
        <w:t>network structure and corridor chaining</w:t>
      </w:r>
      <w:r w:rsidRPr="004B1024">
        <w:rPr>
          <w:rFonts w:ascii="Times New Roman" w:eastAsia="Times New Roman" w:hAnsi="Times New Roman" w:cs="Times New Roman"/>
          <w:sz w:val="24"/>
          <w:szCs w:val="24"/>
        </w:rPr>
        <w:t>. This challenges the conventional focus on isolated high-density corridors and suggests a new paradigm for regional rail development.</w:t>
      </w:r>
    </w:p>
    <w:p w14:paraId="27745682" w14:textId="52C19E68" w:rsidR="00F14146" w:rsidRPr="00F14146" w:rsidRDefault="00F14146" w:rsidP="004B1024">
      <w:pPr>
        <w:spacing w:beforeAutospacing="1" w:after="100" w:afterAutospacing="1" w:line="240" w:lineRule="auto"/>
        <w:rPr>
          <w:rFonts w:ascii="Times New Roman" w:eastAsia="Times New Roman" w:hAnsi="Times New Roman" w:cs="Times New Roman"/>
          <w:sz w:val="24"/>
          <w:szCs w:val="24"/>
        </w:rPr>
      </w:pPr>
      <w:r w:rsidRPr="00F14146">
        <w:rPr>
          <w:rFonts w:ascii="Times New Roman" w:hAnsi="Times New Roman" w:cs="Times New Roman"/>
          <w:sz w:val="24"/>
          <w:szCs w:val="24"/>
        </w:rPr>
        <w:t xml:space="preserve">These findings </w:t>
      </w:r>
      <w:r w:rsidR="00C332F3">
        <w:rPr>
          <w:rFonts w:ascii="Times New Roman" w:hAnsi="Times New Roman" w:cs="Times New Roman"/>
          <w:sz w:val="24"/>
          <w:szCs w:val="24"/>
        </w:rPr>
        <w:t>suggest a shift in U.S. rail planning paradigms, from corridor-centric evaluation toward network-centric optimization</w:t>
      </w:r>
      <w:r w:rsidRPr="00F14146">
        <w:rPr>
          <w:rFonts w:ascii="Times New Roman" w:hAnsi="Times New Roman" w:cs="Times New Roman"/>
          <w:sz w:val="24"/>
          <w:szCs w:val="24"/>
        </w:rPr>
        <w:t>.</w:t>
      </w:r>
      <w:r w:rsidR="00C332F3">
        <w:rPr>
          <w:rFonts w:ascii="Times New Roman" w:hAnsi="Times New Roman" w:cs="Times New Roman"/>
          <w:sz w:val="24"/>
          <w:szCs w:val="24"/>
        </w:rPr>
        <w:t xml:space="preserve"> Traditional approaches prioritize high-demand endpoints, </w:t>
      </w:r>
      <w:r w:rsidR="00466C6E">
        <w:rPr>
          <w:rFonts w:ascii="Times New Roman" w:hAnsi="Times New Roman" w:cs="Times New Roman"/>
          <w:sz w:val="24"/>
          <w:szCs w:val="24"/>
        </w:rPr>
        <w:t>while</w:t>
      </w:r>
      <w:r w:rsidR="00C332F3">
        <w:rPr>
          <w:rFonts w:ascii="Times New Roman" w:hAnsi="Times New Roman" w:cs="Times New Roman"/>
          <w:sz w:val="24"/>
          <w:szCs w:val="24"/>
        </w:rPr>
        <w:t xml:space="preserve"> this study demonstrates that intermediate nodes and connectivity structure are equally, if not more, important. </w:t>
      </w:r>
    </w:p>
    <w:p w14:paraId="1F69A160"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C59B35">
          <v:rect id="_x0000_i1039" style="width:0;height:1.5pt" o:hralign="center" o:hrstd="t" o:hr="t" fillcolor="#a0a0a0" stroked="f"/>
        </w:pict>
      </w:r>
    </w:p>
    <w:p w14:paraId="326096CC"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6. Conclusions</w:t>
      </w:r>
    </w:p>
    <w:p w14:paraId="3E85EF6B" w14:textId="77777777" w:rsidR="00DC650F" w:rsidRPr="00DC650F" w:rsidRDefault="00DC650F" w:rsidP="00DC650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The AHR system is economically viable and robust </w:t>
      </w:r>
    </w:p>
    <w:p w14:paraId="333EB782" w14:textId="77777777" w:rsidR="00DC650F" w:rsidRPr="00DC650F" w:rsidRDefault="00DC650F" w:rsidP="00DC650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Greenville is a critical addition to the southeastern corridor </w:t>
      </w:r>
    </w:p>
    <w:p w14:paraId="0812D5B0" w14:textId="77777777" w:rsidR="00DC650F" w:rsidRPr="00DC650F" w:rsidRDefault="00DC650F" w:rsidP="00DC650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Many intuitive corridors degrade performance </w:t>
      </w:r>
    </w:p>
    <w:p w14:paraId="559C8426" w14:textId="77777777" w:rsidR="00DC650F" w:rsidRPr="00DC650F" w:rsidRDefault="00DC650F" w:rsidP="00DC650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The system has a clear geographic boundary </w:t>
      </w:r>
    </w:p>
    <w:p w14:paraId="2CB372D2" w14:textId="77777777" w:rsidR="004B1024" w:rsidRDefault="00DC650F" w:rsidP="00DC650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Expansion beyond this boundary should be treated as separate systems</w:t>
      </w:r>
    </w:p>
    <w:p w14:paraId="70867D05" w14:textId="6B6E0B50" w:rsidR="00DC650F" w:rsidRDefault="004B1024" w:rsidP="00DC650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B1024">
        <w:rPr>
          <w:rFonts w:ascii="Times New Roman" w:hAnsi="Times New Roman" w:cs="Times New Roman"/>
          <w:sz w:val="24"/>
          <w:szCs w:val="24"/>
        </w:rPr>
        <w:t xml:space="preserve">System viability is driven more by </w:t>
      </w:r>
      <w:r w:rsidRPr="00C332F3">
        <w:rPr>
          <w:rStyle w:val="Strong"/>
          <w:rFonts w:ascii="Times New Roman" w:hAnsi="Times New Roman" w:cs="Times New Roman"/>
          <w:b w:val="0"/>
          <w:sz w:val="24"/>
          <w:szCs w:val="24"/>
        </w:rPr>
        <w:t>network topology than individual corridor strength</w:t>
      </w:r>
      <w:r w:rsidR="00DC650F" w:rsidRPr="004B1024">
        <w:rPr>
          <w:rFonts w:ascii="Times New Roman" w:eastAsia="Times New Roman" w:hAnsi="Times New Roman" w:cs="Times New Roman"/>
          <w:sz w:val="24"/>
          <w:szCs w:val="24"/>
        </w:rPr>
        <w:t xml:space="preserve"> </w:t>
      </w:r>
    </w:p>
    <w:p w14:paraId="77B4E52F" w14:textId="68E6DCF6" w:rsidR="00C332F3" w:rsidRPr="004B1024" w:rsidRDefault="00C332F3" w:rsidP="00C332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w:t>
      </w:r>
      <w:r w:rsidR="00466C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AHR system demonstrates that economically viable intercity rail in the United States is achievable through strategic network design rather than reliance on megacity density alone. </w:t>
      </w:r>
    </w:p>
    <w:p w14:paraId="72771323" w14:textId="77777777" w:rsidR="00DC650F" w:rsidRPr="00DC650F" w:rsidRDefault="00336A77" w:rsidP="00DC65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DFE724">
          <v:rect id="_x0000_i1040" style="width:0;height:1.5pt" o:hralign="center" o:hrstd="t" o:hr="t" fillcolor="#a0a0a0" stroked="f"/>
        </w:pict>
      </w:r>
    </w:p>
    <w:p w14:paraId="5D261C53" w14:textId="77777777" w:rsidR="00DC650F" w:rsidRPr="00DC650F" w:rsidRDefault="00DC650F" w:rsidP="00DC650F">
      <w:pPr>
        <w:spacing w:before="100" w:beforeAutospacing="1" w:after="100" w:afterAutospacing="1" w:line="240" w:lineRule="auto"/>
        <w:outlineLvl w:val="1"/>
        <w:rPr>
          <w:rFonts w:ascii="Times New Roman" w:eastAsia="Times New Roman" w:hAnsi="Times New Roman" w:cs="Times New Roman"/>
          <w:b/>
          <w:bCs/>
          <w:sz w:val="36"/>
          <w:szCs w:val="36"/>
        </w:rPr>
      </w:pPr>
      <w:r w:rsidRPr="00DC650F">
        <w:rPr>
          <w:rFonts w:ascii="Times New Roman" w:eastAsia="Times New Roman" w:hAnsi="Times New Roman" w:cs="Times New Roman"/>
          <w:b/>
          <w:bCs/>
          <w:sz w:val="36"/>
          <w:szCs w:val="36"/>
        </w:rPr>
        <w:t>7. Recommendations</w:t>
      </w:r>
    </w:p>
    <w:p w14:paraId="0031772D" w14:textId="77777777" w:rsidR="004B1024" w:rsidRPr="004B1024" w:rsidRDefault="004B1024" w:rsidP="00DC650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B1024">
        <w:rPr>
          <w:rFonts w:ascii="Times New Roman" w:hAnsi="Times New Roman" w:cs="Times New Roman"/>
          <w:sz w:val="24"/>
          <w:szCs w:val="24"/>
        </w:rPr>
        <w:t>Prioritize phased implementation of core corridor spines to establish early network effects</w:t>
      </w:r>
    </w:p>
    <w:p w14:paraId="60E9BF40" w14:textId="7981B609" w:rsidR="00DC650F" w:rsidRPr="00DC650F" w:rsidRDefault="00DC650F" w:rsidP="00DC650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Expand selectively (Ohio, Plains) </w:t>
      </w:r>
    </w:p>
    <w:p w14:paraId="025AE121" w14:textId="77777777" w:rsidR="00DC650F" w:rsidRPr="00DC650F" w:rsidRDefault="00DC650F" w:rsidP="00DC650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Add Greenville as part of initial design </w:t>
      </w:r>
    </w:p>
    <w:p w14:paraId="737B7186" w14:textId="77777777" w:rsidR="00DC650F" w:rsidRPr="00DC650F" w:rsidRDefault="00DC650F" w:rsidP="00DC650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 xml:space="preserve">Treat extensions as future phases </w:t>
      </w:r>
    </w:p>
    <w:p w14:paraId="61BF06E9" w14:textId="77777777" w:rsidR="00DC650F" w:rsidRPr="00DC650F" w:rsidRDefault="00DC650F" w:rsidP="00DC650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C650F">
        <w:rPr>
          <w:rFonts w:ascii="Times New Roman" w:eastAsia="Times New Roman" w:hAnsi="Times New Roman" w:cs="Times New Roman"/>
          <w:sz w:val="24"/>
          <w:szCs w:val="24"/>
        </w:rPr>
        <w:t>Maintain network efficiency over geographic coverage</w:t>
      </w:r>
    </w:p>
    <w:p w14:paraId="7878F255" w14:textId="77777777" w:rsidR="00345CFC" w:rsidRDefault="00336A77"/>
    <w:sectPr w:rsidR="00345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B0F6B"/>
    <w:multiLevelType w:val="multilevel"/>
    <w:tmpl w:val="3E2E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C99"/>
    <w:multiLevelType w:val="multilevel"/>
    <w:tmpl w:val="7D6C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13BFD"/>
    <w:multiLevelType w:val="multilevel"/>
    <w:tmpl w:val="45B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E6D0B"/>
    <w:multiLevelType w:val="multilevel"/>
    <w:tmpl w:val="2F8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37562"/>
    <w:multiLevelType w:val="multilevel"/>
    <w:tmpl w:val="FC0C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C1509"/>
    <w:multiLevelType w:val="multilevel"/>
    <w:tmpl w:val="697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A6A1A"/>
    <w:multiLevelType w:val="multilevel"/>
    <w:tmpl w:val="5DE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705D"/>
    <w:multiLevelType w:val="multilevel"/>
    <w:tmpl w:val="D46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67897"/>
    <w:multiLevelType w:val="multilevel"/>
    <w:tmpl w:val="2C38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E7188"/>
    <w:multiLevelType w:val="multilevel"/>
    <w:tmpl w:val="98B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662A6"/>
    <w:multiLevelType w:val="multilevel"/>
    <w:tmpl w:val="AB5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854F7"/>
    <w:multiLevelType w:val="multilevel"/>
    <w:tmpl w:val="916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06C87"/>
    <w:multiLevelType w:val="multilevel"/>
    <w:tmpl w:val="6CB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87401"/>
    <w:multiLevelType w:val="multilevel"/>
    <w:tmpl w:val="3AB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F24EF"/>
    <w:multiLevelType w:val="multilevel"/>
    <w:tmpl w:val="445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07FDB"/>
    <w:multiLevelType w:val="multilevel"/>
    <w:tmpl w:val="B390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56B65"/>
    <w:multiLevelType w:val="multilevel"/>
    <w:tmpl w:val="B08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9470D"/>
    <w:multiLevelType w:val="multilevel"/>
    <w:tmpl w:val="02E6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03D55"/>
    <w:multiLevelType w:val="multilevel"/>
    <w:tmpl w:val="6C0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F7C03"/>
    <w:multiLevelType w:val="multilevel"/>
    <w:tmpl w:val="C9B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9046C"/>
    <w:multiLevelType w:val="multilevel"/>
    <w:tmpl w:val="CBE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55539"/>
    <w:multiLevelType w:val="multilevel"/>
    <w:tmpl w:val="6A5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07E1D"/>
    <w:multiLevelType w:val="multilevel"/>
    <w:tmpl w:val="D07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9"/>
  </w:num>
  <w:num w:numId="3">
    <w:abstractNumId w:val="1"/>
  </w:num>
  <w:num w:numId="4">
    <w:abstractNumId w:val="18"/>
  </w:num>
  <w:num w:numId="5">
    <w:abstractNumId w:val="21"/>
  </w:num>
  <w:num w:numId="6">
    <w:abstractNumId w:val="14"/>
  </w:num>
  <w:num w:numId="7">
    <w:abstractNumId w:val="15"/>
  </w:num>
  <w:num w:numId="8">
    <w:abstractNumId w:val="20"/>
  </w:num>
  <w:num w:numId="9">
    <w:abstractNumId w:val="17"/>
  </w:num>
  <w:num w:numId="10">
    <w:abstractNumId w:val="12"/>
  </w:num>
  <w:num w:numId="11">
    <w:abstractNumId w:val="16"/>
  </w:num>
  <w:num w:numId="12">
    <w:abstractNumId w:val="9"/>
  </w:num>
  <w:num w:numId="13">
    <w:abstractNumId w:val="7"/>
  </w:num>
  <w:num w:numId="14">
    <w:abstractNumId w:val="5"/>
  </w:num>
  <w:num w:numId="15">
    <w:abstractNumId w:val="6"/>
  </w:num>
  <w:num w:numId="16">
    <w:abstractNumId w:val="10"/>
  </w:num>
  <w:num w:numId="17">
    <w:abstractNumId w:val="2"/>
  </w:num>
  <w:num w:numId="18">
    <w:abstractNumId w:val="22"/>
  </w:num>
  <w:num w:numId="19">
    <w:abstractNumId w:val="8"/>
  </w:num>
  <w:num w:numId="20">
    <w:abstractNumId w:val="11"/>
  </w:num>
  <w:num w:numId="21">
    <w:abstractNumId w:val="4"/>
  </w:num>
  <w:num w:numId="22">
    <w:abstractNumId w:val="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0F"/>
    <w:rsid w:val="000D1EAE"/>
    <w:rsid w:val="00336A77"/>
    <w:rsid w:val="003C4C5B"/>
    <w:rsid w:val="00466C6E"/>
    <w:rsid w:val="004B1024"/>
    <w:rsid w:val="00AC6059"/>
    <w:rsid w:val="00C332F3"/>
    <w:rsid w:val="00DC650F"/>
    <w:rsid w:val="00F14146"/>
    <w:rsid w:val="00F96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5111E221"/>
  <w15:chartTrackingRefBased/>
  <w15:docId w15:val="{6F259C48-4F96-4973-8D1E-F1486FE6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C65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65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65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650F"/>
    <w:rPr>
      <w:rFonts w:ascii="Times New Roman" w:eastAsia="Times New Roman" w:hAnsi="Times New Roman" w:cs="Times New Roman"/>
      <w:b/>
      <w:bCs/>
      <w:sz w:val="27"/>
      <w:szCs w:val="27"/>
    </w:rPr>
  </w:style>
  <w:style w:type="character" w:styleId="Strong">
    <w:name w:val="Strong"/>
    <w:basedOn w:val="DefaultParagraphFont"/>
    <w:uiPriority w:val="22"/>
    <w:qFormat/>
    <w:rsid w:val="00DC650F"/>
    <w:rPr>
      <w:b/>
      <w:bCs/>
    </w:rPr>
  </w:style>
  <w:style w:type="paragraph" w:styleId="NormalWeb">
    <w:name w:val="Normal (Web)"/>
    <w:basedOn w:val="Normal"/>
    <w:uiPriority w:val="99"/>
    <w:semiHidden/>
    <w:unhideWhenUsed/>
    <w:rsid w:val="00DC65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650F"/>
    <w:rPr>
      <w:i/>
      <w:iCs/>
    </w:rPr>
  </w:style>
  <w:style w:type="character" w:customStyle="1" w:styleId="katex-mathml">
    <w:name w:val="katex-mathml"/>
    <w:basedOn w:val="DefaultParagraphFont"/>
    <w:rsid w:val="00DC650F"/>
  </w:style>
  <w:style w:type="character" w:customStyle="1" w:styleId="mord">
    <w:name w:val="mord"/>
    <w:basedOn w:val="DefaultParagraphFont"/>
    <w:rsid w:val="00DC650F"/>
  </w:style>
  <w:style w:type="character" w:customStyle="1" w:styleId="vlist-s">
    <w:name w:val="vlist-s"/>
    <w:basedOn w:val="DefaultParagraphFont"/>
    <w:rsid w:val="00DC650F"/>
  </w:style>
  <w:style w:type="character" w:customStyle="1" w:styleId="mrel">
    <w:name w:val="mrel"/>
    <w:basedOn w:val="DefaultParagraphFont"/>
    <w:rsid w:val="00DC650F"/>
  </w:style>
  <w:style w:type="character" w:customStyle="1" w:styleId="mbin">
    <w:name w:val="mbin"/>
    <w:basedOn w:val="DefaultParagraphFont"/>
    <w:rsid w:val="00DC6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87205">
      <w:bodyDiv w:val="1"/>
      <w:marLeft w:val="0"/>
      <w:marRight w:val="0"/>
      <w:marTop w:val="0"/>
      <w:marBottom w:val="0"/>
      <w:divBdr>
        <w:top w:val="none" w:sz="0" w:space="0" w:color="auto"/>
        <w:left w:val="none" w:sz="0" w:space="0" w:color="auto"/>
        <w:bottom w:val="none" w:sz="0" w:space="0" w:color="auto"/>
        <w:right w:val="none" w:sz="0" w:space="0" w:color="auto"/>
      </w:divBdr>
    </w:div>
    <w:div w:id="468477080">
      <w:bodyDiv w:val="1"/>
      <w:marLeft w:val="0"/>
      <w:marRight w:val="0"/>
      <w:marTop w:val="0"/>
      <w:marBottom w:val="0"/>
      <w:divBdr>
        <w:top w:val="none" w:sz="0" w:space="0" w:color="auto"/>
        <w:left w:val="none" w:sz="0" w:space="0" w:color="auto"/>
        <w:bottom w:val="none" w:sz="0" w:space="0" w:color="auto"/>
        <w:right w:val="none" w:sz="0" w:space="0" w:color="auto"/>
      </w:divBdr>
      <w:divsChild>
        <w:div w:id="22026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660129">
      <w:bodyDiv w:val="1"/>
      <w:marLeft w:val="0"/>
      <w:marRight w:val="0"/>
      <w:marTop w:val="0"/>
      <w:marBottom w:val="0"/>
      <w:divBdr>
        <w:top w:val="none" w:sz="0" w:space="0" w:color="auto"/>
        <w:left w:val="none" w:sz="0" w:space="0" w:color="auto"/>
        <w:bottom w:val="none" w:sz="0" w:space="0" w:color="auto"/>
        <w:right w:val="none" w:sz="0" w:space="0" w:color="auto"/>
      </w:divBdr>
      <w:divsChild>
        <w:div w:id="1661344291">
          <w:blockQuote w:val="1"/>
          <w:marLeft w:val="720"/>
          <w:marRight w:val="720"/>
          <w:marTop w:val="100"/>
          <w:marBottom w:val="100"/>
          <w:divBdr>
            <w:top w:val="none" w:sz="0" w:space="0" w:color="auto"/>
            <w:left w:val="none" w:sz="0" w:space="0" w:color="auto"/>
            <w:bottom w:val="none" w:sz="0" w:space="0" w:color="auto"/>
            <w:right w:val="none" w:sz="0" w:space="0" w:color="auto"/>
          </w:divBdr>
        </w:div>
        <w:div w:id="70880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168672">
      <w:bodyDiv w:val="1"/>
      <w:marLeft w:val="0"/>
      <w:marRight w:val="0"/>
      <w:marTop w:val="0"/>
      <w:marBottom w:val="0"/>
      <w:divBdr>
        <w:top w:val="none" w:sz="0" w:space="0" w:color="auto"/>
        <w:left w:val="none" w:sz="0" w:space="0" w:color="auto"/>
        <w:bottom w:val="none" w:sz="0" w:space="0" w:color="auto"/>
        <w:right w:val="none" w:sz="0" w:space="0" w:color="auto"/>
      </w:divBdr>
    </w:div>
    <w:div w:id="961378859">
      <w:bodyDiv w:val="1"/>
      <w:marLeft w:val="0"/>
      <w:marRight w:val="0"/>
      <w:marTop w:val="0"/>
      <w:marBottom w:val="0"/>
      <w:divBdr>
        <w:top w:val="none" w:sz="0" w:space="0" w:color="auto"/>
        <w:left w:val="none" w:sz="0" w:space="0" w:color="auto"/>
        <w:bottom w:val="none" w:sz="0" w:space="0" w:color="auto"/>
        <w:right w:val="none" w:sz="0" w:space="0" w:color="auto"/>
      </w:divBdr>
      <w:divsChild>
        <w:div w:id="121932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9EF992301D5548882DAD290E22D24F" ma:contentTypeVersion="16" ma:contentTypeDescription="Create a new document." ma:contentTypeScope="" ma:versionID="1bec25ec39ff5ebeae1ba2ff5e6cfd4f">
  <xsd:schema xmlns:xsd="http://www.w3.org/2001/XMLSchema" xmlns:xs="http://www.w3.org/2001/XMLSchema" xmlns:p="http://schemas.microsoft.com/office/2006/metadata/properties" xmlns:ns3="3e6b4ad8-ade7-45b6-8522-9a37942e41ac" xmlns:ns4="0fac9dd0-363f-4c00-8bb2-960bd792267a" targetNamespace="http://schemas.microsoft.com/office/2006/metadata/properties" ma:root="true" ma:fieldsID="507722541a5527d9610b20f6372db2ed" ns3:_="" ns4:_="">
    <xsd:import namespace="3e6b4ad8-ade7-45b6-8522-9a37942e41ac"/>
    <xsd:import namespace="0fac9dd0-363f-4c00-8bb2-960bd792267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6b4ad8-ade7-45b6-8522-9a37942e4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fac9dd0-363f-4c00-8bb2-960bd792267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e6b4ad8-ade7-45b6-8522-9a37942e41ac" xsi:nil="true"/>
  </documentManagement>
</p:properties>
</file>

<file path=customXml/itemProps1.xml><?xml version="1.0" encoding="utf-8"?>
<ds:datastoreItem xmlns:ds="http://schemas.openxmlformats.org/officeDocument/2006/customXml" ds:itemID="{1969EC37-59BE-4AB3-82FE-819F15D3D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6b4ad8-ade7-45b6-8522-9a37942e41ac"/>
    <ds:schemaRef ds:uri="0fac9dd0-363f-4c00-8bb2-960bd79226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6BDFDE-A826-4E9E-A762-936E64E892F3}">
  <ds:schemaRefs>
    <ds:schemaRef ds:uri="http://schemas.microsoft.com/sharepoint/v3/contenttype/forms"/>
  </ds:schemaRefs>
</ds:datastoreItem>
</file>

<file path=customXml/itemProps3.xml><?xml version="1.0" encoding="utf-8"?>
<ds:datastoreItem xmlns:ds="http://schemas.openxmlformats.org/officeDocument/2006/customXml" ds:itemID="{688CD058-6FE0-473D-AD89-F2146668F9A0}">
  <ds:schemaRefs>
    <ds:schemaRef ds:uri="http://purl.org/dc/elements/1.1/"/>
    <ds:schemaRef ds:uri="http://schemas.microsoft.com/office/infopath/2007/PartnerControls"/>
    <ds:schemaRef ds:uri="http://purl.org/dc/dcmitype/"/>
    <ds:schemaRef ds:uri="3e6b4ad8-ade7-45b6-8522-9a37942e41ac"/>
    <ds:schemaRef ds:uri="0fac9dd0-363f-4c00-8bb2-960bd792267a"/>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Gilmer (MTM)</dc:creator>
  <cp:keywords/>
  <dc:description/>
  <cp:lastModifiedBy>Tyler Gilmer (MTM)</cp:lastModifiedBy>
  <cp:revision>7</cp:revision>
  <dcterms:created xsi:type="dcterms:W3CDTF">2026-04-15T19:18:00Z</dcterms:created>
  <dcterms:modified xsi:type="dcterms:W3CDTF">2026-04-16T12:42:00Z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0x010100859EF992301D5548882DAD290E22D24F</vt:lpwstr>
  </property>
</Properties>
</file>