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1E5FB4"/>
          <w:spacing w:val="24"/>
          <w:sz w:val="18"/>
          <w:szCs w:val="18"/>
        </w:rPr>
        <w:t xml:space="preserve">SYSTEM ARCHITECTURE DOCUMENT</w:t>
      </w:r>
    </w:p>
    <w:p>
      <w:pPr>
        <w:spacing w:after="60"/>
      </w:pPr>
      <w:r>
        <w:rPr>
          <w:b/>
          <w:bCs/>
          <w:color w:val="1A2230"/>
          <w:sz w:val="56"/>
          <w:szCs w:val="56"/>
        </w:rPr>
        <w:t xml:space="preserve">CyberHRMS Platform</w:t>
      </w:r>
    </w:p>
    <w:p>
      <w:pPr>
        <w:spacing w:after="20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A multi-tenant HRMS/ERP SaaS: an ASP.NET Core (.NET 10) Clean-Architecture backend and a React 19 SPA, paired with a standalone </w:t>
      </w: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Home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portal that federates every subsystem behind one workspace.</w:t>
      </w:r>
    </w:p>
    <w:p>
      <w:pPr>
        <w:spacing w:after="60" w:before="140"/>
      </w:pPr>
      <w:r>
        <w:rPr>
          <w:rFonts w:ascii="Consolas" w:cs="Consolas" w:eastAsia="Consolas" w:hAnsi="Consolas"/>
          <w:color w:val="5B6472"/>
          <w:sz w:val="15"/>
          <w:szCs w:val="15"/>
        </w:rPr>
        <w:t xml:space="preserve">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ASPECT</w:t>
            </w:r>
          </w:p>
        </w:tc>
        <w:tc>
          <w:tcPr>
            <w:tcW w:type="pct" w:w="68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CHOICE</w:t>
            </w:r>
          </w:p>
        </w:tc>
      </w:tr>
      <w:tr>
        <w:tc>
          <w:tcPr>
            <w:tcW w:type="pct" w:w="3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Backend</w:t>
            </w:r>
          </w:p>
        </w:tc>
        <w:tc>
          <w:tcPr>
            <w:tcW w:type="pct" w:w="68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ASP.NET Core · .NET 10</w:t>
            </w:r>
          </w:p>
        </w:tc>
      </w:tr>
      <w:tr>
        <w:tc>
          <w:tcPr>
            <w:tcW w:type="pct" w:w="3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Frontend</w:t>
            </w:r>
          </w:p>
        </w:tc>
        <w:tc>
          <w:tcPr>
            <w:tcW w:type="pct" w:w="68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React 19 · Vite · TypeScript</w:t>
            </w:r>
          </w:p>
        </w:tc>
      </w:tr>
      <w:tr>
        <w:tc>
          <w:tcPr>
            <w:tcW w:type="pct" w:w="3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Database</w:t>
            </w:r>
          </w:p>
        </w:tc>
        <w:tc>
          <w:tcPr>
            <w:tcW w:type="pct" w:w="68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SQL Server (EF Core 10)</w:t>
            </w:r>
          </w:p>
        </w:tc>
      </w:tr>
      <w:tr>
        <w:tc>
          <w:tcPr>
            <w:tcW w:type="pct" w:w="3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Architecture pattern</w:t>
            </w:r>
          </w:p>
        </w:tc>
        <w:tc>
          <w:tcPr>
            <w:tcW w:type="pct" w:w="68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Clean Architecture (Dom ← App ← Inf, Api root)</w:t>
            </w:r>
          </w:p>
        </w:tc>
      </w:tr>
      <w:tr>
        <w:tc>
          <w:tcPr>
            <w:tcW w:type="pct" w:w="3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Multi-tenancy</w:t>
            </w:r>
          </w:p>
        </w:tc>
        <w:tc>
          <w:tcPr>
            <w:tcW w:type="pct" w:w="68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Finbuckle, enforced in the data-access layer</w:t>
            </w:r>
          </w:p>
        </w:tc>
      </w:tr>
      <w:tr>
        <w:tc>
          <w:tcPr>
            <w:tcW w:type="pct" w:w="3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Applications</w:t>
            </w:r>
          </w:p>
        </w:tc>
        <w:tc>
          <w:tcPr>
            <w:tcW w:type="pct" w:w="68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HRMS SPA + Home portal (shared identity store)</w:t>
            </w:r>
          </w:p>
        </w:tc>
      </w:tr>
    </w:tbl>
    <w:p>
      <w:pPr>
        <w:spacing w:after="60" w:before="260"/>
      </w:pPr>
      <w:r>
        <w:rPr>
          <w:rFonts w:ascii="Consolas" w:cs="Consolas" w:eastAsia="Consolas" w:hAnsi="Consolas"/>
          <w:b/>
          <w:bCs/>
          <w:color w:val="5B6472"/>
          <w:sz w:val="16"/>
          <w:szCs w:val="1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5DAE2" w:sz="6" w:space="8"/>
        </w:pBdr>
        <w:spacing w:after="60" w:before="360"/>
      </w:pPr>
      <w:r>
        <w:rPr>
          <w:rFonts w:ascii="Consolas" w:cs="Consolas" w:eastAsia="Consolas" w:hAnsi="Consolas"/>
          <w:b/>
          <w:bCs/>
          <w:color w:val="1E5FB4"/>
          <w:sz w:val="26"/>
          <w:szCs w:val="26"/>
        </w:rPr>
        <w:t xml:space="preserve">01  </w:t>
      </w:r>
      <w:r>
        <w:rPr>
          <w:b/>
          <w:bCs/>
          <w:color w:val="1A2230"/>
          <w:sz w:val="30"/>
          <w:szCs w:val="30"/>
        </w:rPr>
        <w:t xml:space="preserve">System Overview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CyberHRMS is one product built as two independently-deployed halves that share a single SQL Server database and a common identity store.</w:t>
      </w: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The two applications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HRMS application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the full back-office system: organization structure, employees, recruitment, performance, leave, compensation and every administrative module. A React SPA talking to the HRMS API.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Home portal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a lean, standalone workspace (its own Dom/App/Inf/Api and its own React SPA) that acts as the master hub across subsystems. It owns only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coreNotification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deep-links into subsystems via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coreSubsystem.Url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and shares the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Core.User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Core.Tenant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identity tables with HRMS while keeping its own migration history.</w:t>
      </w:r>
    </w:p>
    <w:p>
      <w:pPr>
        <w:spacing w:after="40" w:before="160"/>
        <w:jc w:val="center"/>
      </w:pPr>
      <w:r>
        <w:drawing>
          <wp:inline distT="0" distB="0" distL="0" distR="0">
            <wp:extent cx="52578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5B6472"/>
          <w:sz w:val="16"/>
          <w:szCs w:val="16"/>
        </w:rPr>
        <w:t xml:space="preserve">Fig 1.1 — </w:t>
      </w:r>
      <w:r>
        <w:rPr>
          <w:i/>
          <w:iCs/>
          <w:color w:val="5B6472"/>
          <w:sz w:val="16"/>
          <w:szCs w:val="16"/>
        </w:rPr>
        <w:t xml:space="preserve">System context: two SPAs, two APIs, one database, one shared identity store.</w:t>
      </w:r>
    </w:p>
    <w:p>
      <w:pPr>
        <w:pStyle w:val="Heading1"/>
        <w:pBdr>
          <w:bottom w:val="single" w:color="D5DAE2" w:sz="6" w:space="8"/>
        </w:pBdr>
        <w:spacing w:after="60" w:before="360"/>
      </w:pPr>
      <w:r>
        <w:rPr>
          <w:rFonts w:ascii="Consolas" w:cs="Consolas" w:eastAsia="Consolas" w:hAnsi="Consolas"/>
          <w:b/>
          <w:bCs/>
          <w:color w:val="1E5FB4"/>
          <w:sz w:val="26"/>
          <w:szCs w:val="26"/>
        </w:rPr>
        <w:t xml:space="preserve">02  </w:t>
      </w:r>
      <w:r>
        <w:rPr>
          <w:b/>
          <w:bCs/>
          <w:color w:val="1A2230"/>
          <w:sz w:val="30"/>
          <w:szCs w:val="30"/>
        </w:rPr>
        <w:t xml:space="preserve">Technology Stack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Every dependency earns its place; wiring is explicit rather than convention-magic.</w:t>
      </w:r>
    </w:p>
    <w:p>
      <w:pPr>
        <w:spacing w:after="60" w:before="140"/>
      </w:pPr>
      <w:r>
        <w:rPr>
          <w:rFonts w:ascii="Consolas" w:cs="Consolas" w:eastAsia="Consolas" w:hAnsi="Consolas"/>
          <w:color w:val="5B6472"/>
          <w:sz w:val="15"/>
          <w:szCs w:val="15"/>
        </w:rPr>
        <w:t xml:space="preserve">BACKEND — ASP.NET CORE (.NET 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CONCERN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TECHNOLOGY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ROLE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Runtime / API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ASP.NET Core, .NET 10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Versioned REST controllers (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api/v{version}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) + minimal-API endpoints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ORM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EF Core 10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Code-first; migrations in the Inf project; SQL Server provider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Multi-tenancy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Finbuckle.MultiTenant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Per-request tenant resolution +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MultiTenantDbContext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Validation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FluentValidation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Per-slice validators, thrown from handlers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Time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NodaTime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Instant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for all timestamps (never raw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DateTime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Reporting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Dapper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Stored-procedure execution for the report engine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Background jobs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Hangfire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Recurring jobs: leave rollover, due movements, settlement reminders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Logging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Serilog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Structured logs, configured at the composition root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Auth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Cookie / session (+ JWT config)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Controllers gate on the Cookies scheme via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BaseController</w:t>
            </w:r>
          </w:p>
        </w:tc>
      </w:tr>
    </w:tbl>
    <w:p>
      <w:pPr>
        <w:spacing w:after="120"/>
      </w:pPr>
    </w:p>
    <w:p>
      <w:pPr>
        <w:spacing w:after="60" w:before="140"/>
      </w:pPr>
      <w:r>
        <w:rPr>
          <w:rFonts w:ascii="Consolas" w:cs="Consolas" w:eastAsia="Consolas" w:hAnsi="Consolas"/>
          <w:color w:val="5B6472"/>
          <w:sz w:val="15"/>
          <w:szCs w:val="15"/>
        </w:rPr>
        <w:t xml:space="preserve">FRONTEND — REACT 19 SPA (SHARED BY HRMS + HOME)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CONCERN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TECHNOLOGY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ROLE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Framework / build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React 19 + Vite + TypeScript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@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src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alias; typecheck gates the build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Styling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Tailwind CSS v4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Token-driven, theme-aware (light / dark)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Server state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TanStack React Query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Caching, invalidation, request cancellation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Client state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React Context + Preact Signals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Stores aggregated in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store/index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Routing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React Router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Pages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lazy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memo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ProtectedRoute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PermissionGate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i18n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i18next / react-i18next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Locale resources under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src/locales</w:t>
            </w:r>
          </w:p>
        </w:tc>
      </w:tr>
      <w:tr>
        <w:tc>
          <w:tcPr>
            <w:tcW w:type="pct" w:w="2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Data viz / docs</w:t>
            </w:r>
          </w:p>
        </w:tc>
        <w:tc>
          <w:tcPr>
            <w:tcW w:type="pct" w:w="2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ECharts, Recharts, @react-pdf, TipTap</w:t>
            </w:r>
          </w:p>
        </w:tc>
        <w:tc>
          <w:tcPr>
            <w:tcW w:type="pct" w:w="52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Dashboards, PDF export, rich-text templates; bespoke SVG org chart</w:t>
            </w:r>
          </w:p>
        </w:tc>
      </w:tr>
    </w:tbl>
    <w:p>
      <w:pPr>
        <w:pStyle w:val="Heading1"/>
        <w:pBdr>
          <w:bottom w:val="single" w:color="D5DAE2" w:sz="6" w:space="8"/>
        </w:pBdr>
        <w:spacing w:after="60" w:before="360"/>
      </w:pPr>
      <w:r>
        <w:rPr>
          <w:rFonts w:ascii="Consolas" w:cs="Consolas" w:eastAsia="Consolas" w:hAnsi="Consolas"/>
          <w:b/>
          <w:bCs/>
          <w:color w:val="1E5FB4"/>
          <w:sz w:val="26"/>
          <w:szCs w:val="26"/>
        </w:rPr>
        <w:t xml:space="preserve">03  </w:t>
      </w:r>
      <w:r>
        <w:rPr>
          <w:b/>
          <w:bCs/>
          <w:color w:val="1A2230"/>
          <w:sz w:val="30"/>
          <w:szCs w:val="30"/>
        </w:rPr>
        <w:t xml:space="preserve">Backend Architecture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Four projects in a strict Clean-Architecture dependency flow —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Dom ← App ← Inf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with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Api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as the composition root. Nothing inner knows anything outer.</w:t>
      </w:r>
    </w:p>
    <w:tbl>
      <w:tblPr>
        <w:tblW w:type="pct" w:w="100%"/>
        <w:tblBorders>
          <w:top w:val="single" w:color="D5DAE2" w:sz="2"/>
          <w:left w:val="single" w:color="D5DAE2" w:sz="2"/>
          <w:bottom w:val="single" w:color="D5DAE2" w:sz="2"/>
          <w:right w:val="single" w:color="D5DAE2" w:sz="2"/>
          <w:insideH w:val="single" w:color="auto" w:sz="4"/>
          <w:insideV w:val="none"/>
        </w:tblBorders>
      </w:tblPr>
      <w:tblGrid>
        <w:gridCol w:w="900"/>
        <w:gridCol w:w="8000"/>
        <w:gridCol w:w="1600"/>
      </w:tblGrid>
      <w:tr>
        <w:tc>
          <w:tcPr>
            <w:shd w:fill="2F74D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1A2230"/>
                <w:sz w:val="20"/>
                <w:szCs w:val="20"/>
              </w:rPr>
              <w:t xml:space="preserve">CyberErp.Hrms.Dom — Domain</w:t>
            </w:r>
          </w:p>
          <w:p>
            <w:pPr>
              <w:spacing w:line="248"/>
            </w:pPr>
            <w:r>
              <w:rPr>
                <w:rFonts w:ascii="Segoe UI" w:cs="Segoe UI" w:eastAsia="Segoe UI" w:hAnsi="Segoe UI"/>
                <w:color w:val="5B6472"/>
                <w:sz w:val="18"/>
                <w:szCs w:val="18"/>
              </w:rPr>
              <w:t xml:space="preserve">Entities, domain events, constants. Zero external dependencies. BaseEntity is the aggregate base: Guid Id, TenantId, NodaTime Instant stamps, a byte[] RowVersion concurrency token, and a domain-events list.</w:t>
            </w:r>
          </w:p>
        </w:tc>
        <w:tc>
          <w:tcPr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5B6472"/>
                <w:sz w:val="15"/>
                <w:szCs w:val="15"/>
              </w:rPr>
              <w:t xml:space="preserve">no deps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D5DAE2" w:sz="2"/>
          <w:left w:val="single" w:color="D5DAE2" w:sz="2"/>
          <w:bottom w:val="single" w:color="D5DAE2" w:sz="2"/>
          <w:right w:val="single" w:color="D5DAE2" w:sz="2"/>
          <w:insideH w:val="single" w:color="auto" w:sz="4"/>
          <w:insideV w:val="none"/>
        </w:tblBorders>
      </w:tblPr>
      <w:tblGrid>
        <w:gridCol w:w="900"/>
        <w:gridCol w:w="8000"/>
        <w:gridCol w:w="1600"/>
      </w:tblGrid>
      <w:tr>
        <w:tc>
          <w:tcPr>
            <w:shd w:fill="12885F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1A2230"/>
                <w:sz w:val="20"/>
                <w:szCs w:val="20"/>
              </w:rPr>
              <w:t xml:space="preserve">CyberErp.Hrms.App — Application</w:t>
            </w:r>
          </w:p>
          <w:p>
            <w:pPr>
              <w:spacing w:line="248"/>
            </w:pPr>
            <w:r>
              <w:rPr>
                <w:rFonts w:ascii="Segoe UI" w:cs="Segoe UI" w:eastAsia="Segoe UI" w:hAnsi="Segoe UI"/>
                <w:color w:val="5B6472"/>
                <w:sz w:val="18"/>
                <w:szCs w:val="18"/>
              </w:rPr>
              <w:t xml:space="preserve">Use cases as vertical slices under Features/{Domain}/{Entity}/{Operation}/. Each slice is an I{Operation} interface + a plain handler (primary-constructor DI, no MediatR), its DTOs, its repository interface, and a FluentValidation validator.</w:t>
            </w:r>
          </w:p>
        </w:tc>
        <w:tc>
          <w:tcPr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5B6472"/>
                <w:sz w:val="15"/>
                <w:szCs w:val="15"/>
              </w:rPr>
              <w:t xml:space="preserve">→ Dom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D5DAE2" w:sz="2"/>
          <w:left w:val="single" w:color="D5DAE2" w:sz="2"/>
          <w:bottom w:val="single" w:color="D5DAE2" w:sz="2"/>
          <w:right w:val="single" w:color="D5DAE2" w:sz="2"/>
          <w:insideH w:val="single" w:color="auto" w:sz="4"/>
          <w:insideV w:val="none"/>
        </w:tblBorders>
      </w:tblPr>
      <w:tblGrid>
        <w:gridCol w:w="900"/>
        <w:gridCol w:w="8000"/>
        <w:gridCol w:w="1600"/>
      </w:tblGrid>
      <w:tr>
        <w:tc>
          <w:tcPr>
            <w:shd w:fill="B36A08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1A2230"/>
                <w:sz w:val="20"/>
                <w:szCs w:val="20"/>
              </w:rPr>
              <w:t xml:space="preserve">CyberErp.Hrms.Inf — Infrastructure</w:t>
            </w:r>
          </w:p>
          <w:p>
            <w:pPr>
              <w:spacing w:line="248"/>
            </w:pPr>
            <w:r>
              <w:rPr>
                <w:rFonts w:ascii="Segoe UI" w:cs="Segoe UI" w:eastAsia="Segoe UI" w:hAnsi="Segoe UI"/>
                <w:color w:val="5B6472"/>
                <w:sz w:val="18"/>
                <w:szCs w:val="18"/>
              </w:rPr>
              <w:t xml:space="preserve">EF Core implementation: HrmsDbContext : MultiTenantDbContext, the generic Repository&lt;T&gt; and concrete repositories, Finbuckle wiring, migrations, and Hangfire job registration.</w:t>
            </w:r>
          </w:p>
        </w:tc>
        <w:tc>
          <w:tcPr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5B6472"/>
                <w:sz w:val="15"/>
                <w:szCs w:val="15"/>
              </w:rPr>
              <w:t xml:space="preserve">→ App, Dom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D5DAE2" w:sz="2"/>
          <w:left w:val="single" w:color="D5DAE2" w:sz="2"/>
          <w:bottom w:val="single" w:color="D5DAE2" w:sz="2"/>
          <w:right w:val="single" w:color="D5DAE2" w:sz="2"/>
          <w:insideH w:val="single" w:color="auto" w:sz="4"/>
          <w:insideV w:val="none"/>
        </w:tblBorders>
      </w:tblPr>
      <w:tblGrid>
        <w:gridCol w:w="900"/>
        <w:gridCol w:w="8000"/>
        <w:gridCol w:w="1600"/>
      </w:tblGrid>
      <w:tr>
        <w:tc>
          <w:tcPr>
            <w:shd w:fill="5B4FCF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1A2230"/>
                <w:sz w:val="20"/>
                <w:szCs w:val="20"/>
              </w:rPr>
              <w:t xml:space="preserve">CyberErp.Hrms.Api — Composition root</w:t>
            </w:r>
          </w:p>
          <w:p>
            <w:pPr>
              <w:spacing w:line="248"/>
            </w:pPr>
            <w:r>
              <w:rPr>
                <w:rFonts w:ascii="Segoe UI" w:cs="Segoe UI" w:eastAsia="Segoe UI" w:hAnsi="Segoe UI"/>
                <w:color w:val="5B6472"/>
                <w:sz w:val="18"/>
                <w:szCs w:val="18"/>
              </w:rPr>
              <w:t xml:space="preserve">Versioned controllers + minimal-API endpoints. Program.cs is a thin chain of AddHrms* extension methods. New wiring is registered there and in the two DependencyInjection.cs files — no assembly-scanning auto-registration.</w:t>
            </w:r>
          </w:p>
        </w:tc>
        <w:tc>
          <w:tcPr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5B6472"/>
                <w:sz w:val="15"/>
                <w:szCs w:val="15"/>
              </w:rPr>
              <w:t xml:space="preserve">→ App, Inf</w:t>
            </w:r>
          </w:p>
        </w:tc>
      </w:tr>
    </w:tbl>
    <w:p>
      <w:pPr>
        <w:spacing w:after="140"/>
      </w:pP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The composition root reads as a declarative pipeline:</w:t>
      </w:r>
    </w:p>
    <w:p>
      <w:pPr>
        <w:pBdr>
          <w:top w:val="single" w:color="1B2230" w:sz="2" w:space="10"/>
          <w:bottom w:val="single" w:color="1B2230" w:sz="2" w:space="10"/>
          <w:left w:val="single" w:color="1B2230" w:sz="18" w:space="12"/>
          <w:right w:val="single" w:color="1B2230" w:sz="18" w:space="12"/>
        </w:pBdr>
        <w:shd w:fill="1B2230" w:val="clear"/>
        <w:spacing w:after="160" w:before="80" w:line="240"/>
      </w:pPr>
      <w:r>
        <w:rPr>
          <w:rFonts w:ascii="Consolas" w:cs="Consolas" w:eastAsia="Consolas" w:hAnsi="Consolas"/>
          <w:color w:val="7F8BA0"/>
          <w:sz w:val="17"/>
          <w:szCs w:val="17"/>
        </w:rPr>
        <w:t xml:space="preserve">// Program.cs — the composition root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builder.Services</w:t>
      </w:r>
      <w:r>
        <w:rPr>
          <w:rFonts w:ascii="Consolas" w:cs="Consolas" w:eastAsia="Consolas" w:hAnsi="Consolas"/>
          <w:color w:val="7DB4FF"/>
          <w:sz w:val="17"/>
          <w:szCs w:val="17"/>
        </w:rPr>
        <w:br/>
        <w:t xml:space="preserve">  .AddHrmsAuthentication(config)   // cookie scheme + JWT config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  .AddHrmsControllers()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  .AddHrmsValidators()             // FluentValidation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  .AddHrmsDbContext(config)        // EF Core -&gt; SQL Server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  .AddHrmsMultiTenancy()           // Finbuckle strategy + store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  .AddHrmsBackgroundJobs(config)   // Hangfire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  .AddInfrastractureServices()     // Inf/DependencyInjection.cs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  .AddApplicationServices()        // App/DependencyInjection.cs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  .AddHrmsApiVersioning();</w:t>
      </w:r>
    </w:p>
    <w:p>
      <w:pPr>
        <w:spacing w:after="40" w:before="160"/>
        <w:jc w:val="center"/>
      </w:pPr>
      <w:r>
        <w:drawing>
          <wp:inline distT="0" distB="0" distL="0" distR="0">
            <wp:extent cx="56769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5B6472"/>
          <w:sz w:val="16"/>
          <w:szCs w:val="16"/>
        </w:rPr>
        <w:t xml:space="preserve">Fig 3.1 — </w:t>
      </w:r>
      <w:r>
        <w:rPr>
          <w:i/>
          <w:iCs/>
          <w:color w:val="5B6472"/>
          <w:sz w:val="16"/>
          <w:szCs w:val="16"/>
        </w:rPr>
        <w:t xml:space="preserve">Dependency direction — arrows point at what a project references; the domain sits at the centre and references nothing.</w:t>
      </w:r>
    </w:p>
    <w:tbl>
      <w:tblPr>
        <w:tblW w:type="pct" w:w="100%"/>
        <w:tblBorders>
          <w:top w:val="single" w:color="D5DAE2" w:sz="2"/>
          <w:left w:val="single" w:color="1E5FB4" w:sz="24"/>
          <w:bottom w:val="single" w:color="D5DAE2" w:sz="2"/>
          <w:right w:val="single" w:color="D5DAE2" w:sz="2"/>
          <w:insideH w:val="none"/>
          <w:insideV w:val="none"/>
        </w:tblBorders>
      </w:tblPr>
      <w:tblGrid>
        <w:gridCol w:w="100"/>
      </w:tblGrid>
      <w:tr>
        <w:tc>
          <w:tcPr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5FB4"/>
                <w:sz w:val="15"/>
                <w:szCs w:val="15"/>
              </w:rPr>
              <w:t xml:space="preserve">CONVENTION</w:t>
            </w:r>
          </w:p>
          <w:p>
            <w:pPr>
              <w:spacing w:line="264"/>
            </w:pP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Global OnModelCreating reflection applies column conventions to every BaseEntity: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Guid → uniqueidentifier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Instant/DateTime → datetime2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, and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RowVersion → varbinary(8)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 concurrency token. New entities inherit this automatically.</w:t>
            </w:r>
          </w:p>
        </w:tc>
      </w:tr>
    </w:tbl>
    <w:p>
      <w:pPr>
        <w:pStyle w:val="Heading1"/>
        <w:pBdr>
          <w:bottom w:val="single" w:color="D5DAE2" w:sz="6" w:space="8"/>
        </w:pBdr>
        <w:spacing w:after="60" w:before="360"/>
      </w:pPr>
      <w:r>
        <w:rPr>
          <w:rFonts w:ascii="Consolas" w:cs="Consolas" w:eastAsia="Consolas" w:hAnsi="Consolas"/>
          <w:b/>
          <w:bCs/>
          <w:color w:val="1E5FB4"/>
          <w:sz w:val="26"/>
          <w:szCs w:val="26"/>
        </w:rPr>
        <w:t xml:space="preserve">04  </w:t>
      </w:r>
      <w:r>
        <w:rPr>
          <w:b/>
          <w:bCs/>
          <w:color w:val="1A2230"/>
          <w:sz w:val="30"/>
          <w:szCs w:val="30"/>
        </w:rPr>
        <w:t xml:space="preserve">Multi-Tenancy &amp; Security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Isolation is enforced at the data-access layer on every read, keyed off a per-request tenant resolved from the session.</w:t>
      </w: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Tenant resolution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A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HybridTenantStrategy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resolves the current tenant from — in order — an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X-Tenant-Id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header, a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TenantId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cookie, then JWT claims. The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DatabaseTenantStore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loads the tenant and Finbuckle populates the per-request context.</w:t>
      </w: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Data isolation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The generic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Repository&lt;T&gt;.GetAll()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applies the filter on every query: a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tenant filter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TenantId == currentTenant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) and, for entities implementing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IBranchScoped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a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branch filter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a branch administrator sees only their branch, while Head Office sees all. Globally-shared reference data (the lookup tables) is explicitly exempt.</w:t>
      </w: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Authorization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Server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BaseController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applies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[Authorize(AuthenticationSchemes="Cookies")]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; the data-access filter is the real wall.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Client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ProtectedRoute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gates on an authenticated session;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PermissionGate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blocks navigation to any menu operation the role has not been granted (deny-by-default, fail-open while the menu/catalog load).</w:t>
      </w:r>
    </w:p>
    <w:tbl>
      <w:tblPr>
        <w:tblW w:type="pct" w:w="100%"/>
        <w:tblBorders>
          <w:top w:val="single" w:color="D5DAE2" w:sz="2"/>
          <w:left w:val="single" w:color="1E5FB4" w:sz="24"/>
          <w:bottom w:val="single" w:color="D5DAE2" w:sz="2"/>
          <w:right w:val="single" w:color="D5DAE2" w:sz="2"/>
          <w:insideH w:val="none"/>
          <w:insideV w:val="none"/>
        </w:tblBorders>
      </w:tblPr>
      <w:tblGrid>
        <w:gridCol w:w="100"/>
      </w:tblGrid>
      <w:tr>
        <w:tc>
          <w:tcPr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5FB4"/>
                <w:sz w:val="15"/>
                <w:szCs w:val="15"/>
              </w:rPr>
              <w:t xml:space="preserve">SCHEMA NAMING</w:t>
            </w:r>
          </w:p>
          <w:p>
            <w:pPr>
              <w:spacing w:line="264"/>
            </w:pP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HRMS tables live in the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dbo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 schema with no underscore —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dbo.hrmsEmployee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dbo.hrmsPosition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. Non-HRMS tables (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Core.CorePerson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Core.User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Core.Tenant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Core.FiscalYear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, lookups) remain in the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Core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 schema. Report/lookup stored procedures keep their </w:t>
            </w:r>
            <w:r>
              <w:rPr>
                <w:rFonts w:ascii="Consolas" w:cs="Consolas" w:eastAsia="Consolas" w:hAnsi="Consolas"/>
                <w:color w:val="233043"/>
                <w:sz w:val="17"/>
                <w:szCs w:val="17"/>
                <w:shd w:fill="EEF1F5" w:val="clear"/>
              </w:rPr>
              <w:t xml:space="preserve">Core.hrms_*</w:t>
            </w: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 names.</w:t>
            </w:r>
          </w:p>
        </w:tc>
      </w:tr>
    </w:tbl>
    <w:p>
      <w:pPr>
        <w:pStyle w:val="Heading1"/>
        <w:pBdr>
          <w:bottom w:val="single" w:color="D5DAE2" w:sz="6" w:space="8"/>
        </w:pBdr>
        <w:spacing w:after="60" w:before="360"/>
      </w:pPr>
      <w:r>
        <w:rPr>
          <w:rFonts w:ascii="Consolas" w:cs="Consolas" w:eastAsia="Consolas" w:hAnsi="Consolas"/>
          <w:b/>
          <w:bCs/>
          <w:color w:val="1E5FB4"/>
          <w:sz w:val="26"/>
          <w:szCs w:val="26"/>
        </w:rPr>
        <w:t xml:space="preserve">05  </w:t>
      </w:r>
      <w:r>
        <w:rPr>
          <w:b/>
          <w:bCs/>
          <w:color w:val="1A2230"/>
          <w:sz w:val="30"/>
          <w:szCs w:val="30"/>
        </w:rPr>
        <w:t xml:space="preserve">Database Relationships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The schema is large (100+ entities across a dozen modules) but hangs off a small, stable spine. Every entity carries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Id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TenantId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RowVersion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and NodaTime stamps from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BaseEntity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; the diagrams below show the load-bearing relationships.</w:t>
      </w: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Identity &amp; organization spine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An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Employee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is an employment record over a shared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Person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. It holds a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Position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(a thin placement) which is classified by a reusable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PositionClass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and sits in an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OrganizationUnit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a self-referencing tree. Managerial resolution is relational: a unit's manager is any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IsManagerial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employee whose position belongs to that unit, climbing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ParentId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687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5B6472"/>
          <w:sz w:val="16"/>
          <w:szCs w:val="16"/>
        </w:rPr>
        <w:t xml:space="preserve">Fig 5.1 — </w:t>
      </w:r>
      <w:r>
        <w:rPr>
          <w:i/>
          <w:iCs/>
          <w:color w:val="5B6472"/>
          <w:sz w:val="16"/>
          <w:szCs w:val="16"/>
        </w:rPr>
        <w:t xml:space="preserve">Core identity &amp; organization structure — the foundation the whole lifecycle builds on.</w:t>
      </w: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Leave ledger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Leave balances are an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append-only ledger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not a mutable counter. A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LeaveBalance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row fixes employee + fiscal year + leave type; every accrual, deduction, carry-forward or expiry is a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LeaveBalanceTransaction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. An annual-leave request charges a specific ledger row — and the balance is only ever debited after the approval workflow's final step.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5B6472"/>
          <w:sz w:val="16"/>
          <w:szCs w:val="16"/>
        </w:rPr>
        <w:t xml:space="preserve">Fig 5.2 — </w:t>
      </w:r>
      <w:r>
        <w:rPr>
          <w:i/>
          <w:iCs/>
          <w:color w:val="5B6472"/>
          <w:sz w:val="16"/>
          <w:szCs w:val="16"/>
        </w:rPr>
        <w:t xml:space="preserve">Leave as a ledger — the transaction table is the source of truth; balances move only on approval.</w:t>
      </w: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Workflow engine (polymorphic)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One generic approval engine governs every process. A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WorkflowDefinition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has ordered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WorkflowSteps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each with authorized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WorkflowStepApprovers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(a user, a role, or a dynamic approver resolved from the org tree at decision time). A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WorkflowInstance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points at any governed record by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EntityType + EntityId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no FK, which is exactly what makes the engine module-agnostic. Decisions append to </w:t>
      </w: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WorkflowActionLog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5B6472"/>
          <w:sz w:val="16"/>
          <w:szCs w:val="16"/>
        </w:rPr>
        <w:t xml:space="preserve">Fig 5.3 — </w:t>
      </w:r>
      <w:r>
        <w:rPr>
          <w:i/>
          <w:iCs/>
          <w:color w:val="5B6472"/>
          <w:sz w:val="16"/>
          <w:szCs w:val="16"/>
        </w:rPr>
        <w:t xml:space="preserve">The approval engine — the dotted link is polymorphic: any module attaches by key, not by foreign key.</w:t>
      </w:r>
    </w:p>
    <w:p>
      <w:pPr>
        <w:pStyle w:val="Heading1"/>
        <w:pBdr>
          <w:bottom w:val="single" w:color="D5DAE2" w:sz="6" w:space="8"/>
        </w:pBdr>
        <w:spacing w:after="60" w:before="360"/>
      </w:pPr>
      <w:r>
        <w:rPr>
          <w:rFonts w:ascii="Consolas" w:cs="Consolas" w:eastAsia="Consolas" w:hAnsi="Consolas"/>
          <w:b/>
          <w:bCs/>
          <w:color w:val="1E5FB4"/>
          <w:sz w:val="26"/>
          <w:szCs w:val="26"/>
        </w:rPr>
        <w:t xml:space="preserve">06  </w:t>
      </w:r>
      <w:r>
        <w:rPr>
          <w:b/>
          <w:bCs/>
          <w:color w:val="1A2230"/>
          <w:sz w:val="30"/>
          <w:szCs w:val="30"/>
        </w:rPr>
        <w:t xml:space="preserve">Component Data Flow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Two paths carry almost all traffic: the standard CRUD request lifecycle, and the approval workflow that sits between a submitted record and its committed outcome.</w:t>
      </w: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Standard request lifecycle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The frontend is templated: a page composes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useEntityCrudModule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useEntityList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which call per-entity services built from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createPagedQuery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which call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apiClient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fetch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credentials: include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). React Query caches and dedupes. A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401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fires the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AUTH_ERROR_EVENT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and redirects to login.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5B6472"/>
          <w:sz w:val="16"/>
          <w:szCs w:val="16"/>
        </w:rPr>
        <w:t xml:space="preserve">Fig 6.1 — </w:t>
      </w:r>
      <w:r>
        <w:rPr>
          <w:i/>
          <w:iCs/>
          <w:color w:val="5B6472"/>
          <w:sz w:val="16"/>
          <w:szCs w:val="16"/>
        </w:rPr>
        <w:t xml:space="preserve">CRUD lifecycle — tenant/branch isolation is applied inside the repository, so no handler can read across tenants.</w:t>
      </w: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Approval workflow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When a governed record is saved, its module calls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StartIfDefinedAsync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. The engine pre-validates that every dynamic approver resolves, opens an instance at step one, and notifies that step's approvers (a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coreNotification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surfaces in the Home portal). Each approval advances the instance; the final approval completes it and invokes the module's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IWorkflowEntityHandler.OnApprovedAsync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where the real side-effect happens (debit the leave ledger, execute the movement, disburse a loan).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5B6472"/>
          <w:sz w:val="16"/>
          <w:szCs w:val="16"/>
        </w:rPr>
        <w:t xml:space="preserve">Fig 6.2 — </w:t>
      </w:r>
      <w:r>
        <w:rPr>
          <w:i/>
          <w:iCs/>
          <w:color w:val="5B6472"/>
          <w:sz w:val="16"/>
          <w:szCs w:val="16"/>
        </w:rPr>
        <w:t xml:space="preserve">Approval flow — the record stays pending and untouched until the final step; outcomes are applied by the owning module's handler.</w:t>
      </w:r>
    </w:p>
    <w:p>
      <w:pPr>
        <w:pStyle w:val="Heading1"/>
        <w:pBdr>
          <w:bottom w:val="single" w:color="D5DAE2" w:sz="6" w:space="8"/>
        </w:pBdr>
        <w:spacing w:after="60" w:before="360"/>
      </w:pPr>
      <w:r>
        <w:rPr>
          <w:rFonts w:ascii="Consolas" w:cs="Consolas" w:eastAsia="Consolas" w:hAnsi="Consolas"/>
          <w:b/>
          <w:bCs/>
          <w:color w:val="1E5FB4"/>
          <w:sz w:val="26"/>
          <w:szCs w:val="26"/>
        </w:rPr>
        <w:t xml:space="preserve">07  </w:t>
      </w:r>
      <w:r>
        <w:rPr>
          <w:b/>
          <w:bCs/>
          <w:color w:val="1A2230"/>
          <w:sz w:val="30"/>
          <w:szCs w:val="30"/>
        </w:rPr>
        <w:t xml:space="preserve">Cross-Cutting Engines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Generic, reusable subsystems that any module plugs into — the reason the codebase scales to dozens of modules without dozens of bespoke implementations.</w:t>
      </w:r>
    </w:p>
    <w:p>
      <w:pPr>
        <w:spacing w:after="60" w:before="140"/>
      </w:pPr>
      <w:r>
        <w:rPr>
          <w:rFonts w:ascii="Consolas" w:cs="Consolas" w:eastAsia="Consolas" w:hAnsi="Consolas"/>
          <w:color w:val="5B6472"/>
          <w:sz w:val="15"/>
          <w:szCs w:val="15"/>
        </w:rPr>
        <w:t xml:space="preserve">REUSABLE ENGINES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ENGINE</w:t>
            </w:r>
          </w:p>
        </w:tc>
        <w:tc>
          <w:tcPr>
            <w:tcW w:type="pct" w:w="7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WHAT IT DOES</w:t>
            </w:r>
          </w:p>
        </w:tc>
      </w:tr>
      <w:tr>
        <w:tc>
          <w:tcPr>
            <w:tcW w:type="pct" w:w="3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Workflow engine</w:t>
            </w:r>
          </w:p>
        </w:tc>
        <w:tc>
          <w:tcPr>
            <w:tcW w:type="pct" w:w="7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Config-driven multi-step approval chains, dynamic org-tree approvers, per-module outcome handlers. Add a process = one definition + one handler.</w:t>
            </w:r>
          </w:p>
        </w:tc>
      </w:tr>
      <w:tr>
        <w:tc>
          <w:tcPr>
            <w:tcW w:type="pct" w:w="3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Report engine</w:t>
            </w:r>
          </w:p>
        </w:tc>
        <w:tc>
          <w:tcPr>
            <w:tcW w:type="pct" w:w="7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SP-driven reports: an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hrms_Report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registry, a Dapper executor with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@TenantId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injection, and a dynamic viewer.</w:t>
            </w:r>
          </w:p>
        </w:tc>
      </w:tr>
      <w:tr>
        <w:tc>
          <w:tcPr>
            <w:tcW w:type="pct" w:w="3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Lookup system</w:t>
            </w:r>
          </w:p>
        </w:tc>
        <w:tc>
          <w:tcPr>
            <w:tcW w:type="pct" w:w="7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A generic two-table lookup (category + list), global across tenants, behind one Lookup API and a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useLookupOptions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hook.</w:t>
            </w:r>
          </w:p>
        </w:tc>
      </w:tr>
      <w:tr>
        <w:tc>
          <w:tcPr>
            <w:tcW w:type="pct" w:w="3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Dynamic navigation &amp; permissions</w:t>
            </w:r>
          </w:p>
        </w:tc>
        <w:tc>
          <w:tcPr>
            <w:tcW w:type="pct" w:w="7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Sidebar driven by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coreSubsystem/Module/Operation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RolePermission.canView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; the same grants power the route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PermissionGate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pct" w:w="3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Global search</w:t>
            </w:r>
          </w:p>
        </w:tc>
        <w:tc>
          <w:tcPr>
            <w:tcW w:type="pct" w:w="7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A pluggable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ISearchProvider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per module fans out from one endpoint; the header palette is debounced and permission-filtered.</w:t>
            </w:r>
          </w:p>
        </w:tc>
      </w:tr>
      <w:tr>
        <w:tc>
          <w:tcPr>
            <w:tcW w:type="pct" w:w="3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Custom-field engine</w:t>
            </w:r>
          </w:p>
        </w:tc>
        <w:tc>
          <w:tcPr>
            <w:tcW w:type="pct" w:w="7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User-defined fields and SAP-style custom tabs stored as JSON documents, module-agnostic, via a shared field renderer.</w:t>
            </w:r>
          </w:p>
        </w:tc>
      </w:tr>
      <w:tr>
        <w:tc>
          <w:tcPr>
            <w:tcW w:type="pct" w:w="3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Document templates</w:t>
            </w:r>
          </w:p>
        </w:tc>
        <w:tc>
          <w:tcPr>
            <w:tcW w:type="pct" w:w="7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A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{{placeholder}}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merge engine over a TipTap-authored template — generate and print letters from any record.</w:t>
            </w:r>
          </w:p>
        </w:tc>
      </w:tr>
      <w:tr>
        <w:tc>
          <w:tcPr>
            <w:tcW w:type="pct" w:w="3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Notifications</w:t>
            </w:r>
          </w:p>
        </w:tc>
        <w:tc>
          <w:tcPr>
            <w:tcW w:type="pct" w:w="7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The Home portal owns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coreNotification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; workflow steps raise per-user alerts routed to the bell.</w:t>
            </w:r>
          </w:p>
        </w:tc>
      </w:tr>
    </w:tbl>
    <w:p>
      <w:pPr>
        <w:pStyle w:val="Heading1"/>
        <w:pBdr>
          <w:bottom w:val="single" w:color="D5DAE2" w:sz="6" w:space="8"/>
        </w:pBdr>
        <w:spacing w:after="60" w:before="360"/>
      </w:pPr>
      <w:r>
        <w:rPr>
          <w:rFonts w:ascii="Consolas" w:cs="Consolas" w:eastAsia="Consolas" w:hAnsi="Consolas"/>
          <w:b/>
          <w:bCs/>
          <w:color w:val="1E5FB4"/>
          <w:sz w:val="26"/>
          <w:szCs w:val="26"/>
        </w:rPr>
        <w:t xml:space="preserve">08  </w:t>
      </w:r>
      <w:r>
        <w:rPr>
          <w:b/>
          <w:bCs/>
          <w:color w:val="1A2230"/>
          <w:sz w:val="30"/>
          <w:szCs w:val="30"/>
        </w:rPr>
        <w:t xml:space="preserve">Module Map &amp; Employee Lifecycle</w:t>
      </w:r>
    </w:p>
    <w:p>
      <w:pPr>
        <w:spacing w:after="140" w:line="276"/>
      </w:pPr>
      <w:r>
        <w:rPr>
          <w:rFonts w:ascii="Segoe UI" w:cs="Segoe UI" w:eastAsia="Segoe UI" w:hAnsi="Segoe UI"/>
          <w:color w:val="1A2230"/>
          <w:sz w:val="21"/>
          <w:szCs w:val="21"/>
        </w:rPr>
        <w:t xml:space="preserve">The modules are not islands — they are a lifecycle. Organization structure defines the establishment; recruitment consumes approved vacancy; a hire becomes an employee; movements, leave, performance and compensation all read and write the same position and vacancy state through shared services.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5B6472"/>
          <w:sz w:val="16"/>
          <w:szCs w:val="16"/>
        </w:rPr>
        <w:t xml:space="preserve">Fig 8.1 — </w:t>
      </w:r>
      <w:r>
        <w:rPr>
          <w:i/>
          <w:iCs/>
          <w:color w:val="5B6472"/>
          <w:sz w:val="16"/>
          <w:szCs w:val="16"/>
        </w:rPr>
        <w:t xml:space="preserve">The HRMS lifecycle — recruitment is gated by establishment; movements and exits feed position vacancy back to the org structure.</w:t>
      </w: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How modules stay interconnected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Establishment as the gate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recruitment (hiring request → requisition → posting → candidate → application) validates against live vacancy before demand becomes a job opening.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One employee, many events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a hire routes through the movement module rather than minting a duplicate; transfers/promotions vacate and occupy positions, recompute unit vacancy, and register internal experience via shared services (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EmployeeShared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33043"/>
          <w:sz w:val="19"/>
          <w:szCs w:val="19"/>
          <w:shd w:fill="EEF1F5" w:val="clear"/>
        </w:rPr>
        <w:t xml:space="preserve">EstablishmentShared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Approvals everywhere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leave, movements, recruitment, compensation, and medical/insurance/loan/trip claims all attach to the same workflow engine; outcomes commit only on final approval.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Segoe UI" w:cs="Segoe UI" w:eastAsia="Segoe UI" w:hAnsi="Segoe UI"/>
          <w:b/>
          <w:bCs/>
          <w:color w:val="1A2230"/>
          <w:sz w:val="21"/>
          <w:szCs w:val="21"/>
        </w:rPr>
        <w:t xml:space="preserve">Exit closes the loop</w:t>
      </w:r>
      <w:r>
        <w:rPr>
          <w:rFonts w:ascii="Segoe UI" w:cs="Segoe UI" w:eastAsia="Segoe UI" w:hAnsi="Segoe UI"/>
          <w:color w:val="1A2230"/>
          <w:sz w:val="21"/>
          <w:szCs w:val="21"/>
        </w:rPr>
        <w:t xml:space="preserve"> — termination runs clearance, reopens the position, and settles balances, feeding vacancy back to the establishment.</w:t>
      </w:r>
    </w:p>
    <w:p>
      <w:pPr>
        <w:pStyle w:val="Heading1"/>
        <w:pBdr>
          <w:bottom w:val="single" w:color="D5DAE2" w:sz="6" w:space="8"/>
        </w:pBdr>
        <w:spacing w:after="60" w:before="360"/>
      </w:pPr>
      <w:r>
        <w:rPr>
          <w:rFonts w:ascii="Consolas" w:cs="Consolas" w:eastAsia="Consolas" w:hAnsi="Consolas"/>
          <w:b/>
          <w:bCs/>
          <w:color w:val="1E5FB4"/>
          <w:sz w:val="26"/>
          <w:szCs w:val="26"/>
        </w:rPr>
        <w:t xml:space="preserve">09  </w:t>
      </w:r>
      <w:r>
        <w:rPr>
          <w:b/>
          <w:bCs/>
          <w:color w:val="1A2230"/>
          <w:sz w:val="30"/>
          <w:szCs w:val="30"/>
        </w:rPr>
        <w:t xml:space="preserve">Environments &amp; Operations</w:t>
      </w:r>
    </w:p>
    <w:p>
      <w:pPr>
        <w:spacing w:after="60" w:before="140"/>
      </w:pPr>
      <w:r>
        <w:rPr>
          <w:rFonts w:ascii="Consolas" w:cs="Consolas" w:eastAsia="Consolas" w:hAnsi="Consolas"/>
          <w:color w:val="5B6472"/>
          <w:sz w:val="15"/>
          <w:szCs w:val="15"/>
        </w:rPr>
        <w:t xml:space="preserve">RUNTIME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COMPONENT</w:t>
            </w:r>
          </w:p>
        </w:tc>
        <w:tc>
          <w:tcPr>
            <w:tcW w:type="pct" w:w="4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ADDRESS</w:t>
            </w:r>
          </w:p>
        </w:tc>
        <w:tc>
          <w:tcPr>
            <w:tcW w:type="pct" w:w="3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shd w:fill="EDF1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6472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pct" w:w="24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HRMS API</w:t>
            </w:r>
          </w:p>
        </w:tc>
        <w:tc>
          <w:tcPr>
            <w:tcW w:type="pct" w:w="4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http://localhost:5014 · https 7013</w:t>
            </w:r>
          </w:p>
        </w:tc>
        <w:tc>
          <w:tcPr>
            <w:tcW w:type="pct" w:w="3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Swagger in Development; versioned under </w:t>
            </w: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api/v1</w:t>
            </w:r>
          </w:p>
        </w:tc>
      </w:tr>
      <w:tr>
        <w:tc>
          <w:tcPr>
            <w:tcW w:type="pct" w:w="24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HRMS SPA</w:t>
            </w:r>
          </w:p>
        </w:tc>
        <w:tc>
          <w:tcPr>
            <w:tcW w:type="pct" w:w="4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:5174</w:t>
            </w:r>
          </w:p>
        </w:tc>
        <w:tc>
          <w:tcPr>
            <w:tcW w:type="pct" w:w="3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233043"/>
                <w:sz w:val="16"/>
                <w:szCs w:val="16"/>
                <w:shd w:fill="EEF1F5" w:val="clear"/>
              </w:rPr>
              <w:t xml:space="preserve">VITE_API_BASE_URL</w:t>
            </w: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 points at the HRMS API</w:t>
            </w:r>
          </w:p>
        </w:tc>
      </w:tr>
      <w:tr>
        <w:tc>
          <w:tcPr>
            <w:tcW w:type="pct" w:w="24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Home API</w:t>
            </w:r>
          </w:p>
        </w:tc>
        <w:tc>
          <w:tcPr>
            <w:tcW w:type="pct" w:w="4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:5015</w:t>
            </w:r>
          </w:p>
        </w:tc>
        <w:tc>
          <w:tcPr>
            <w:tcW w:type="pct" w:w="3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Own DbContext + migration history</w:t>
            </w:r>
          </w:p>
        </w:tc>
      </w:tr>
      <w:tr>
        <w:tc>
          <w:tcPr>
            <w:tcW w:type="pct" w:w="24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Home SPA</w:t>
            </w:r>
          </w:p>
        </w:tc>
        <w:tc>
          <w:tcPr>
            <w:tcW w:type="pct" w:w="4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:5175</w:t>
            </w:r>
          </w:p>
        </w:tc>
        <w:tc>
          <w:tcPr>
            <w:tcW w:type="pct" w:w="3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Deep-links into subsystems</w:t>
            </w:r>
          </w:p>
        </w:tc>
      </w:tr>
      <w:tr>
        <w:tc>
          <w:tcPr>
            <w:tcW w:type="pct" w:w="24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Database</w:t>
            </w:r>
          </w:p>
        </w:tc>
        <w:tc>
          <w:tcPr>
            <w:tcW w:type="pct" w:w="40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SQL Server · CyberErp</w:t>
            </w:r>
          </w:p>
        </w:tc>
        <w:tc>
          <w:tcPr>
            <w:tcW w:type="pct" w:w="36%"/>
            <w:tcBorders>
              <w:top w:val="single" w:color="D5DAE2" w:sz="2"/>
              <w:left w:val="single" w:color="D5DAE2" w:sz="2"/>
              <w:bottom w:val="single" w:color="D5DAE2" w:sz="2"/>
              <w:right w:val="single" w:color="D5DAE2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1A2230"/>
                <w:sz w:val="18"/>
                <w:szCs w:val="18"/>
              </w:rPr>
              <w:t xml:space="preserve">Shared by both APIs</w:t>
            </w:r>
          </w:p>
        </w:tc>
      </w:tr>
    </w:tbl>
    <w:p>
      <w:pPr>
        <w:spacing w:after="120"/>
      </w:pPr>
    </w:p>
    <w:p>
      <w:pPr>
        <w:pStyle w:val="Heading2"/>
        <w:spacing w:after="60" w:before="240"/>
      </w:pPr>
      <w:r>
        <w:rPr>
          <w:b/>
          <w:bCs/>
          <w:color w:val="1A2230"/>
          <w:sz w:val="23"/>
          <w:szCs w:val="23"/>
        </w:rPr>
        <w:t xml:space="preserve">Build &amp; migrations</w:t>
      </w:r>
    </w:p>
    <w:p>
      <w:pPr>
        <w:pBdr>
          <w:top w:val="single" w:color="1B2230" w:sz="2" w:space="10"/>
          <w:bottom w:val="single" w:color="1B2230" w:sz="2" w:space="10"/>
          <w:left w:val="single" w:color="1B2230" w:sz="18" w:space="12"/>
          <w:right w:val="single" w:color="1B2230" w:sz="18" w:space="12"/>
        </w:pBdr>
        <w:shd w:fill="1B2230" w:val="clear"/>
        <w:spacing w:after="160" w:before="80" w:line="240"/>
      </w:pPr>
      <w:r>
        <w:rPr>
          <w:rFonts w:ascii="Consolas" w:cs="Consolas" w:eastAsia="Consolas" w:hAnsi="Consolas"/>
          <w:color w:val="7F8BA0"/>
          <w:sz w:val="17"/>
          <w:szCs w:val="17"/>
        </w:rPr>
        <w:t xml:space="preserve"># Backend (from backend/)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dotnet build CyberErp.Hrms.slnx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dotnet run --project CyberErp.Hrms.Api</w:t>
      </w:r>
      <w:r>
        <w:rPr>
          <w:rFonts w:ascii="Consolas" w:cs="Consolas" w:eastAsia="Consolas" w:hAnsi="Consolas"/>
          <w:color w:val="7F8BA0"/>
          <w:sz w:val="17"/>
          <w:szCs w:val="17"/>
        </w:rPr>
        <w:br/>
        <w:t xml:space="preserve"># EF migrations live in Inf, startup is Api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dotnet ef migrations add &lt;Name&gt; -p CyberErp.Hrms.Inf -s CyberErp.Hrms.Api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7F8BA0"/>
          <w:sz w:val="17"/>
          <w:szCs w:val="17"/>
        </w:rPr>
        <w:br/>
        <w:t xml:space="preserve"># Frontend (from frontend/)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npm run dev            # Vite dev server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npm run build          # tsc -b &amp;&amp; vite build (typecheck gates the build)</w:t>
      </w:r>
      <w:r>
        <w:rPr>
          <w:rFonts w:ascii="Consolas" w:cs="Consolas" w:eastAsia="Consolas" w:hAnsi="Consolas"/>
          <w:color w:val="DDE6F2"/>
          <w:sz w:val="17"/>
          <w:szCs w:val="17"/>
        </w:rPr>
        <w:br/>
        <w:t xml:space="preserve">npm run scaffold:entity &lt;Entity&gt; &lt;domain&gt;   # prints the CRUD file set</w:t>
      </w:r>
    </w:p>
    <w:tbl>
      <w:tblPr>
        <w:tblW w:type="pct" w:w="100%"/>
        <w:tblBorders>
          <w:top w:val="single" w:color="D5DAE2" w:sz="2"/>
          <w:left w:val="single" w:color="1E5FB4" w:sz="24"/>
          <w:bottom w:val="single" w:color="D5DAE2" w:sz="2"/>
          <w:right w:val="single" w:color="D5DAE2" w:sz="2"/>
          <w:insideH w:val="none"/>
          <w:insideV w:val="none"/>
        </w:tblBorders>
      </w:tblPr>
      <w:tblGrid>
        <w:gridCol w:w="100"/>
      </w:tblGrid>
      <w:tr>
        <w:tc>
          <w:tcPr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5FB4"/>
                <w:sz w:val="15"/>
                <w:szCs w:val="15"/>
              </w:rPr>
              <w:t xml:space="preserve">BACKGROUND WORK</w:t>
            </w:r>
          </w:p>
          <w:p>
            <w:pPr>
              <w:spacing w:line="264"/>
            </w:pPr>
            <w:r>
              <w:rPr>
                <w:rFonts w:ascii="Segoe UI" w:cs="Segoe UI" w:eastAsia="Segoe UI" w:hAnsi="Segoe UI"/>
                <w:color w:val="1A2230"/>
                <w:sz w:val="19"/>
                <w:szCs w:val="19"/>
              </w:rPr>
              <w:t xml:space="preserve">Hangfire runs the recurring jobs the lifecycle depends on: due-movement execution (deferred transfers apply on their effective date), fiscal-year leave-rollover, and trip settlement reminders — each a single indexed query, never blocking a request.</w:t>
            </w:r>
          </w:p>
        </w:tc>
      </w:tr>
    </w:tbl>
    <w:p>
      <w:pPr>
        <w:spacing w:after="200"/>
      </w:pPr>
    </w:p>
    <w:p>
      <w:pPr>
        <w:pBdr>
          <w:top w:val="single" w:color="D5DAE2" w:sz="6" w:space="10"/>
        </w:pBdr>
        <w:spacing w:before="200"/>
      </w:pPr>
      <w:r>
        <w:rPr>
          <w:rFonts w:ascii="Consolas" w:cs="Consolas" w:eastAsia="Consolas" w:hAnsi="Consolas"/>
          <w:color w:val="5B6472"/>
          <w:sz w:val="15"/>
          <w:szCs w:val="15"/>
        </w:rPr>
        <w:t xml:space="preserve">CyberHRMS · System Architecture Document · Clean Architecture (.NET 10) + React 19 · multi-tenant SaaS</w:t>
      </w:r>
    </w:p>
    <w:p>
      <w:pPr>
        <w:spacing w:before="40"/>
      </w:pPr>
      <w:r>
        <w:rPr>
          <w:rFonts w:ascii="Segoe UI" w:cs="Segoe UI" w:eastAsia="Segoe UI" w:hAnsi="Segoe UI"/>
          <w:color w:val="5B6472"/>
          <w:sz w:val="17"/>
          <w:szCs w:val="17"/>
        </w:rPr>
        <w:t xml:space="preserve">A living reference — the code is the source of truth for stack facts. Peripheral modules follow the patterns shown here.</w:t>
      </w:r>
    </w:p>
    <w:sectPr>
      <w:footerReference w:type="default" r:id="rId7"/>
      <w:pgSz w:w="11906" w:h="16838" w:orient="portrait"/>
      <w:pgMar w:top="1440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2" w:sz="2" w:space="6"/>
      </w:pBdr>
      <w:jc w:val="center"/>
    </w:pPr>
    <w:r>
      <w:rPr>
        <w:rFonts w:ascii="Consolas" w:cs="Consolas" w:eastAsia="Consolas" w:hAnsi="Consolas"/>
        <w:color w:val="5B6472"/>
        <w:sz w:val="14"/>
        <w:szCs w:val="14"/>
      </w:rPr>
      <w:t xml:space="preserve">CyberHRMS · System Architecture      </w:t>
    </w:r>
    <w:r>
      <w:rPr>
        <w:rFonts w:ascii="Consolas" w:cs="Consolas" w:eastAsia="Consolas" w:hAnsi="Consolas"/>
        <w:color w:val="5B6472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" w:cs="Segoe UI" w:eastAsia="Segoe UI" w:hAnsi="Segoe UI"/>
      <w:b/>
      <w:bCs/>
      <w:color w:val="1A223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Segoe UI" w:cs="Segoe UI" w:eastAsia="Segoe UI" w:hAnsi="Segoe UI"/>
      <w:b/>
      <w:bCs/>
      <w:color w:val="1A223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9fdcda1976ace2468f7de000035e53c8fcf39af.png"/><Relationship Id="rId9" Type="http://schemas.openxmlformats.org/officeDocument/2006/relationships/image" Target="media/b2d59f8e864114baa1513549ae23951bf868ab28.png"/><Relationship Id="rId10" Type="http://schemas.openxmlformats.org/officeDocument/2006/relationships/image" Target="media/cf72338294d453df2cf3c58548263ba2240a8523.png"/><Relationship Id="rId11" Type="http://schemas.openxmlformats.org/officeDocument/2006/relationships/image" Target="media/7218dc05ff134261c7855b30dc0676bb7c1d7a0f.png"/><Relationship Id="rId12" Type="http://schemas.openxmlformats.org/officeDocument/2006/relationships/image" Target="media/01ac83823356ef15485a571423fbcb6980499779.png"/><Relationship Id="rId13" Type="http://schemas.openxmlformats.org/officeDocument/2006/relationships/image" Target="media/9e5fbde9cde203720d14437099592716e5cbc37f.png"/><Relationship Id="rId14" Type="http://schemas.openxmlformats.org/officeDocument/2006/relationships/image" Target="media/b2fba096336ccef99337bc4c5835b6809c25181c.png"/><Relationship Id="rId15" Type="http://schemas.openxmlformats.org/officeDocument/2006/relationships/image" Target="media/6c476eaf9566ae698f03bd7eff7646d248fa613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CyberHRMS — System Architecture</dc:title>
  <dc:creator>CyberHRMS</dc:creator>
  <dc:description>System Architecture Document: tech stack, database relationships, component data flow.</dc:description>
  <cp:lastModifiedBy>Un-named</cp:lastModifiedBy>
  <cp:revision>1</cp:revision>
  <dcterms:created xsi:type="dcterms:W3CDTF">2026-08-02T13:22:20.583Z</dcterms:created>
  <dcterms:modified xsi:type="dcterms:W3CDTF">2026-08-02T13:22:20.586Z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