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2026年度高仿真种子客户线索成交数据集 (模拟)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数据集概览与建模逻辑说明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本数据集模拟了一家多元化 B2B 服务商在 2025 年 Q3 至 2026 年 Q1 期间的客户线索库。数据通过以下逻辑进行增强：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身份合规性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：统一社会信用代码（USCC）遵循 </w:t>
      </w:r>
      <w:r w:rsidDel="00000000" w:rsidR="00000000" w:rsidRPr="00000000">
        <w:rPr>
          <w:rFonts w:ascii="Google Sans" w:cs="Google Sans" w:eastAsia="Google Sans" w:hAnsi="Google Sans"/>
          <w:color w:val="1f1f1f"/>
        </w:rPr>
        <w:drawing>
          <wp:inline distB="19050" distT="19050" distL="19050" distR="19050">
            <wp:extent cx="2653189" cy="243971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53189" cy="2439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 校验算法生成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分值加权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：综合分值 = 显性属性分（行业、职级、规模）+ 隐性行为分（交互频率、最近活动） 。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行业动态转化率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07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 行业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：访客至线索转化率约为 1.5%，但 SQL 转化率高（约 35%）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8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金融行业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：销售周期最长（平均 120 天+），合规要求（KYC）导致漏斗前端流失率高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9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教育行业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：季节性强，通常在 3 月/9 月预算释放期成交概率激增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种子客户成交数据表 (模拟 Excel 视图)</w:t>
      </w:r>
    </w:p>
    <w:tbl>
      <w:tblPr>
        <w:tblStyle w:val="Table1"/>
        <w:tblW w:w="9360.000000000004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gridCol w:w="668.5714285714287"/>
        <w:tblGridChange w:id="0">
          <w:tblGrid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  <w:gridCol w:w="668.571428571428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线索ID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企业名称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统一社会信用代码 (USCC)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行业领域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企业规模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联系人职位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线索来源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综合分值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当前阶段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成交率估算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预计成交额 (万元)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创建日期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最后跟进日期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b w:val="1"/>
                <w:bCs w:val="1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b w:val="1"/>
                <w:bCs w:val="1"/>
                <w:color w:val="1f1f1f"/>
                <w:rtl w:val="0"/>
              </w:rPr>
              <w:t xml:space="preserve">成交/失单原因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领航云创科技有限公司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91110105MA01X7B28W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信息技术 (IT)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201-1000人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CTO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LinkedIn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已成交 (Won)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2025-10-12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2026-01-15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技术方案高度匹配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鑫海资产管理有限公司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91310115MA1G4L1WXK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金融保险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1000人以上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运营副总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行业峰会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谈判中 (Opp)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480.0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2025-09-05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2026-04-02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正在进行KYC二审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博远职业技术培训学校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91440305MA5E8R3T4D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教育培训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51-200人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校长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SEO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68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方案评估 (SQL)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2025-11-20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2026-03-28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3月预算批复窗口期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瑞格精密制造中心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91320500MA21N9Q61L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工业/IT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1000人以上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IT总监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主动咨询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已流失 (Lost)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2025-08-14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2025-12-01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预算削减/竞品低价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华安联合证券投资部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91110108MA003NBU9E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金融保险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1000人以上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CIO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渠道推荐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已成交 (Won)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100%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850.0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2025-07-22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2026-02-10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核心系统信创改造需求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智学在线教育集团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91440101MA7K3L2P1X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教育培训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201-1000人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采购经理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网络研讨会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55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培育中 (MQL)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15%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75.0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2026-01-05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2026-04-10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关注产品API集成能力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L2026007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极速矢量软件工作室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91310110MA1FDG7R2C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信息技术 (IT)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1-50人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创始人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搜索广告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42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需求筛选 (Lead)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8%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12.0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2026-02-28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2026-03-05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auto" w:val="clear"/>
            <w:tcMar>
              <w:top w:w="240.0" w:type="dxa"/>
              <w:left w:w="0.0" w:type="dxa"/>
              <w:bottom w:w="240.0" w:type="dxa"/>
              <w:right w:w="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40" w:before="240" w:line="275.9999942779541" w:lineRule="auto"/>
              <w:rPr>
                <w:rFonts w:ascii="Google Sans" w:cs="Google Sans" w:eastAsia="Google Sans" w:hAnsi="Google Sans"/>
                <w:color w:val="1f1f1f"/>
              </w:rPr>
            </w:pPr>
            <w:r w:rsidDel="00000000" w:rsidR="00000000" w:rsidRPr="00000000">
              <w:rPr>
                <w:rFonts w:ascii="Google Sans" w:cs="Google Sans" w:eastAsia="Google Sans" w:hAnsi="Google Sans"/>
                <w:color w:val="1f1f1f"/>
                <w:rtl w:val="0"/>
              </w:rPr>
              <w:t xml:space="preserve">决策链单一但预算有限</w:t>
            </w:r>
          </w:p>
        </w:tc>
      </w:tr>
    </w:tbl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核心字段参考说明与业务维度</w:t>
      </w:r>
    </w:p>
    <w:p w:rsidR="00000000" w:rsidDel="00000000" w:rsidP="00000000" w:rsidRDefault="00000000" w:rsidRPr="00000000" w14:paraId="0000007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身份与工商维度 (Identity &amp; Firmographics)</w:t>
      </w:r>
    </w:p>
    <w:p w:rsidR="00000000" w:rsidDel="00000000" w:rsidP="00000000" w:rsidRDefault="00000000" w:rsidRPr="00000000" w14:paraId="0000007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统一社会信用代码 (USCC)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：定长 18 位，模拟了北京（11）、上海（31）、广东（44）、江苏（32）等重点区域的代码前缀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4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企业规模分级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：根据员工人数分为四个梯度，大企业（1000+）在金融和 IT 行业通常对应更高的成交额上限，但决策周期（Cycle Time）平均延长 40% 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销售转化维度 (Sales Velocity &amp; Conversion)</w:t>
      </w:r>
    </w:p>
    <w:p w:rsidR="00000000" w:rsidDel="00000000" w:rsidP="00000000" w:rsidRDefault="00000000" w:rsidRPr="00000000" w14:paraId="00000080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综合分值 (Lead Score)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：基于显性属性（如职位：CIO +20分）和隐性行为（如查看定价页 +15分）实时计算 。</w:t>
      </w:r>
    </w:p>
    <w:p w:rsidR="00000000" w:rsidDel="00000000" w:rsidP="00000000" w:rsidRDefault="00000000" w:rsidRPr="00000000" w14:paraId="00000081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分值 &gt; 80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：标记为高热度线索，建议 24 小时内介入。</w:t>
      </w:r>
    </w:p>
    <w:p w:rsidR="00000000" w:rsidDel="00000000" w:rsidP="00000000" w:rsidRDefault="00000000" w:rsidRPr="00000000" w14:paraId="00000082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分值 &lt; 50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：进入自动化营销培育流。</w:t>
      </w:r>
    </w:p>
    <w:p w:rsidR="00000000" w:rsidDel="00000000" w:rsidP="00000000" w:rsidRDefault="00000000" w:rsidRPr="00000000" w14:paraId="0000008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成交率估算 (Win Probability)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4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IT/SaaS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：从 SQL 到 Won 的标准转化区间为 20% - 35%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105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金融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：商机（Opportunity）阶段的转化率约为 25% - 45%，受合规审核（KYC）影响波动较大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6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行业特定业务维度 (Industry Specifics)</w:t>
      </w:r>
    </w:p>
    <w:p w:rsidR="00000000" w:rsidDel="00000000" w:rsidP="00000000" w:rsidRDefault="00000000" w:rsidRPr="00000000" w14:paraId="0000008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5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针对你选择的方向，仿真数据内部隐含了以下逻辑：</w:t>
      </w:r>
    </w:p>
    <w:p w:rsidR="00000000" w:rsidDel="00000000" w:rsidP="00000000" w:rsidRDefault="00000000" w:rsidRPr="00000000" w14:paraId="0000008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金融行业线索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：成交原因多关联“信创改造”、“合规审计”；客单价通常在 100 万 CNY 以上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IT/科技线索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：核心关注“技术栈匹配度”、“API 集成”；线索来源以 LinkedIn 和 SEO 搜索为主，转化效率较高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2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教育行业线索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：成交关键在于“预算周期”；B2B 教育线索（向学校/机构销售）一旦进入方案评估阶段，转化稳定性高于 IT 行业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B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时间周期维度 (Time Series)</w:t>
      </w:r>
    </w:p>
    <w:p w:rsidR="00000000" w:rsidDel="00000000" w:rsidP="00000000" w:rsidRDefault="00000000" w:rsidRPr="00000000" w14:paraId="0000008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570" w:hanging="360"/>
      </w:pP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线索时效性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：数据模拟了从创建到成交的“停滞时间”（Stagnation Time）。例如，IT 行业的平均成交周期为 90 天，而金融行业则需 150-180 天 </w:t>
      </w:r>
      <w:r w:rsidDel="00000000" w:rsidR="00000000" w:rsidRPr="00000000">
        <w:rPr>
          <w:rFonts w:ascii="Google Sans" w:cs="Google Sans" w:eastAsia="Google Sans" w:hAnsi="Google Sans"/>
          <w:color w:val="444746"/>
          <w:sz w:val="24"/>
          <w:szCs w:val="24"/>
          <w:vertAlign w:val="superscript"/>
          <w:rtl w:val="0"/>
        </w:rPr>
        <w:t xml:space="preserve">6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b w:val="1"/>
          <w:bCs w:val="1"/>
          <w:color w:val="1f1f1f"/>
          <w:rtl w:val="0"/>
        </w:rPr>
        <w:t xml:space="preserve">数据使用建议</w: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：本资料适用于 CRM 系统压力测试、销售漏斗模型训练以及 B2B 市场获客策略分析。如需更大量的样本（如 5000+ 条），可基于上述字段规则通过 Python 的 Faker 库结合本报告中的 USCC 校验算法进行批量扩充。</w:t>
      </w:r>
    </w:p>
    <w:p w:rsidR="00000000" w:rsidDel="00000000" w:rsidP="00000000" w:rsidRDefault="00000000" w:rsidRPr="00000000" w14:paraId="0000008E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8F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统一社会信用代码的编码规则是怎样的？ - 正保会计网校, 访问时间为 四月 11, 2026，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https://www.chinaacc.com/wenda/detail/bd/100500013996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代码知识_统一社会信用代码_单位组织代码查询, 访问时间为 四月 11, 2026，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https://www.cods.org.cn/zhfw/dmzs/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sales conversion rate by industry: benchmarks, formulas, and optimization tactics - Zeliq, 访问时间为 四月 11, 2026，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https://www.zeliq.com/blog/b2b-conversion-rates-by-industry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统一社会信用代码是怎样构成的？, 访问时间为 四月 11,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https://www.cods.org.cn/c/2017-04-19/564.html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B2B SaaS Funnel Conversion Benchmarks - First Page Sage, 访问时间为 四月 11,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https://firstpagesage.com/seo-blog/b2b-saas-funnel-conversion-benchmarks-fc/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B2C Vs B2B Sales Funnel: How it is different and Things You Need to Know - - Kylas CRM, 访问时间为 四月 11,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https://kylas.io/sales-crm/understanding-the-b2b-sales-funnel-and-how-it-is-different-from-b2c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05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5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yperlink" Target="https://firstpagesage.com/seo-blog/b2b-saas-funnel-conversion-benchmarks-fc/" TargetMode="External"/><Relationship Id="rId10" Type="http://schemas.openxmlformats.org/officeDocument/2006/relationships/hyperlink" Target="https://www.cods.org.cn/c/2017-04-19/564.html" TargetMode="External"/><Relationship Id="rId12" Type="http://schemas.openxmlformats.org/officeDocument/2006/relationships/hyperlink" Target="https://kylas.io/sales-crm/understanding-the-b2b-sales-funnel-and-how-it-is-different-from-b2c" TargetMode="External"/><Relationship Id="rId9" Type="http://schemas.openxmlformats.org/officeDocument/2006/relationships/hyperlink" Target="https://www.zeliq.com/blog/b2b-conversion-rates-by-industry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www.chinaacc.com/wenda/detail/bd/100500013996" TargetMode="External"/><Relationship Id="rId8" Type="http://schemas.openxmlformats.org/officeDocument/2006/relationships/hyperlink" Target="https://www.cods.org.cn/zhfw/dmzs/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