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123A" w14:textId="77777777" w:rsidR="004E0600" w:rsidRPr="004E0600" w:rsidRDefault="004E0600" w:rsidP="004E0600">
      <w:pPr>
        <w:rPr>
          <w:b/>
          <w:bCs/>
          <w:lang w:val="en-US"/>
        </w:rPr>
      </w:pPr>
      <w:r w:rsidRPr="004E0600">
        <w:rPr>
          <w:b/>
          <w:bCs/>
          <w:lang w:val="en-US"/>
        </w:rPr>
        <w:t>USB CDC</w:t>
      </w:r>
      <w:hyperlink r:id="rId7" w:anchor="usb-cdc" w:tooltip="Permalink to this headline" w:history="1">
        <w:r w:rsidRPr="004E0600">
          <w:rPr>
            <w:rStyle w:val="Hyperlink"/>
            <w:b/>
            <w:bCs/>
          </w:rPr>
          <w:sym w:font="Symbol" w:char="F0C1"/>
        </w:r>
      </w:hyperlink>
    </w:p>
    <w:p w14:paraId="0D410E52" w14:textId="77777777" w:rsidR="004E0600" w:rsidRPr="004E0600" w:rsidRDefault="004E0600" w:rsidP="004E0600">
      <w:pPr>
        <w:rPr>
          <w:lang w:val="en-US"/>
        </w:rPr>
      </w:pPr>
      <w:r w:rsidRPr="004E0600">
        <w:rPr>
          <w:lang w:val="en-US"/>
        </w:rPr>
        <w:t>The USB CDC (Communications Device Class) allows you to communicate to the device like in a serial interface. This mode can be used on the supported targets to flash and monitor the device in a similar way on devices that uses the external serial interfaces.</w:t>
      </w:r>
    </w:p>
    <w:p w14:paraId="13CF0BB3" w14:textId="77777777" w:rsidR="004E0600" w:rsidRPr="004E0600" w:rsidRDefault="004E0600" w:rsidP="004E0600">
      <w:pPr>
        <w:rPr>
          <w:lang w:val="en-US"/>
        </w:rPr>
      </w:pPr>
      <w:r w:rsidRPr="004E0600">
        <w:rPr>
          <w:lang w:val="en-US"/>
        </w:rPr>
        <w:t>To use the USB CDC, you need to configure your device in the Tools menu:</w:t>
      </w:r>
    </w:p>
    <w:p w14:paraId="09009671" w14:textId="77777777" w:rsidR="004E0600" w:rsidRPr="004E0600" w:rsidRDefault="004E0600" w:rsidP="004E0600">
      <w:pPr>
        <w:numPr>
          <w:ilvl w:val="0"/>
          <w:numId w:val="1"/>
        </w:numPr>
      </w:pPr>
      <w:r w:rsidRPr="004E0600">
        <w:t>Enter into Download Mode manually</w:t>
      </w:r>
    </w:p>
    <w:p w14:paraId="76981A4E" w14:textId="77777777" w:rsidR="004E0600" w:rsidRPr="004E0600" w:rsidRDefault="004E0600" w:rsidP="004E0600">
      <w:pPr>
        <w:rPr>
          <w:lang w:val="en-US"/>
        </w:rPr>
      </w:pPr>
      <w:r w:rsidRPr="004E0600">
        <w:rPr>
          <w:lang w:val="en-US"/>
        </w:rPr>
        <w:t>Similar to the DFU mode, you will need to enter into download mode manually. To enter into the download mode, you need to press and hold BOOT button and press and release the RESET button.</w:t>
      </w:r>
    </w:p>
    <w:p w14:paraId="44361773" w14:textId="77777777" w:rsidR="004E0600" w:rsidRPr="004E0600" w:rsidRDefault="004E0600" w:rsidP="004E0600">
      <w:r w:rsidRPr="004E0600">
        <w:rPr>
          <w:lang w:val="en-US"/>
        </w:rPr>
        <w:t xml:space="preserve">To check if this procedure was done correctly, now you will see the new USB device listed in the available ports. </w:t>
      </w:r>
      <w:r w:rsidRPr="004E0600">
        <w:t>Select this new device in the </w:t>
      </w:r>
      <w:r w:rsidRPr="004E0600">
        <w:rPr>
          <w:b/>
          <w:bCs/>
        </w:rPr>
        <w:t>Port</w:t>
      </w:r>
      <w:r w:rsidRPr="004E0600">
        <w:t> option.</w:t>
      </w:r>
    </w:p>
    <w:p w14:paraId="6A2E6D04" w14:textId="77777777" w:rsidR="004E0600" w:rsidRPr="004E0600" w:rsidRDefault="004E0600" w:rsidP="004E0600">
      <w:pPr>
        <w:numPr>
          <w:ilvl w:val="0"/>
          <w:numId w:val="2"/>
        </w:numPr>
      </w:pPr>
      <w:r w:rsidRPr="004E0600">
        <w:t>Configure the USB CDC</w:t>
      </w:r>
    </w:p>
    <w:p w14:paraId="12193548" w14:textId="77777777" w:rsidR="004E0600" w:rsidRPr="004E0600" w:rsidRDefault="004E0600" w:rsidP="004E0600">
      <w:r w:rsidRPr="004E0600">
        <w:rPr>
          <w:b/>
          <w:bCs/>
        </w:rPr>
        <w:t>For ESP32-S2</w:t>
      </w:r>
    </w:p>
    <w:p w14:paraId="6C1DC42D" w14:textId="77777777" w:rsidR="004E0600" w:rsidRPr="004E0600" w:rsidRDefault="004E0600" w:rsidP="004E0600">
      <w:pPr>
        <w:numPr>
          <w:ilvl w:val="0"/>
          <w:numId w:val="3"/>
        </w:numPr>
      </w:pPr>
      <w:r w:rsidRPr="004E0600">
        <w:t>USB CDC On Boot -&gt; Enabled</w:t>
      </w:r>
    </w:p>
    <w:p w14:paraId="4CFBD4F4" w14:textId="77777777" w:rsidR="004E0600" w:rsidRPr="004E0600" w:rsidRDefault="004E0600" w:rsidP="004E0600">
      <w:pPr>
        <w:numPr>
          <w:ilvl w:val="0"/>
          <w:numId w:val="3"/>
        </w:numPr>
      </w:pPr>
      <w:r w:rsidRPr="004E0600">
        <w:t>Upload Mode -&gt; Internal USB</w:t>
      </w:r>
    </w:p>
    <w:p w14:paraId="74256FFA" w14:textId="77777777" w:rsidR="004E0600" w:rsidRPr="004E0600" w:rsidRDefault="004E0600" w:rsidP="004E0600">
      <w:r w:rsidRPr="004E0600">
        <w:rPr>
          <w:b/>
          <w:bCs/>
        </w:rPr>
        <w:t>For ESP32-C3</w:t>
      </w:r>
    </w:p>
    <w:p w14:paraId="5B45B3C5" w14:textId="77777777" w:rsidR="004E0600" w:rsidRPr="004E0600" w:rsidRDefault="004E0600" w:rsidP="004E0600">
      <w:pPr>
        <w:numPr>
          <w:ilvl w:val="0"/>
          <w:numId w:val="4"/>
        </w:numPr>
      </w:pPr>
      <w:r w:rsidRPr="004E0600">
        <w:t>USB CDC On Boot -&gt; Enabled</w:t>
      </w:r>
    </w:p>
    <w:p w14:paraId="1C0E606A" w14:textId="77777777" w:rsidR="004E0600" w:rsidRPr="004E0600" w:rsidRDefault="004E0600" w:rsidP="004E0600">
      <w:r w:rsidRPr="004E0600">
        <w:rPr>
          <w:b/>
          <w:bCs/>
        </w:rPr>
        <w:t>For ESP32-S3</w:t>
      </w:r>
    </w:p>
    <w:p w14:paraId="6E957FCC" w14:textId="77777777" w:rsidR="004E0600" w:rsidRPr="004E0600" w:rsidRDefault="004E0600" w:rsidP="004E0600">
      <w:pPr>
        <w:numPr>
          <w:ilvl w:val="0"/>
          <w:numId w:val="5"/>
        </w:numPr>
      </w:pPr>
      <w:r w:rsidRPr="004E0600">
        <w:t>USB CDC On Boot -&gt; Enabled</w:t>
      </w:r>
    </w:p>
    <w:p w14:paraId="7854A546" w14:textId="77777777" w:rsidR="004E0600" w:rsidRPr="004E0600" w:rsidRDefault="004E0600" w:rsidP="004E0600">
      <w:pPr>
        <w:numPr>
          <w:ilvl w:val="0"/>
          <w:numId w:val="5"/>
        </w:numPr>
      </w:pPr>
      <w:r w:rsidRPr="004E0600">
        <w:t>Upload Mode -&gt; UART0 / Hardware CDC</w:t>
      </w:r>
    </w:p>
    <w:p w14:paraId="62556B7C" w14:textId="77777777" w:rsidR="004E0600" w:rsidRPr="004E0600" w:rsidRDefault="004E0600" w:rsidP="004E0600">
      <w:pPr>
        <w:numPr>
          <w:ilvl w:val="0"/>
          <w:numId w:val="6"/>
        </w:numPr>
      </w:pPr>
      <w:r w:rsidRPr="004E0600">
        <w:t>Flash and Monitor</w:t>
      </w:r>
    </w:p>
    <w:p w14:paraId="02095409" w14:textId="77777777" w:rsidR="004E0600" w:rsidRPr="004E0600" w:rsidRDefault="004E0600" w:rsidP="004E0600">
      <w:pPr>
        <w:rPr>
          <w:lang w:val="en-US"/>
        </w:rPr>
      </w:pPr>
      <w:r w:rsidRPr="004E0600">
        <w:rPr>
          <w:lang w:val="en-US"/>
        </w:rPr>
        <w:t>You can now upload your sketch to the device. After flashing for the first time, you need to manually reset the device.</w:t>
      </w:r>
    </w:p>
    <w:p w14:paraId="3AE98488" w14:textId="77777777" w:rsidR="004E0600" w:rsidRPr="004E0600" w:rsidRDefault="004E0600" w:rsidP="004E0600">
      <w:pPr>
        <w:rPr>
          <w:lang w:val="en-US"/>
        </w:rPr>
      </w:pPr>
      <w:r w:rsidRPr="004E0600">
        <w:rPr>
          <w:lang w:val="en-US"/>
        </w:rPr>
        <w:t>This procedure enables the flashing and monitoring thought the internal USB and does not requires you to manually enter into the download mode or to do the manual reset after flashing.</w:t>
      </w:r>
    </w:p>
    <w:p w14:paraId="2B8E3625" w14:textId="77777777" w:rsidR="004E0600" w:rsidRPr="004E0600" w:rsidRDefault="004E0600" w:rsidP="004E0600">
      <w:pPr>
        <w:rPr>
          <w:lang w:val="en-US"/>
        </w:rPr>
      </w:pPr>
      <w:r w:rsidRPr="004E0600">
        <w:rPr>
          <w:lang w:val="en-US"/>
        </w:rPr>
        <w:t>To monitor the device, you need to select the USB port and open the Monitor tool selecting the correct baud rate (usually 115200) according to the Serial.begin() defined in your code.</w:t>
      </w:r>
    </w:p>
    <w:p w14:paraId="625D66A3" w14:textId="77777777" w:rsidR="00B76CB6" w:rsidRPr="004E0600" w:rsidRDefault="00B76CB6">
      <w:pPr>
        <w:rPr>
          <w:lang w:val="en-US"/>
        </w:rPr>
      </w:pPr>
    </w:p>
    <w:sectPr w:rsidR="00B76CB6" w:rsidRPr="004E0600">
      <w:headerReference w:type="even" r:id="rId8"/>
      <w:headerReference w:type="default" r:id="rId9"/>
      <w:headerReference w:type="firs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53D3F" w14:textId="77777777" w:rsidR="004E0600" w:rsidRDefault="004E0600" w:rsidP="004E0600">
      <w:pPr>
        <w:spacing w:after="0" w:line="240" w:lineRule="auto"/>
      </w:pPr>
      <w:r>
        <w:separator/>
      </w:r>
    </w:p>
  </w:endnote>
  <w:endnote w:type="continuationSeparator" w:id="0">
    <w:p w14:paraId="7AAA4BB4" w14:textId="77777777" w:rsidR="004E0600" w:rsidRDefault="004E0600" w:rsidP="004E0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09108" w14:textId="77777777" w:rsidR="004E0600" w:rsidRDefault="004E0600" w:rsidP="004E0600">
      <w:pPr>
        <w:spacing w:after="0" w:line="240" w:lineRule="auto"/>
      </w:pPr>
      <w:r>
        <w:separator/>
      </w:r>
    </w:p>
  </w:footnote>
  <w:footnote w:type="continuationSeparator" w:id="0">
    <w:p w14:paraId="426B8498" w14:textId="77777777" w:rsidR="004E0600" w:rsidRDefault="004E0600" w:rsidP="004E0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05D4" w14:textId="6406B12B" w:rsidR="004E0600" w:rsidRDefault="004E0600">
    <w:pPr>
      <w:pStyle w:val="Kopfzeile"/>
    </w:pPr>
    <w:r>
      <w:rPr>
        <w:noProof/>
      </w:rPr>
      <mc:AlternateContent>
        <mc:Choice Requires="wps">
          <w:drawing>
            <wp:anchor distT="0" distB="0" distL="0" distR="0" simplePos="0" relativeHeight="251659264" behindDoc="0" locked="0" layoutInCell="1" allowOverlap="1" wp14:anchorId="6FC7A5F2" wp14:editId="148378D8">
              <wp:simplePos x="635" y="635"/>
              <wp:positionH relativeFrom="page">
                <wp:align>right</wp:align>
              </wp:positionH>
              <wp:positionV relativeFrom="page">
                <wp:align>top</wp:align>
              </wp:positionV>
              <wp:extent cx="770255" cy="357505"/>
              <wp:effectExtent l="0" t="0" r="0" b="4445"/>
              <wp:wrapNone/>
              <wp:docPr id="1543048716" name="Textfeld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70255" cy="357505"/>
                      </a:xfrm>
                      <a:prstGeom prst="rect">
                        <a:avLst/>
                      </a:prstGeom>
                      <a:noFill/>
                      <a:ln>
                        <a:noFill/>
                      </a:ln>
                    </wps:spPr>
                    <wps:txbx>
                      <w:txbxContent>
                        <w:p w14:paraId="771F8A24" w14:textId="1003833D" w:rsidR="004E0600" w:rsidRPr="004E0600" w:rsidRDefault="004E0600" w:rsidP="004E0600">
                          <w:pPr>
                            <w:spacing w:after="0"/>
                            <w:rPr>
                              <w:rFonts w:ascii="Calibri" w:eastAsia="Calibri" w:hAnsi="Calibri" w:cs="Calibri"/>
                              <w:noProof/>
                              <w:color w:val="000000"/>
                              <w:sz w:val="20"/>
                              <w:szCs w:val="20"/>
                            </w:rPr>
                          </w:pPr>
                          <w:r w:rsidRPr="004E0600">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FC7A5F2" id="_x0000_t202" coordsize="21600,21600" o:spt="202" path="m,l,21600r21600,l21600,xe">
              <v:stroke joinstyle="miter"/>
              <v:path gradientshapeok="t" o:connecttype="rect"/>
            </v:shapetype>
            <v:shape id="Textfeld 2" o:spid="_x0000_s1026" type="#_x0000_t202" alt="INTERNAL" style="position:absolute;margin-left:9.45pt;margin-top:0;width:60.65pt;height:28.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" filled="f" stroked="f">
              <v:fill o:detectmouseclick="t"/>
              <v:textbox style="mso-fit-shape-to-text:t" inset="0,15pt,20pt,0">
                <w:txbxContent>
                  <w:p w14:paraId="771F8A24" w14:textId="1003833D" w:rsidR="004E0600" w:rsidRPr="004E0600" w:rsidRDefault="004E0600" w:rsidP="004E0600">
                    <w:pPr>
                      <w:spacing w:after="0"/>
                      <w:rPr>
                        <w:rFonts w:ascii="Calibri" w:eastAsia="Calibri" w:hAnsi="Calibri" w:cs="Calibri"/>
                        <w:noProof/>
                        <w:color w:val="000000"/>
                        <w:sz w:val="20"/>
                        <w:szCs w:val="20"/>
                      </w:rPr>
                    </w:pPr>
                    <w:r w:rsidRPr="004E0600">
                      <w:rPr>
                        <w:rFonts w:ascii="Calibri" w:eastAsia="Calibri" w:hAnsi="Calibri" w:cs="Calibri"/>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8149" w14:textId="61E6CC8B" w:rsidR="004E0600" w:rsidRDefault="004E0600">
    <w:pPr>
      <w:pStyle w:val="Kopfzeile"/>
    </w:pPr>
    <w:r>
      <w:rPr>
        <w:noProof/>
      </w:rPr>
      <mc:AlternateContent>
        <mc:Choice Requires="wps">
          <w:drawing>
            <wp:anchor distT="0" distB="0" distL="0" distR="0" simplePos="0" relativeHeight="251660288" behindDoc="0" locked="0" layoutInCell="1" allowOverlap="1" wp14:anchorId="6E41E6F5" wp14:editId="6F6D6760">
              <wp:simplePos x="904875" y="447675"/>
              <wp:positionH relativeFrom="page">
                <wp:align>right</wp:align>
              </wp:positionH>
              <wp:positionV relativeFrom="page">
                <wp:align>top</wp:align>
              </wp:positionV>
              <wp:extent cx="770255" cy="357505"/>
              <wp:effectExtent l="0" t="0" r="0" b="4445"/>
              <wp:wrapNone/>
              <wp:docPr id="1374977535" name="Textfeld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70255" cy="357505"/>
                      </a:xfrm>
                      <a:prstGeom prst="rect">
                        <a:avLst/>
                      </a:prstGeom>
                      <a:noFill/>
                      <a:ln>
                        <a:noFill/>
                      </a:ln>
                    </wps:spPr>
                    <wps:txbx>
                      <w:txbxContent>
                        <w:p w14:paraId="1C4B0CD0" w14:textId="063757BD" w:rsidR="004E0600" w:rsidRPr="004E0600" w:rsidRDefault="004E0600" w:rsidP="004E0600">
                          <w:pPr>
                            <w:spacing w:after="0"/>
                            <w:rPr>
                              <w:rFonts w:ascii="Calibri" w:eastAsia="Calibri" w:hAnsi="Calibri" w:cs="Calibri"/>
                              <w:noProof/>
                              <w:color w:val="000000"/>
                              <w:sz w:val="20"/>
                              <w:szCs w:val="20"/>
                            </w:rPr>
                          </w:pPr>
                          <w:r w:rsidRPr="004E0600">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E41E6F5" id="_x0000_t202" coordsize="21600,21600" o:spt="202" path="m,l,21600r21600,l21600,xe">
              <v:stroke joinstyle="miter"/>
              <v:path gradientshapeok="t" o:connecttype="rect"/>
            </v:shapetype>
            <v:shape id="Textfeld 3" o:spid="_x0000_s1027" type="#_x0000_t202" alt="INTERNAL" style="position:absolute;margin-left:9.45pt;margin-top:0;width:60.65pt;height:28.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" filled="f" stroked="f">
              <v:fill o:detectmouseclick="t"/>
              <v:textbox style="mso-fit-shape-to-text:t" inset="0,15pt,20pt,0">
                <w:txbxContent>
                  <w:p w14:paraId="1C4B0CD0" w14:textId="063757BD" w:rsidR="004E0600" w:rsidRPr="004E0600" w:rsidRDefault="004E0600" w:rsidP="004E0600">
                    <w:pPr>
                      <w:spacing w:after="0"/>
                      <w:rPr>
                        <w:rFonts w:ascii="Calibri" w:eastAsia="Calibri" w:hAnsi="Calibri" w:cs="Calibri"/>
                        <w:noProof/>
                        <w:color w:val="000000"/>
                        <w:sz w:val="20"/>
                        <w:szCs w:val="20"/>
                      </w:rPr>
                    </w:pPr>
                    <w:r w:rsidRPr="004E0600">
                      <w:rPr>
                        <w:rFonts w:ascii="Calibri" w:eastAsia="Calibri" w:hAnsi="Calibri" w:cs="Calibri"/>
                        <w:noProof/>
                        <w:color w:val="000000"/>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5147" w14:textId="1A97FAFC" w:rsidR="004E0600" w:rsidRDefault="004E0600">
    <w:pPr>
      <w:pStyle w:val="Kopfzeile"/>
    </w:pPr>
    <w:r>
      <w:rPr>
        <w:noProof/>
      </w:rPr>
      <mc:AlternateContent>
        <mc:Choice Requires="wps">
          <w:drawing>
            <wp:anchor distT="0" distB="0" distL="0" distR="0" simplePos="0" relativeHeight="251658240" behindDoc="0" locked="0" layoutInCell="1" allowOverlap="1" wp14:anchorId="538455C2" wp14:editId="25454E40">
              <wp:simplePos x="635" y="635"/>
              <wp:positionH relativeFrom="page">
                <wp:align>right</wp:align>
              </wp:positionH>
              <wp:positionV relativeFrom="page">
                <wp:align>top</wp:align>
              </wp:positionV>
              <wp:extent cx="770255" cy="357505"/>
              <wp:effectExtent l="0" t="0" r="0" b="4445"/>
              <wp:wrapNone/>
              <wp:docPr id="589203396" name="Textfeld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70255" cy="357505"/>
                      </a:xfrm>
                      <a:prstGeom prst="rect">
                        <a:avLst/>
                      </a:prstGeom>
                      <a:noFill/>
                      <a:ln>
                        <a:noFill/>
                      </a:ln>
                    </wps:spPr>
                    <wps:txbx>
                      <w:txbxContent>
                        <w:p w14:paraId="796E9B2F" w14:textId="23445B54" w:rsidR="004E0600" w:rsidRPr="004E0600" w:rsidRDefault="004E0600" w:rsidP="004E0600">
                          <w:pPr>
                            <w:spacing w:after="0"/>
                            <w:rPr>
                              <w:rFonts w:ascii="Calibri" w:eastAsia="Calibri" w:hAnsi="Calibri" w:cs="Calibri"/>
                              <w:noProof/>
                              <w:color w:val="000000"/>
                              <w:sz w:val="20"/>
                              <w:szCs w:val="20"/>
                            </w:rPr>
                          </w:pPr>
                          <w:r w:rsidRPr="004E0600">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8455C2" id="_x0000_t202" coordsize="21600,21600" o:spt="202" path="m,l,21600r21600,l21600,xe">
              <v:stroke joinstyle="miter"/>
              <v:path gradientshapeok="t" o:connecttype="rect"/>
            </v:shapetype>
            <v:shape id="Textfeld 1" o:spid="_x0000_s1028" type="#_x0000_t202" alt="INTERNAL" style="position:absolute;margin-left:9.45pt;margin-top:0;width:60.65pt;height:28.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" filled="f" stroked="f">
              <v:fill o:detectmouseclick="t"/>
              <v:textbox style="mso-fit-shape-to-text:t" inset="0,15pt,20pt,0">
                <w:txbxContent>
                  <w:p w14:paraId="796E9B2F" w14:textId="23445B54" w:rsidR="004E0600" w:rsidRPr="004E0600" w:rsidRDefault="004E0600" w:rsidP="004E0600">
                    <w:pPr>
                      <w:spacing w:after="0"/>
                      <w:rPr>
                        <w:rFonts w:ascii="Calibri" w:eastAsia="Calibri" w:hAnsi="Calibri" w:cs="Calibri"/>
                        <w:noProof/>
                        <w:color w:val="000000"/>
                        <w:sz w:val="20"/>
                        <w:szCs w:val="20"/>
                      </w:rPr>
                    </w:pPr>
                    <w:r w:rsidRPr="004E0600">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1616"/>
    <w:multiLevelType w:val="multilevel"/>
    <w:tmpl w:val="DEB6A4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D1B76"/>
    <w:multiLevelType w:val="multilevel"/>
    <w:tmpl w:val="793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5D5677"/>
    <w:multiLevelType w:val="multilevel"/>
    <w:tmpl w:val="B67A15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513DB3"/>
    <w:multiLevelType w:val="multilevel"/>
    <w:tmpl w:val="6DF48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CF5BCD"/>
    <w:multiLevelType w:val="multilevel"/>
    <w:tmpl w:val="1446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050304"/>
    <w:multiLevelType w:val="multilevel"/>
    <w:tmpl w:val="B93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9395765">
    <w:abstractNumId w:val="3"/>
  </w:num>
  <w:num w:numId="2" w16cid:durableId="857046242">
    <w:abstractNumId w:val="2"/>
    <w:lvlOverride w:ilvl="0">
      <w:lvl w:ilvl="0">
        <w:numFmt w:val="decimal"/>
        <w:lvlText w:val="%1."/>
        <w:lvlJc w:val="left"/>
      </w:lvl>
    </w:lvlOverride>
  </w:num>
  <w:num w:numId="3" w16cid:durableId="1438677644">
    <w:abstractNumId w:val="4"/>
  </w:num>
  <w:num w:numId="4" w16cid:durableId="1575165501">
    <w:abstractNumId w:val="1"/>
  </w:num>
  <w:num w:numId="5" w16cid:durableId="1751851116">
    <w:abstractNumId w:val="5"/>
  </w:num>
  <w:num w:numId="6" w16cid:durableId="1482192943">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600"/>
    <w:rsid w:val="00351CAD"/>
    <w:rsid w:val="00442091"/>
    <w:rsid w:val="004E0600"/>
    <w:rsid w:val="00B76CB6"/>
    <w:rsid w:val="00D6697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4185"/>
  <w15:chartTrackingRefBased/>
  <w15:docId w15:val="{416E8599-FED4-4B9A-9979-5152B2264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E0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E0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E060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E060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E060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E060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E060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E060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E060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E060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E060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E060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E060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E060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E060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E060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E060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E0600"/>
    <w:rPr>
      <w:rFonts w:eastAsiaTheme="majorEastAsia" w:cstheme="majorBidi"/>
      <w:color w:val="272727" w:themeColor="text1" w:themeTint="D8"/>
    </w:rPr>
  </w:style>
  <w:style w:type="paragraph" w:styleId="Titel">
    <w:name w:val="Title"/>
    <w:basedOn w:val="Standard"/>
    <w:next w:val="Standard"/>
    <w:link w:val="TitelZchn"/>
    <w:uiPriority w:val="10"/>
    <w:qFormat/>
    <w:rsid w:val="004E0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E060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E060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E060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E060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E0600"/>
    <w:rPr>
      <w:i/>
      <w:iCs/>
      <w:color w:val="404040" w:themeColor="text1" w:themeTint="BF"/>
    </w:rPr>
  </w:style>
  <w:style w:type="paragraph" w:styleId="Listenabsatz">
    <w:name w:val="List Paragraph"/>
    <w:basedOn w:val="Standard"/>
    <w:uiPriority w:val="34"/>
    <w:qFormat/>
    <w:rsid w:val="004E0600"/>
    <w:pPr>
      <w:ind w:left="720"/>
      <w:contextualSpacing/>
    </w:pPr>
  </w:style>
  <w:style w:type="character" w:styleId="IntensiveHervorhebung">
    <w:name w:val="Intense Emphasis"/>
    <w:basedOn w:val="Absatz-Standardschriftart"/>
    <w:uiPriority w:val="21"/>
    <w:qFormat/>
    <w:rsid w:val="004E0600"/>
    <w:rPr>
      <w:i/>
      <w:iCs/>
      <w:color w:val="0F4761" w:themeColor="accent1" w:themeShade="BF"/>
    </w:rPr>
  </w:style>
  <w:style w:type="paragraph" w:styleId="IntensivesZitat">
    <w:name w:val="Intense Quote"/>
    <w:basedOn w:val="Standard"/>
    <w:next w:val="Standard"/>
    <w:link w:val="IntensivesZitatZchn"/>
    <w:uiPriority w:val="30"/>
    <w:qFormat/>
    <w:rsid w:val="004E0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E0600"/>
    <w:rPr>
      <w:i/>
      <w:iCs/>
      <w:color w:val="0F4761" w:themeColor="accent1" w:themeShade="BF"/>
    </w:rPr>
  </w:style>
  <w:style w:type="character" w:styleId="IntensiverVerweis">
    <w:name w:val="Intense Reference"/>
    <w:basedOn w:val="Absatz-Standardschriftart"/>
    <w:uiPriority w:val="32"/>
    <w:qFormat/>
    <w:rsid w:val="004E0600"/>
    <w:rPr>
      <w:b/>
      <w:bCs/>
      <w:smallCaps/>
      <w:color w:val="0F4761" w:themeColor="accent1" w:themeShade="BF"/>
      <w:spacing w:val="5"/>
    </w:rPr>
  </w:style>
  <w:style w:type="character" w:styleId="Hyperlink">
    <w:name w:val="Hyperlink"/>
    <w:basedOn w:val="Absatz-Standardschriftart"/>
    <w:uiPriority w:val="99"/>
    <w:unhideWhenUsed/>
    <w:rsid w:val="004E0600"/>
    <w:rPr>
      <w:color w:val="467886" w:themeColor="hyperlink"/>
      <w:u w:val="single"/>
    </w:rPr>
  </w:style>
  <w:style w:type="character" w:styleId="NichtaufgelsteErwhnung">
    <w:name w:val="Unresolved Mention"/>
    <w:basedOn w:val="Absatz-Standardschriftart"/>
    <w:uiPriority w:val="99"/>
    <w:semiHidden/>
    <w:unhideWhenUsed/>
    <w:rsid w:val="004E0600"/>
    <w:rPr>
      <w:color w:val="605E5C"/>
      <w:shd w:val="clear" w:color="auto" w:fill="E1DFDD"/>
    </w:rPr>
  </w:style>
  <w:style w:type="paragraph" w:styleId="Kopfzeile">
    <w:name w:val="header"/>
    <w:basedOn w:val="Standard"/>
    <w:link w:val="KopfzeileZchn"/>
    <w:uiPriority w:val="99"/>
    <w:unhideWhenUsed/>
    <w:rsid w:val="004E060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0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666806">
      <w:bodyDiv w:val="1"/>
      <w:marLeft w:val="0"/>
      <w:marRight w:val="0"/>
      <w:marTop w:val="0"/>
      <w:marBottom w:val="0"/>
      <w:divBdr>
        <w:top w:val="none" w:sz="0" w:space="0" w:color="auto"/>
        <w:left w:val="none" w:sz="0" w:space="0" w:color="auto"/>
        <w:bottom w:val="none" w:sz="0" w:space="0" w:color="auto"/>
        <w:right w:val="none" w:sz="0" w:space="0" w:color="auto"/>
      </w:divBdr>
    </w:div>
    <w:div w:id="1935824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espressif.com/projects/arduino-esp32/en/latest/tutorials/cdc_dfu_flash.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df4ef68-5aa2-4db3-b6c9-2e7d86518e63}" enabled="1" method="Standard" siteId="{824dee82-0f98-443a-9df0-be70598acb25}"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1368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Widmer</dc:creator>
  <cp:keywords/>
  <dc:description/>
  <cp:lastModifiedBy>Roger Widmer</cp:lastModifiedBy>
  <cp:revision>1</cp:revision>
  <dcterms:created xsi:type="dcterms:W3CDTF">2025-09-10T14:02:00Z</dcterms:created>
  <dcterms:modified xsi:type="dcterms:W3CDTF">2025-09-10T14:02:00Z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231e87c4,5bf90e0c,51f47dff</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ies>
</file>