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900"/>
      </w:pPr>
      <w:r>
        <w:t xml:space="preserve"/>
      </w:r>
    </w:p>
    <w:p>
      <w:pPr>
        <w:spacing w:after="0" w:before="0"/>
        <w:jc w:val="center"/>
      </w:pPr>
      <w:r>
        <w:rPr>
          <w:rFonts w:ascii="Arial" w:cs="Arial" w:eastAsia="Arial" w:hAnsi="Arial"/>
          <w:b/>
          <w:bCs/>
          <w:color w:val="1F3864"/>
          <w:sz w:val="52"/>
          <w:szCs w:val="52"/>
        </w:rPr>
        <w:t xml:space="preserve">ALLOYTOWER INC.</w:t>
      </w:r>
    </w:p>
    <w:p>
      <w:pPr>
        <w:spacing w:after="0" w:before="100"/>
        <w:jc w:val="center"/>
      </w:pPr>
      <w:r>
        <w:rPr>
          <w:rFonts w:ascii="Arial" w:cs="Arial" w:eastAsia="Arial" w:hAnsi="Arial"/>
          <w:color w:val="2E75B6"/>
          <w:sz w:val="30"/>
          <w:szCs w:val="30"/>
        </w:rPr>
        <w:t xml:space="preserve">Centralized Data Platform</w:t>
      </w:r>
    </w:p>
    <w:p>
      <w:pPr>
        <w:pBdr>
          <w:bottom w:val="single" w:color="2E75B6" w:sz="8" w:space="1"/>
        </w:pBdr>
        <w:spacing w:after="200" w:before="160"/>
        <w:jc w:val="center"/>
      </w:pPr>
      <w:r>
        <w:t xml:space="preserve"/>
      </w:r>
    </w:p>
    <w:p>
      <w:pPr>
        <w:spacing w:after="0" w:before="180"/>
      </w:pPr>
      <w:r>
        <w:t xml:space="preserve"/>
      </w:r>
    </w:p>
    <w:p>
      <w:pPr>
        <w:spacing w:after="100" w:before="0"/>
        <w:jc w:val="center"/>
      </w:pPr>
      <w:r>
        <w:rPr>
          <w:rFonts w:ascii="Arial" w:cs="Arial" w:eastAsia="Arial" w:hAnsi="Arial"/>
          <w:b/>
          <w:bCs/>
          <w:color w:val="1A1A2E"/>
          <w:sz w:val="44"/>
          <w:szCs w:val="44"/>
        </w:rPr>
        <w:t xml:space="preserve">Property Price Prediction Model</w:t>
      </w:r>
    </w:p>
    <w:p>
      <w:pPr>
        <w:spacing w:after="80" w:before="0"/>
        <w:jc w:val="center"/>
      </w:pPr>
      <w:r>
        <w:rPr>
          <w:rFonts w:ascii="Arial" w:cs="Arial" w:eastAsia="Arial" w:hAnsi="Arial"/>
          <w:color w:val="555555"/>
          <w:sz w:val="26"/>
          <w:szCs w:val="26"/>
        </w:rPr>
        <w:t xml:space="preserve">Technical Documentation &amp; Model Report</w:t>
      </w:r>
    </w:p>
    <w:p>
      <w:pPr>
        <w:spacing w:after="80" w:before="0"/>
        <w:jc w:val="center"/>
      </w:pPr>
      <w:r>
        <w:rPr>
          <w:rFonts w:ascii="Arial" w:cs="Arial" w:eastAsia="Arial" w:hAnsi="Arial"/>
          <w:color w:val="555555"/>
          <w:sz w:val="22"/>
          <w:szCs w:val="22"/>
        </w:rPr>
        <w:t xml:space="preserve">Version 1.0  |  April 2026</w:t>
      </w:r>
    </w:p>
    <w:p>
      <w:pPr>
        <w:spacing w:after="0" w:before="500"/>
      </w:pPr>
      <w:r>
        <w:t xml:space="preserve"/>
      </w:r>
    </w:p>
    <w:p>
      <w:pPr>
        <w:spacing w:after="60" w:before="0"/>
        <w:jc w:val="center"/>
      </w:pPr>
      <w:r>
        <w:rPr>
          <w:rFonts w:ascii="Arial" w:cs="Arial" w:eastAsia="Arial" w:hAnsi="Arial"/>
          <w:color w:val="555555"/>
          <w:sz w:val="20"/>
          <w:szCs w:val="20"/>
        </w:rPr>
        <w:t xml:space="preserve">Prepared by:</w:t>
      </w:r>
    </w:p>
    <w:p>
      <w:pPr>
        <w:spacing w:after="60" w:before="0"/>
        <w:jc w:val="center"/>
      </w:pPr>
      <w:r>
        <w:rPr>
          <w:rFonts w:ascii="Arial" w:cs="Arial" w:eastAsia="Arial" w:hAnsi="Arial"/>
          <w:b/>
          <w:bCs/>
          <w:color w:val="1F3864"/>
          <w:sz w:val="28"/>
          <w:szCs w:val="28"/>
        </w:rPr>
        <w:t xml:space="preserve">Chukwuebuka Tshally-Okeke</w:t>
      </w:r>
    </w:p>
    <w:p>
      <w:pPr>
        <w:spacing w:after="60" w:before="0"/>
        <w:jc w:val="center"/>
      </w:pPr>
      <w:r>
        <w:rPr>
          <w:rFonts w:ascii="Arial" w:cs="Arial" w:eastAsia="Arial" w:hAnsi="Arial"/>
          <w:color w:val="555555"/>
          <w:sz w:val="22"/>
          <w:szCs w:val="22"/>
        </w:rPr>
        <w:t xml:space="preserve">Data Scientist  |  AlloyTower CDP Project</w:t>
      </w:r>
    </w:p>
    <w:p>
      <w:pPr>
        <w:spacing w:after="60" w:before="0"/>
        <w:jc w:val="center"/>
      </w:pPr>
      <w:r>
        <w:rPr>
          <w:rFonts w:ascii="Arial" w:cs="Arial" w:eastAsia="Arial" w:hAnsi="Arial"/>
          <w:color w:val="2E75B6"/>
          <w:sz w:val="20"/>
          <w:szCs w:val="20"/>
        </w:rPr>
        <w:t xml:space="preserve">GitHub: tshallycodes</w:t>
      </w:r>
    </w:p>
    <w:p>
      <w:pPr>
        <w:sectPr>
          <w:pgSz w:w="12240" w:h="15840" w:orient="portrait"/>
          <w:pgMar w:top="1440" w:right="1440" w:bottom="1440" w:left="1440" w:header="708" w:footer="708" w:gutter="0"/>
          <w:pgNumType/>
          <w:docGrid w:linePitch="360"/>
        </w:sectPr>
      </w:pPr>
    </w:p>
    <w:p>
      <w:pPr>
        <w:pStyle w:val="Heading1"/>
        <w:pBdr>
          <w:bottom w:val="single" w:color="2E75B6" w:sz="6" w:space="4"/>
        </w:pBdr>
        <w:spacing w:after="160" w:before="360"/>
      </w:pPr>
      <w:r>
        <w:rPr>
          <w:rFonts w:ascii="Arial" w:cs="Arial" w:eastAsia="Arial" w:hAnsi="Arial"/>
          <w:b/>
          <w:bCs/>
          <w:color w:val="1F3864"/>
          <w:sz w:val="32"/>
          <w:szCs w:val="32"/>
        </w:rPr>
        <w:t xml:space="preserve">1. Objective</w:t>
      </w:r>
    </w:p>
    <w:p>
      <w:pPr>
        <w:pStyle w:val="Heading2"/>
        <w:spacing w:after="120" w:before="280"/>
      </w:pPr>
      <w:r>
        <w:rPr>
          <w:rFonts w:ascii="Arial" w:cs="Arial" w:eastAsia="Arial" w:hAnsi="Arial"/>
          <w:b/>
          <w:bCs/>
          <w:color w:val="2E75B6"/>
          <w:sz w:val="26"/>
          <w:szCs w:val="26"/>
        </w:rPr>
        <w:t xml:space="preserve">1.1 Problem Definition</w:t>
      </w:r>
    </w:p>
    <w:p>
      <w:pPr>
        <w:spacing w:after="100" w:before="80"/>
        <w:jc w:val="left"/>
      </w:pPr>
      <w:r>
        <w:rPr>
          <w:rFonts w:ascii="Arial" w:cs="Arial" w:eastAsia="Arial" w:hAnsi="Arial"/>
          <w:b w:val="false"/>
          <w:bCs w:val="false"/>
          <w:i w:val="false"/>
          <w:iCs w:val="false"/>
          <w:color w:val="1A1A2E"/>
          <w:sz w:val="22"/>
          <w:szCs w:val="22"/>
        </w:rPr>
        <w:t xml:space="preserve">AlloyTower operates in a fragmented PropTech environment where property pricing relies heavily on agent intuition and manual comparables. This introduces inconsistency, slows transaction cycles, and limits the company's ability to scale pricing intelligence across multiple U.S. markets.</w:t>
      </w:r>
    </w:p>
    <w:p>
      <w:pPr>
        <w:spacing w:after="100" w:before="80"/>
        <w:jc w:val="left"/>
      </w:pPr>
      <w:r>
        <w:rPr>
          <w:rFonts w:ascii="Arial" w:cs="Arial" w:eastAsia="Arial" w:hAnsi="Arial"/>
          <w:b w:val="false"/>
          <w:bCs w:val="false"/>
          <w:i w:val="false"/>
          <w:iCs w:val="false"/>
          <w:color w:val="1A1A2E"/>
          <w:sz w:val="22"/>
          <w:szCs w:val="22"/>
        </w:rPr>
        <w:t xml:space="preserve">This model addresses that gap by predicting residential property sale prices from structured property attributes — providing agents, analysts, and the platform with an automated pricing signal.</w:t>
      </w:r>
    </w:p>
    <w:p>
      <w:pPr>
        <w:pStyle w:val="Heading2"/>
        <w:spacing w:after="120" w:before="280"/>
      </w:pPr>
      <w:r>
        <w:rPr>
          <w:rFonts w:ascii="Arial" w:cs="Arial" w:eastAsia="Arial" w:hAnsi="Arial"/>
          <w:b/>
          <w:bCs/>
          <w:color w:val="2E75B6"/>
          <w:sz w:val="26"/>
          <w:szCs w:val="26"/>
        </w:rPr>
        <w:t xml:space="preserve">1.2 Business Goal</w:t>
      </w:r>
    </w:p>
    <w:p>
      <w:pPr>
        <w:pStyle w:val="ListParagraph"/>
        <w:numPr>
          <w:ilvl w:val="0"/>
          <w:numId w:val="2"/>
        </w:numPr>
        <w:spacing w:after="60" w:before="60"/>
      </w:pPr>
      <w:r>
        <w:rPr>
          <w:rFonts w:ascii="Arial" w:cs="Arial" w:eastAsia="Arial" w:hAnsi="Arial"/>
          <w:b w:val="false"/>
          <w:bCs w:val="false"/>
          <w:color w:val="1A1A2E"/>
          <w:sz w:val="22"/>
          <w:szCs w:val="22"/>
        </w:rPr>
        <w:t xml:space="preserve">Give agents a data-driven pricing anchor for every listing.</w:t>
      </w:r>
    </w:p>
    <w:p>
      <w:pPr>
        <w:pStyle w:val="ListParagraph"/>
        <w:numPr>
          <w:ilvl w:val="0"/>
          <w:numId w:val="2"/>
        </w:numPr>
        <w:spacing w:after="60" w:before="60"/>
      </w:pPr>
      <w:r>
        <w:rPr>
          <w:rFonts w:ascii="Arial" w:cs="Arial" w:eastAsia="Arial" w:hAnsi="Arial"/>
          <w:b w:val="false"/>
          <w:bCs w:val="false"/>
          <w:color w:val="1A1A2E"/>
          <w:sz w:val="22"/>
          <w:szCs w:val="22"/>
        </w:rPr>
        <w:t xml:space="preserve">Power the real-time analytics dashboard with predicted price values.</w:t>
      </w:r>
    </w:p>
    <w:p>
      <w:pPr>
        <w:pStyle w:val="ListParagraph"/>
        <w:numPr>
          <w:ilvl w:val="0"/>
          <w:numId w:val="2"/>
        </w:numPr>
        <w:spacing w:after="60" w:before="60"/>
      </w:pPr>
      <w:r>
        <w:rPr>
          <w:rFonts w:ascii="Arial" w:cs="Arial" w:eastAsia="Arial" w:hAnsi="Arial"/>
          <w:b w:val="false"/>
          <w:bCs w:val="false"/>
          <w:color w:val="1A1A2E"/>
          <w:sz w:val="22"/>
          <w:szCs w:val="22"/>
        </w:rPr>
        <w:t xml:space="preserve">Reduce manual valuation time and pricing inconsistency across markets.</w:t>
      </w:r>
    </w:p>
    <w:p>
      <w:pPr>
        <w:pStyle w:val="ListParagraph"/>
        <w:numPr>
          <w:ilvl w:val="0"/>
          <w:numId w:val="2"/>
        </w:numPr>
        <w:spacing w:after="60" w:before="60"/>
      </w:pPr>
      <w:r>
        <w:rPr>
          <w:rFonts w:ascii="Arial" w:cs="Arial" w:eastAsia="Arial" w:hAnsi="Arial"/>
          <w:b w:val="false"/>
          <w:bCs w:val="false"/>
          <w:color w:val="1A1A2E"/>
          <w:sz w:val="22"/>
          <w:szCs w:val="22"/>
        </w:rPr>
        <w:t xml:space="preserve">Lay the foundation for a full Automated Valuation Model (AVM) as more transaction data accumulates.</w:t>
      </w:r>
    </w:p>
    <w:p>
      <w:pPr>
        <w:pStyle w:val="Heading2"/>
        <w:spacing w:after="120" w:before="280"/>
      </w:pPr>
      <w:r>
        <w:rPr>
          <w:rFonts w:ascii="Arial" w:cs="Arial" w:eastAsia="Arial" w:hAnsi="Arial"/>
          <w:b/>
          <w:bCs/>
          <w:color w:val="2E75B6"/>
          <w:sz w:val="26"/>
          <w:szCs w:val="26"/>
        </w:rPr>
        <w:t xml:space="preserve">1.3 Success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Metric</w:t>
            </w:r>
          </w:p>
        </w:tc>
        <w:tc>
          <w:tcPr>
            <w:tcW w:type="dxa" w:w="576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Target Threshold</w:t>
            </w:r>
          </w:p>
        </w:tc>
      </w:tr>
      <w:tr>
        <w:tc>
          <w:tcPr>
            <w:tcW w:type="dxa" w:w="36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bCs/>
                <w:color w:val="1A1A2E"/>
                <w:sz w:val="20"/>
                <w:szCs w:val="20"/>
              </w:rPr>
              <w:t xml:space="preserve">R² Score</w:t>
            </w:r>
          </w:p>
        </w:tc>
        <w:tc>
          <w:tcPr>
            <w:tcW w:type="dxa" w:w="57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 0.85 — model explains majority of price variance</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1A1A2E"/>
                <w:sz w:val="20"/>
                <w:szCs w:val="20"/>
              </w:rPr>
              <w:t xml:space="preserve">RMSE</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&lt; $150,000 — acceptable error for agent pricing guidance</w:t>
            </w:r>
          </w:p>
        </w:tc>
      </w:tr>
      <w:tr>
        <w:tc>
          <w:tcPr>
            <w:tcW w:type="dxa" w:w="36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bCs/>
                <w:color w:val="1A1A2E"/>
                <w:sz w:val="20"/>
                <w:szCs w:val="20"/>
              </w:rPr>
              <w:t xml:space="preserve">Median AE</w:t>
            </w:r>
          </w:p>
        </w:tc>
        <w:tc>
          <w:tcPr>
            <w:tcW w:type="dxa" w:w="57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&lt; $75,000 — at least half of predictions within this range</w:t>
            </w:r>
          </w:p>
        </w:tc>
      </w:tr>
    </w:tbl>
    <w:p>
      <w:pPr>
        <w:spacing w:after="0" w:before="80"/>
      </w:pPr>
      <w:r>
        <w:t xml:space="preserve"/>
      </w:r>
    </w:p>
    <w:p>
      <w:pPr>
        <w:pBdr>
          <w:bottom w:val="single" w:color="DDDDDD" w:sz="3" w:space="1"/>
        </w:pBdr>
        <w:spacing w:after="200" w:before="200"/>
      </w:pPr>
      <w:r>
        <w:t xml:space="preserve"/>
      </w:r>
    </w:p>
    <w:p>
      <w:pPr>
        <w:pStyle w:val="Heading1"/>
        <w:pBdr>
          <w:bottom w:val="single" w:color="2E75B6" w:sz="6" w:space="4"/>
        </w:pBdr>
        <w:spacing w:after="160" w:before="360"/>
      </w:pPr>
      <w:r>
        <w:rPr>
          <w:rFonts w:ascii="Arial" w:cs="Arial" w:eastAsia="Arial" w:hAnsi="Arial"/>
          <w:b/>
          <w:bCs/>
          <w:color w:val="1F3864"/>
          <w:sz w:val="32"/>
          <w:szCs w:val="32"/>
        </w:rPr>
        <w:t xml:space="preserve">2. Data Description</w:t>
      </w:r>
    </w:p>
    <w:p>
      <w:pPr>
        <w:pStyle w:val="Heading2"/>
        <w:spacing w:after="120" w:before="280"/>
      </w:pPr>
      <w:r>
        <w:rPr>
          <w:rFonts w:ascii="Arial" w:cs="Arial" w:eastAsia="Arial" w:hAnsi="Arial"/>
          <w:b/>
          <w:bCs/>
          <w:color w:val="2E75B6"/>
          <w:sz w:val="26"/>
          <w:szCs w:val="26"/>
        </w:rPr>
        <w:t xml:space="preserve">2.1 Data Source</w:t>
      </w:r>
    </w:p>
    <w:p>
      <w:pPr>
        <w:spacing w:after="100" w:before="80"/>
        <w:jc w:val="left"/>
      </w:pPr>
      <w:r>
        <w:rPr>
          <w:rFonts w:ascii="Arial" w:cs="Arial" w:eastAsia="Arial" w:hAnsi="Arial"/>
          <w:b w:val="false"/>
          <w:bCs w:val="false"/>
          <w:i w:val="false"/>
          <w:iCs w:val="false"/>
          <w:color w:val="1A1A2E"/>
          <w:sz w:val="22"/>
          <w:szCs w:val="22"/>
        </w:rPr>
        <w:t xml:space="preserve">The dataset was provided internally by the AlloyTower project team as a CSV export of property listing records. It covers residential and commercial properties across multiple U.S. cities and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Attribute</w:t>
            </w:r>
          </w:p>
        </w:tc>
        <w:tc>
          <w:tcPr>
            <w:tcW w:type="dxa" w:w="636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Detail</w:t>
            </w:r>
          </w:p>
        </w:tc>
      </w:tr>
      <w:tr>
        <w:tc>
          <w:tcPr>
            <w:tcW w:type="dxa" w:w="30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bCs/>
                <w:color w:val="1A1A2E"/>
                <w:sz w:val="20"/>
                <w:szCs w:val="20"/>
              </w:rPr>
              <w:t xml:space="preserve">Total Records</w:t>
            </w:r>
          </w:p>
        </w:tc>
        <w:tc>
          <w:tcPr>
            <w:tcW w:type="dxa" w:w="63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2,090 properties</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1A1A2E"/>
                <w:sz w:val="20"/>
                <w:szCs w:val="20"/>
              </w:rPr>
              <w:t xml:space="preserve">Total Features</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27 columns (post-cleaning)</w:t>
            </w:r>
          </w:p>
        </w:tc>
      </w:tr>
      <w:tr>
        <w:tc>
          <w:tcPr>
            <w:tcW w:type="dxa" w:w="30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bCs/>
                <w:color w:val="1A1A2E"/>
                <w:sz w:val="20"/>
                <w:szCs w:val="20"/>
              </w:rPr>
              <w:t xml:space="preserve">Geographic Coverage</w:t>
            </w:r>
          </w:p>
        </w:tc>
        <w:tc>
          <w:tcPr>
            <w:tcW w:type="dxa" w:w="63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Multiple U.S. states — TX, FL, CA, NY, NC among top by volume</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1A1A2E"/>
                <w:sz w:val="20"/>
                <w:szCs w:val="20"/>
              </w:rPr>
              <w:t xml:space="preserve">Property Types</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Single Family (40%), Condo (30%), Townhouse (20%), Multi Family (10%)</w:t>
            </w:r>
          </w:p>
        </w:tc>
      </w:tr>
      <w:tr>
        <w:tc>
          <w:tcPr>
            <w:tcW w:type="dxa" w:w="30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bCs/>
                <w:color w:val="1A1A2E"/>
                <w:sz w:val="20"/>
                <w:szCs w:val="20"/>
              </w:rPr>
              <w:t xml:space="preserve">Sale Date Range</w:t>
            </w:r>
          </w:p>
        </w:tc>
        <w:tc>
          <w:tcPr>
            <w:tcW w:type="dxa" w:w="63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2017 – 2025</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1A1A2E"/>
                <w:sz w:val="20"/>
                <w:szCs w:val="20"/>
              </w:rPr>
              <w:t xml:space="preserve">Target Variable</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last_sale_price (float, USD)</w:t>
            </w:r>
          </w:p>
        </w:tc>
      </w:tr>
    </w:tbl>
    <w:p>
      <w:pPr>
        <w:spacing w:after="0" w:before="160"/>
      </w:pPr>
      <w:r>
        <w:t xml:space="preserve"/>
      </w:r>
    </w:p>
    <w:p>
      <w:pPr>
        <w:pStyle w:val="Heading2"/>
        <w:spacing w:after="120" w:before="280"/>
      </w:pPr>
      <w:r>
        <w:rPr>
          <w:rFonts w:ascii="Arial" w:cs="Arial" w:eastAsia="Arial" w:hAnsi="Arial"/>
          <w:b/>
          <w:bCs/>
          <w:color w:val="2E75B6"/>
          <w:sz w:val="26"/>
          <w:szCs w:val="26"/>
        </w:rPr>
        <w:t xml:space="preserve">2.2 Feature Groups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2960"/>
      </w:tblGrid>
      <w:tr>
        <w:tc>
          <w:tcPr>
            <w:tcW w:type="dxa" w:w="24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Group</w:t>
            </w:r>
          </w:p>
        </w:tc>
        <w:tc>
          <w:tcPr>
            <w:tcW w:type="dxa" w:w="40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Features</w:t>
            </w:r>
          </w:p>
        </w:tc>
        <w:tc>
          <w:tcPr>
            <w:tcW w:type="dxa" w:w="296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bCs/>
                <w:color w:val="1A1A2E"/>
                <w:sz w:val="20"/>
                <w:szCs w:val="20"/>
              </w:rPr>
              <w:t xml:space="preserve">Location</w:t>
            </w:r>
          </w:p>
        </w:tc>
        <w:tc>
          <w:tcPr>
            <w:tcW w:type="dxa" w:w="40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city, state, zip_code, county, latitude, longitude</w:t>
            </w:r>
          </w:p>
        </w:tc>
        <w:tc>
          <w:tcPr>
            <w:tcW w:type="dxa" w:w="29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city and state target-encoded</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1A1A2E"/>
                <w:sz w:val="20"/>
                <w:szCs w:val="20"/>
              </w:rPr>
              <w:t xml:space="preserve">Property Attributes</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property_type, bedrooms, bathrooms, sqft, lot_size_sqft, year_built</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Core structural predictors</w:t>
            </w:r>
          </w:p>
        </w:tc>
      </w:tr>
      <w:tr>
        <w:tc>
          <w:tcPr>
            <w:tcW w:type="dxa" w:w="24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bCs/>
                <w:color w:val="1A1A2E"/>
                <w:sz w:val="20"/>
                <w:szCs w:val="20"/>
              </w:rPr>
              <w:t xml:space="preserve">Sale History</w:t>
            </w:r>
          </w:p>
        </w:tc>
        <w:tc>
          <w:tcPr>
            <w:tcW w:type="dxa" w:w="40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days_since_sale, price_per_sqft</w:t>
            </w:r>
          </w:p>
        </w:tc>
        <w:tc>
          <w:tcPr>
            <w:tcW w:type="dxa" w:w="29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price_per_sqft is derived from target — see leakage note</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1A1A2E"/>
                <w:sz w:val="20"/>
                <w:szCs w:val="20"/>
              </w:rPr>
              <w:t xml:space="preserve">Tax / Valuation</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assessed_value, annual_tax, tax_year</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Kept — available at prediction time (public records)</w:t>
            </w:r>
          </w:p>
        </w:tc>
      </w:tr>
      <w:tr>
        <w:tc>
          <w:tcPr>
            <w:tcW w:type="dxa" w:w="24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bCs/>
                <w:color w:val="1A1A2E"/>
                <w:sz w:val="20"/>
                <w:szCs w:val="20"/>
              </w:rPr>
              <w:t xml:space="preserve">Ownership</w:t>
            </w:r>
          </w:p>
        </w:tc>
        <w:tc>
          <w:tcPr>
            <w:tcW w:type="dxa" w:w="40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owner_occupied</w:t>
            </w:r>
          </w:p>
        </w:tc>
        <w:tc>
          <w:tcPr>
            <w:tcW w:type="dxa" w:w="29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Boolean — retained as int (0/1) in model</w:t>
            </w:r>
          </w:p>
        </w:tc>
      </w:tr>
    </w:tbl>
    <w:p>
      <w:pPr>
        <w:spacing w:after="0" w:before="160"/>
      </w:pPr>
      <w:r>
        <w:t xml:space="preserve"/>
      </w:r>
    </w:p>
    <w:p>
      <w:pPr>
        <w:pStyle w:val="Heading2"/>
        <w:spacing w:after="120" w:before="280"/>
      </w:pPr>
      <w:r>
        <w:rPr>
          <w:rFonts w:ascii="Arial" w:cs="Arial" w:eastAsia="Arial" w:hAnsi="Arial"/>
          <w:b/>
          <w:bCs/>
          <w:color w:val="2E75B6"/>
          <w:sz w:val="26"/>
          <w:szCs w:val="26"/>
        </w:rPr>
        <w:t xml:space="preserve">2.3 Data Quality Issues (Raw Dataset)</w:t>
      </w:r>
    </w:p>
    <w:p>
      <w:pPr>
        <w:spacing w:after="100" w:before="80"/>
        <w:jc w:val="left"/>
      </w:pPr>
      <w:r>
        <w:rPr>
          <w:rFonts w:ascii="Arial" w:cs="Arial" w:eastAsia="Arial" w:hAnsi="Arial"/>
          <w:b w:val="false"/>
          <w:bCs w:val="false"/>
          <w:i w:val="false"/>
          <w:iCs w:val="false"/>
          <w:color w:val="1A1A2E"/>
          <w:sz w:val="22"/>
          <w:szCs w:val="22"/>
        </w:rPr>
        <w:t xml:space="preserve">The following issues were identified in the raw CSV and resolved during cleaning:</w:t>
      </w:r>
    </w:p>
    <w:p>
      <w:pPr>
        <w:pStyle w:val="ListParagraph"/>
        <w:numPr>
          <w:ilvl w:val="0"/>
          <w:numId w:val="2"/>
        </w:numPr>
        <w:spacing w:after="60" w:before="60"/>
      </w:pPr>
      <w:r>
        <w:rPr>
          <w:rFonts w:ascii="Arial" w:cs="Arial" w:eastAsia="Arial" w:hAnsi="Arial"/>
          <w:b w:val="false"/>
          <w:bCs w:val="false"/>
          <w:color w:val="1A1A2E"/>
          <w:sz w:val="22"/>
          <w:szCs w:val="22"/>
        </w:rPr>
        <w:t xml:space="preserve">Numeric columns stored as comma-formatted strings — sqft, lot_size_sqft, last_sale_price, assessed_value, annual_tax, days_since_sale required comma stripping and type casting.</w:t>
      </w:r>
    </w:p>
    <w:p>
      <w:pPr>
        <w:pStyle w:val="ListParagraph"/>
        <w:numPr>
          <w:ilvl w:val="0"/>
          <w:numId w:val="2"/>
        </w:numPr>
        <w:spacing w:after="60" w:before="60"/>
      </w:pPr>
      <w:r>
        <w:rPr>
          <w:rFonts w:ascii="Arial" w:cs="Arial" w:eastAsia="Arial" w:hAnsi="Arial"/>
          <w:b w:val="false"/>
          <w:bCs w:val="false"/>
          <w:color w:val="1A1A2E"/>
          <w:sz w:val="22"/>
          <w:szCs w:val="22"/>
        </w:rPr>
        <w:t xml:space="preserve">last_sale_date stored as a plain string — converted to datetime for temporal feature extraction.</w:t>
      </w:r>
    </w:p>
    <w:p>
      <w:pPr>
        <w:pStyle w:val="ListParagraph"/>
        <w:numPr>
          <w:ilvl w:val="0"/>
          <w:numId w:val="2"/>
        </w:numPr>
        <w:spacing w:after="60" w:before="60"/>
      </w:pPr>
      <w:r>
        <w:rPr>
          <w:rFonts w:ascii="Arial" w:cs="Arial" w:eastAsia="Arial" w:hAnsi="Arial"/>
          <w:b w:val="false"/>
          <w:bCs w:val="false"/>
          <w:color w:val="1A1A2E"/>
          <w:sz w:val="22"/>
          <w:szCs w:val="22"/>
        </w:rPr>
        <w:t xml:space="preserve">BOM character on the property_id column name — stripped during load.</w:t>
      </w:r>
    </w:p>
    <w:p>
      <w:pPr>
        <w:pStyle w:val="ListParagraph"/>
        <w:numPr>
          <w:ilvl w:val="0"/>
          <w:numId w:val="2"/>
        </w:numPr>
        <w:spacing w:after="60" w:before="60"/>
      </w:pPr>
      <w:r>
        <w:rPr>
          <w:rFonts w:ascii="Arial" w:cs="Arial" w:eastAsia="Arial" w:hAnsi="Arial"/>
          <w:b w:val="false"/>
          <w:bCs w:val="false"/>
          <w:color w:val="1A1A2E"/>
          <w:sz w:val="22"/>
          <w:szCs w:val="22"/>
        </w:rPr>
        <w:t xml:space="preserve">building_age was redundant (2025 - year_built) — dropped to avoid multicollinearity.</w:t>
      </w:r>
    </w:p>
    <w:p>
      <w:pPr>
        <w:pStyle w:val="ListParagraph"/>
        <w:numPr>
          <w:ilvl w:val="0"/>
          <w:numId w:val="2"/>
        </w:numPr>
        <w:spacing w:after="60" w:before="60"/>
      </w:pPr>
      <w:r>
        <w:rPr>
          <w:rFonts w:ascii="Arial" w:cs="Arial" w:eastAsia="Arial" w:hAnsi="Arial"/>
          <w:b w:val="false"/>
          <w:bCs w:val="false"/>
          <w:color w:val="1A1A2E"/>
          <w:sz w:val="22"/>
          <w:szCs w:val="22"/>
        </w:rPr>
        <w:t xml:space="preserve">unit column had 49% nulls — expected for non-apartment properties, filled with empty string.</w:t>
      </w:r>
    </w:p>
    <w:p>
      <w:pPr>
        <w:spacing w:after="0" w:before="80"/>
      </w:pPr>
      <w:r>
        <w:t xml:space="preserve"/>
      </w:r>
    </w:p>
    <w:p>
      <w:pPr>
        <w:pBdr>
          <w:bottom w:val="single" w:color="DDDDDD" w:sz="3" w:space="1"/>
        </w:pBdr>
        <w:spacing w:after="200" w:before="200"/>
      </w:pPr>
      <w:r>
        <w:t xml:space="preserve"/>
      </w:r>
    </w:p>
    <w:p>
      <w:pPr>
        <w:pStyle w:val="Heading1"/>
        <w:pBdr>
          <w:bottom w:val="single" w:color="2E75B6" w:sz="6" w:space="4"/>
        </w:pBdr>
        <w:spacing w:after="160" w:before="360"/>
      </w:pPr>
      <w:r>
        <w:rPr>
          <w:rFonts w:ascii="Arial" w:cs="Arial" w:eastAsia="Arial" w:hAnsi="Arial"/>
          <w:b/>
          <w:bCs/>
          <w:color w:val="1F3864"/>
          <w:sz w:val="32"/>
          <w:szCs w:val="32"/>
        </w:rPr>
        <w:t xml:space="preserve">3. Exploratory Data Analysis</w:t>
      </w:r>
    </w:p>
    <w:p>
      <w:pPr>
        <w:pStyle w:val="Heading2"/>
        <w:spacing w:after="120" w:before="280"/>
      </w:pPr>
      <w:r>
        <w:rPr>
          <w:rFonts w:ascii="Arial" w:cs="Arial" w:eastAsia="Arial" w:hAnsi="Arial"/>
          <w:b/>
          <w:bCs/>
          <w:color w:val="2E75B6"/>
          <w:sz w:val="26"/>
          <w:szCs w:val="26"/>
        </w:rPr>
        <w:t xml:space="preserve">3.1 Target Distribution</w:t>
      </w:r>
    </w:p>
    <w:p>
      <w:pPr>
        <w:spacing w:after="100" w:before="80"/>
        <w:jc w:val="left"/>
      </w:pPr>
      <w:r>
        <w:rPr>
          <w:rFonts w:ascii="Arial" w:cs="Arial" w:eastAsia="Arial" w:hAnsi="Arial"/>
          <w:b w:val="false"/>
          <w:bCs w:val="false"/>
          <w:i w:val="false"/>
          <w:iCs w:val="false"/>
          <w:color w:val="1A1A2E"/>
          <w:sz w:val="22"/>
          <w:szCs w:val="22"/>
        </w:rPr>
        <w:t xml:space="preserve">last_sale_price is right-skewed with a long tail driven by high-value properties. Key statistics: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Statistic</w:t>
            </w:r>
          </w:p>
        </w:tc>
        <w:tc>
          <w:tcPr>
            <w:tcW w:type="dxa" w:w="624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Value</w:t>
            </w:r>
          </w:p>
        </w:tc>
      </w:tr>
      <w:tr>
        <w:tc>
          <w:tcPr>
            <w:tcW w:type="dxa" w:w="312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bCs/>
                <w:color w:val="1A1A2E"/>
                <w:sz w:val="20"/>
                <w:szCs w:val="20"/>
              </w:rPr>
              <w:t xml:space="preserve">Mean</w:t>
            </w:r>
          </w:p>
        </w:tc>
        <w:tc>
          <w:tcPr>
            <w:tcW w:type="dxa" w:w="62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$781,993</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1A1A2E"/>
                <w:sz w:val="20"/>
                <w:szCs w:val="20"/>
              </w:rPr>
              <w:t xml:space="preserve">Median</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$611,406</w:t>
            </w:r>
          </w:p>
        </w:tc>
      </w:tr>
      <w:tr>
        <w:tc>
          <w:tcPr>
            <w:tcW w:type="dxa" w:w="312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bCs/>
                <w:color w:val="1A1A2E"/>
                <w:sz w:val="20"/>
                <w:szCs w:val="20"/>
              </w:rPr>
              <w:t xml:space="preserve">Std Dev</w:t>
            </w:r>
          </w:p>
        </w:tc>
        <w:tc>
          <w:tcPr>
            <w:tcW w:type="dxa" w:w="62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$655,877</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1A1A2E"/>
                <w:sz w:val="20"/>
                <w:szCs w:val="20"/>
              </w:rPr>
              <w:t xml:space="preserve">Min</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$121,231</w:t>
            </w:r>
          </w:p>
        </w:tc>
      </w:tr>
      <w:tr>
        <w:tc>
          <w:tcPr>
            <w:tcW w:type="dxa" w:w="312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bCs/>
                <w:color w:val="1A1A2E"/>
                <w:sz w:val="20"/>
                <w:szCs w:val="20"/>
              </w:rPr>
              <w:t xml:space="preserve">Max</w:t>
            </w:r>
          </w:p>
        </w:tc>
        <w:tc>
          <w:tcPr>
            <w:tcW w:type="dxa" w:w="62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$3,495,036</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1A1A2E"/>
                <w:sz w:val="20"/>
                <w:szCs w:val="20"/>
              </w:rPr>
              <w:t xml:space="preserve">Above $2M (outliers)</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~2.5% of records</w:t>
            </w:r>
          </w:p>
        </w:tc>
      </w:tr>
    </w:tbl>
    <w:p>
      <w:pPr>
        <w:spacing w:after="0" w:before="160"/>
      </w:pPr>
      <w:r>
        <w:t xml:space="preserve"/>
      </w:r>
    </w:p>
    <w:p>
      <w:pPr>
        <w:pStyle w:val="Heading2"/>
        <w:spacing w:after="120" w:before="280"/>
      </w:pPr>
      <w:r>
        <w:rPr>
          <w:rFonts w:ascii="Arial" w:cs="Arial" w:eastAsia="Arial" w:hAnsi="Arial"/>
          <w:b/>
          <w:bCs/>
          <w:color w:val="2E75B6"/>
          <w:sz w:val="26"/>
          <w:szCs w:val="26"/>
        </w:rPr>
        <w:t xml:space="preserve">3.2 Key Correlations with Target</w:t>
      </w:r>
    </w:p>
    <w:p>
      <w:pPr>
        <w:spacing w:after="100" w:before="80"/>
        <w:jc w:val="left"/>
      </w:pPr>
      <w:r>
        <w:rPr>
          <w:rFonts w:ascii="Arial" w:cs="Arial" w:eastAsia="Arial" w:hAnsi="Arial"/>
          <w:b w:val="false"/>
          <w:bCs w:val="false"/>
          <w:i w:val="false"/>
          <w:iCs w:val="false"/>
          <w:color w:val="1A1A2E"/>
          <w:sz w:val="22"/>
          <w:szCs w:val="22"/>
        </w:rPr>
        <w:t xml:space="preserve">Pearson correlation analysis revealed the following predictive signals:</w:t>
      </w:r>
    </w:p>
    <w:p>
      <w:pPr>
        <w:pStyle w:val="ListParagraph"/>
        <w:numPr>
          <w:ilvl w:val="0"/>
          <w:numId w:val="2"/>
        </w:numPr>
        <w:spacing w:after="60" w:before="60"/>
      </w:pPr>
      <w:r>
        <w:rPr>
          <w:rFonts w:ascii="Arial" w:cs="Arial" w:eastAsia="Arial" w:hAnsi="Arial"/>
          <w:b w:val="false"/>
          <w:bCs w:val="false"/>
          <w:color w:val="1A1A2E"/>
          <w:sz w:val="22"/>
          <w:szCs w:val="22"/>
        </w:rPr>
        <w:t xml:space="preserve">assessed_value — strongest predictor (r ≈ 0.97). Assessed value is a public record reflecting the taxable estimate of market value.</w:t>
      </w:r>
    </w:p>
    <w:p>
      <w:pPr>
        <w:pStyle w:val="ListParagraph"/>
        <w:numPr>
          <w:ilvl w:val="0"/>
          <w:numId w:val="2"/>
        </w:numPr>
        <w:spacing w:after="60" w:before="60"/>
      </w:pPr>
      <w:r>
        <w:rPr>
          <w:rFonts w:ascii="Arial" w:cs="Arial" w:eastAsia="Arial" w:hAnsi="Arial"/>
          <w:b w:val="false"/>
          <w:bCs w:val="false"/>
          <w:color w:val="1A1A2E"/>
          <w:sz w:val="22"/>
          <w:szCs w:val="22"/>
        </w:rPr>
        <w:t xml:space="preserve">annual_tax — highly correlated with assessed_value and therefore the target (r ≈ 0.92). Retained — see Section 4.2.</w:t>
      </w:r>
    </w:p>
    <w:p>
      <w:pPr>
        <w:pStyle w:val="ListParagraph"/>
        <w:numPr>
          <w:ilvl w:val="0"/>
          <w:numId w:val="2"/>
        </w:numPr>
        <w:spacing w:after="60" w:before="60"/>
      </w:pPr>
      <w:r>
        <w:rPr>
          <w:rFonts w:ascii="Arial" w:cs="Arial" w:eastAsia="Arial" w:hAnsi="Arial"/>
          <w:b w:val="false"/>
          <w:bCs w:val="false"/>
          <w:color w:val="1A1A2E"/>
          <w:sz w:val="22"/>
          <w:szCs w:val="22"/>
        </w:rPr>
        <w:t xml:space="preserve">price_per_sqft — directly derived from the target. Excluded from model features to prevent leakage.</w:t>
      </w:r>
    </w:p>
    <w:p>
      <w:pPr>
        <w:pStyle w:val="ListParagraph"/>
        <w:numPr>
          <w:ilvl w:val="0"/>
          <w:numId w:val="2"/>
        </w:numPr>
        <w:spacing w:after="60" w:before="60"/>
      </w:pPr>
      <w:r>
        <w:rPr>
          <w:rFonts w:ascii="Arial" w:cs="Arial" w:eastAsia="Arial" w:hAnsi="Arial"/>
          <w:b w:val="false"/>
          <w:bCs w:val="false"/>
          <w:color w:val="1A1A2E"/>
          <w:sz w:val="22"/>
          <w:szCs w:val="22"/>
        </w:rPr>
        <w:t xml:space="preserve">sqft — moderate positive correlation. Larger properties command higher prices.</w:t>
      </w:r>
    </w:p>
    <w:p>
      <w:pPr>
        <w:pStyle w:val="ListParagraph"/>
        <w:numPr>
          <w:ilvl w:val="0"/>
          <w:numId w:val="2"/>
        </w:numPr>
        <w:spacing w:after="60" w:before="60"/>
      </w:pPr>
      <w:r>
        <w:rPr>
          <w:rFonts w:ascii="Arial" w:cs="Arial" w:eastAsia="Arial" w:hAnsi="Arial"/>
          <w:b w:val="false"/>
          <w:bCs w:val="false"/>
          <w:color w:val="1A1A2E"/>
          <w:sz w:val="22"/>
          <w:szCs w:val="22"/>
        </w:rPr>
        <w:t xml:space="preserve">bathrooms, bedrooms — positive but weaker correlation than sqft.</w:t>
      </w:r>
    </w:p>
    <w:p>
      <w:pPr>
        <w:pStyle w:val="ListParagraph"/>
        <w:numPr>
          <w:ilvl w:val="0"/>
          <w:numId w:val="2"/>
        </w:numPr>
        <w:spacing w:after="60" w:before="60"/>
      </w:pPr>
      <w:r>
        <w:rPr>
          <w:rFonts w:ascii="Arial" w:cs="Arial" w:eastAsia="Arial" w:hAnsi="Arial"/>
          <w:b w:val="false"/>
          <w:bCs w:val="false"/>
          <w:color w:val="1A1A2E"/>
          <w:sz w:val="22"/>
          <w:szCs w:val="22"/>
        </w:rPr>
        <w:t xml:space="preserve">days_since_sale, year_built — weak correlation with current price.</w:t>
      </w:r>
    </w:p>
    <w:p>
      <w:pPr>
        <w:pStyle w:val="Heading2"/>
        <w:spacing w:after="120" w:before="280"/>
      </w:pPr>
      <w:r>
        <w:rPr>
          <w:rFonts w:ascii="Arial" w:cs="Arial" w:eastAsia="Arial" w:hAnsi="Arial"/>
          <w:b/>
          <w:bCs/>
          <w:color w:val="2E75B6"/>
          <w:sz w:val="26"/>
          <w:szCs w:val="26"/>
        </w:rPr>
        <w:t xml:space="preserve">3.3 Notable Patterns</w:t>
      </w:r>
    </w:p>
    <w:p>
      <w:pPr>
        <w:pStyle w:val="ListParagraph"/>
        <w:numPr>
          <w:ilvl w:val="0"/>
          <w:numId w:val="2"/>
        </w:numPr>
        <w:spacing w:after="60" w:before="60"/>
      </w:pPr>
      <w:r>
        <w:rPr>
          <w:rFonts w:ascii="Arial" w:cs="Arial" w:eastAsia="Arial" w:hAnsi="Arial"/>
          <w:b w:val="false"/>
          <w:bCs w:val="false"/>
          <w:color w:val="1A1A2E"/>
          <w:sz w:val="22"/>
          <w:szCs w:val="22"/>
        </w:rPr>
        <w:t xml:space="preserve">Multi Family properties have the highest median sale price despite being the smallest group by volume.</w:t>
      </w:r>
    </w:p>
    <w:p>
      <w:pPr>
        <w:pStyle w:val="ListParagraph"/>
        <w:numPr>
          <w:ilvl w:val="0"/>
          <w:numId w:val="2"/>
        </w:numPr>
        <w:spacing w:after="60" w:before="60"/>
      </w:pPr>
      <w:r>
        <w:rPr>
          <w:rFonts w:ascii="Arial" w:cs="Arial" w:eastAsia="Arial" w:hAnsi="Arial"/>
          <w:b w:val="false"/>
          <w:bCs w:val="false"/>
          <w:color w:val="1A1A2E"/>
          <w:sz w:val="22"/>
          <w:szCs w:val="22"/>
        </w:rPr>
        <w:t xml:space="preserve">Top states by median price differ from top states by listing volume — CA and NY lead on price, TX and FL lead on volume.</w:t>
      </w:r>
    </w:p>
    <w:p>
      <w:pPr>
        <w:pStyle w:val="ListParagraph"/>
        <w:numPr>
          <w:ilvl w:val="0"/>
          <w:numId w:val="2"/>
        </w:numPr>
        <w:spacing w:after="60" w:before="60"/>
      </w:pPr>
      <w:r>
        <w:rPr>
          <w:rFonts w:ascii="Arial" w:cs="Arial" w:eastAsia="Arial" w:hAnsi="Arial"/>
          <w:b w:val="false"/>
          <w:bCs w:val="false"/>
          <w:color w:val="1A1A2E"/>
          <w:sz w:val="22"/>
          <w:szCs w:val="22"/>
        </w:rPr>
        <w:t xml:space="preserve">Sale volume peaks in spring/summer months (March–July), consistent with U.S. real estate seasonality.</w:t>
      </w:r>
    </w:p>
    <w:p>
      <w:pPr>
        <w:pStyle w:val="ListParagraph"/>
        <w:numPr>
          <w:ilvl w:val="0"/>
          <w:numId w:val="2"/>
        </w:numPr>
        <w:spacing w:after="60" w:before="60"/>
      </w:pPr>
      <w:r>
        <w:rPr>
          <w:rFonts w:ascii="Arial" w:cs="Arial" w:eastAsia="Arial" w:hAnsi="Arial"/>
          <w:b w:val="false"/>
          <w:bCs w:val="false"/>
          <w:color w:val="1A1A2E"/>
          <w:sz w:val="22"/>
          <w:szCs w:val="22"/>
        </w:rPr>
        <w:t xml:space="preserve">Some geographic coordinates appear inconsistent with stated city/state — flagged for future geo-validation.</w:t>
      </w:r>
    </w:p>
    <w:p>
      <w:pPr>
        <w:spacing w:after="0" w:before="80"/>
      </w:pPr>
      <w:r>
        <w:t xml:space="preserve"/>
      </w:r>
    </w:p>
    <w:p>
      <w:pPr>
        <w:pBdr>
          <w:bottom w:val="single" w:color="DDDDDD" w:sz="3" w:space="1"/>
        </w:pBdr>
        <w:spacing w:after="200" w:before="200"/>
      </w:pPr>
      <w:r>
        <w:t xml:space="preserve"/>
      </w:r>
    </w:p>
    <w:p>
      <w:pPr>
        <w:pStyle w:val="Heading1"/>
        <w:pBdr>
          <w:bottom w:val="single" w:color="2E75B6" w:sz="6" w:space="4"/>
        </w:pBdr>
        <w:spacing w:after="160" w:before="360"/>
      </w:pPr>
      <w:r>
        <w:rPr>
          <w:rFonts w:ascii="Arial" w:cs="Arial" w:eastAsia="Arial" w:hAnsi="Arial"/>
          <w:b/>
          <w:bCs/>
          <w:color w:val="1F3864"/>
          <w:sz w:val="32"/>
          <w:szCs w:val="32"/>
        </w:rPr>
        <w:t xml:space="preserve">4. Data Preprocessing &amp; Feature Engineering</w:t>
      </w:r>
    </w:p>
    <w:p>
      <w:pPr>
        <w:pStyle w:val="Heading2"/>
        <w:spacing w:after="120" w:before="280"/>
      </w:pPr>
      <w:r>
        <w:rPr>
          <w:rFonts w:ascii="Arial" w:cs="Arial" w:eastAsia="Arial" w:hAnsi="Arial"/>
          <w:b/>
          <w:bCs/>
          <w:color w:val="2E75B6"/>
          <w:sz w:val="26"/>
          <w:szCs w:val="26"/>
        </w:rPr>
        <w:t xml:space="preserve">4.1 Preprocessing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Step</w:t>
            </w:r>
          </w:p>
        </w:tc>
        <w:tc>
          <w:tcPr>
            <w:tcW w:type="dxa" w:w="636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Detail</w:t>
            </w:r>
          </w:p>
        </w:tc>
      </w:tr>
      <w:tr>
        <w:tc>
          <w:tcPr>
            <w:tcW w:type="dxa" w:w="30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bCs/>
                <w:color w:val="1A1A2E"/>
                <w:sz w:val="20"/>
                <w:szCs w:val="20"/>
              </w:rPr>
              <w:t xml:space="preserve">Drop identifiers</w:t>
            </w:r>
          </w:p>
        </w:tc>
        <w:tc>
          <w:tcPr>
            <w:tcW w:type="dxa" w:w="63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property_id, id, full_address, street_address, unit, owner_name, assessor_id, last_sale_date</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1A1A2E"/>
                <w:sz w:val="20"/>
                <w:szCs w:val="20"/>
              </w:rPr>
              <w:t xml:space="preserve">Drop redundant feature</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building_age — collinear with year_built</w:t>
            </w:r>
          </w:p>
        </w:tc>
      </w:tr>
      <w:tr>
        <w:tc>
          <w:tcPr>
            <w:tcW w:type="dxa" w:w="30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bCs/>
                <w:color w:val="1A1A2E"/>
                <w:sz w:val="20"/>
                <w:szCs w:val="20"/>
              </w:rPr>
              <w:t xml:space="preserve">One-hot encoding</w:t>
            </w:r>
          </w:p>
        </w:tc>
        <w:tc>
          <w:tcPr>
            <w:tcW w:type="dxa" w:w="63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property_type — 4 dummy columns, no drop_first (RF/XGBoost handle redundancy)</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1A1A2E"/>
                <w:sz w:val="20"/>
                <w:szCs w:val="20"/>
              </w:rPr>
              <w:t xml:space="preserve">Target encoding</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city and state encoded as mean last_sale_price per category. Rare cities (&lt;10 properties) grouped into Other.</w:t>
            </w:r>
          </w:p>
        </w:tc>
      </w:tr>
      <w:tr>
        <w:tc>
          <w:tcPr>
            <w:tcW w:type="dxa" w:w="30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bCs/>
                <w:color w:val="1A1A2E"/>
                <w:sz w:val="20"/>
                <w:szCs w:val="20"/>
              </w:rPr>
              <w:t xml:space="preserve">owner_occupied</w:t>
            </w:r>
          </w:p>
        </w:tc>
        <w:tc>
          <w:tcPr>
            <w:tcW w:type="dxa" w:w="63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Boolean cast to int (0/1) for model input</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1A1A2E"/>
                <w:sz w:val="20"/>
                <w:szCs w:val="20"/>
              </w:rPr>
              <w:t xml:space="preserve">Correlation threshold</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Features with pairwise correlation &gt; 0.90 dropped to reduce multicollinearity</w:t>
            </w:r>
          </w:p>
        </w:tc>
      </w:tr>
      <w:tr>
        <w:tc>
          <w:tcPr>
            <w:tcW w:type="dxa" w:w="30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bCs/>
                <w:color w:val="1A1A2E"/>
                <w:sz w:val="20"/>
                <w:szCs w:val="20"/>
              </w:rPr>
              <w:t xml:space="preserve">No scaling applied</w:t>
            </w:r>
          </w:p>
        </w:tc>
        <w:tc>
          <w:tcPr>
            <w:tcW w:type="dxa" w:w="63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Random Forest and XGBoost are tree-based — feature scaling is not required</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1A1A2E"/>
                <w:sz w:val="20"/>
                <w:szCs w:val="20"/>
              </w:rPr>
              <w:t xml:space="preserve">No log transform on target</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Raw last_sale_price used as target. Models evaluated and predictions returned in original dollar scale.</w:t>
            </w:r>
          </w:p>
        </w:tc>
      </w:tr>
    </w:tbl>
    <w:p>
      <w:pPr>
        <w:spacing w:after="0" w:before="160"/>
      </w:pPr>
      <w:r>
        <w:t xml:space="preserve"/>
      </w:r>
    </w:p>
    <w:p>
      <w:pPr>
        <w:pStyle w:val="Heading2"/>
        <w:spacing w:after="120" w:before="280"/>
      </w:pPr>
      <w:r>
        <w:rPr>
          <w:rFonts w:ascii="Arial" w:cs="Arial" w:eastAsia="Arial" w:hAnsi="Arial"/>
          <w:b/>
          <w:bCs/>
          <w:color w:val="2E75B6"/>
          <w:sz w:val="26"/>
          <w:szCs w:val="26"/>
        </w:rPr>
        <w:t xml:space="preserve">4.2 Leakage Investigation — assessed_value &amp; annual_tax</w:t>
      </w:r>
    </w:p>
    <w:p>
      <w:pPr>
        <w:spacing w:after="100" w:before="80"/>
        <w:jc w:val="left"/>
      </w:pPr>
      <w:r>
        <w:rPr>
          <w:rFonts w:ascii="Arial" w:cs="Arial" w:eastAsia="Arial" w:hAnsi="Arial"/>
          <w:b w:val="false"/>
          <w:bCs w:val="false"/>
          <w:i w:val="false"/>
          <w:iCs w:val="false"/>
          <w:color w:val="1A1A2E"/>
          <w:sz w:val="22"/>
          <w:szCs w:val="22"/>
        </w:rPr>
        <w:t xml:space="preserve">Both assessed_value and annual_tax showed Pearson correlation of 0.97 and 0.92 with last_sale_price respectively — raising a leakage concern.</w:t>
      </w:r>
    </w:p>
    <w:p>
      <w:pPr>
        <w:spacing w:after="100" w:before="80"/>
        <w:jc w:val="left"/>
      </w:pPr>
      <w:r>
        <w:rPr>
          <w:rFonts w:ascii="Arial" w:cs="Arial" w:eastAsia="Arial" w:hAnsi="Arial"/>
          <w:b w:val="false"/>
          <w:bCs w:val="false"/>
          <w:i w:val="false"/>
          <w:iCs w:val="false"/>
          <w:color w:val="1A1A2E"/>
          <w:sz w:val="22"/>
          <w:szCs w:val="22"/>
        </w:rPr>
        <w:t xml:space="preserve">Decision: Retained. Unlike the FEMA project (where PA financial features were retrospective to the disaster event), assessed value and annual tax are public records available before and independent of a sale transaction. An agent pricing a property has access to both. Including them is therefore legitimate and not leakage.</w:t>
      </w:r>
    </w:p>
    <w:p>
      <w:pPr>
        <w:spacing w:after="100" w:before="80"/>
        <w:jc w:val="left"/>
      </w:pPr>
      <w:r>
        <w:rPr>
          <w:rFonts w:ascii="Arial" w:cs="Arial" w:eastAsia="Arial" w:hAnsi="Arial"/>
          <w:b w:val="false"/>
          <w:bCs w:val="false"/>
          <w:i/>
          <w:iCs/>
          <w:color w:val="555555"/>
          <w:sz w:val="22"/>
          <w:szCs w:val="22"/>
        </w:rPr>
        <w:t xml:space="preserve">Evidence: The model trained without these features produced R² = 0.60. With them: R² = 0.98. The improvement reflects genuine signal, not circular reasoning — assessed value is an independent government estimate, not derived from last_sale_price.</w:t>
      </w:r>
    </w:p>
    <w:p>
      <w:pPr>
        <w:pStyle w:val="Heading2"/>
        <w:spacing w:after="120" w:before="280"/>
      </w:pPr>
      <w:r>
        <w:rPr>
          <w:rFonts w:ascii="Arial" w:cs="Arial" w:eastAsia="Arial" w:hAnsi="Arial"/>
          <w:b/>
          <w:bCs/>
          <w:color w:val="2E75B6"/>
          <w:sz w:val="26"/>
          <w:szCs w:val="26"/>
        </w:rPr>
        <w:t xml:space="preserve">4.3 Train / Test Split</w:t>
      </w:r>
    </w:p>
    <w:p>
      <w:pPr>
        <w:pStyle w:val="ListParagraph"/>
        <w:numPr>
          <w:ilvl w:val="0"/>
          <w:numId w:val="2"/>
        </w:numPr>
        <w:spacing w:after="60" w:before="60"/>
      </w:pPr>
      <w:r>
        <w:rPr>
          <w:rFonts w:ascii="Arial" w:cs="Arial" w:eastAsia="Arial" w:hAnsi="Arial"/>
          <w:b w:val="false"/>
          <w:bCs w:val="false"/>
          <w:color w:val="1A1A2E"/>
          <w:sz w:val="22"/>
          <w:szCs w:val="22"/>
        </w:rPr>
        <w:t xml:space="preserve">80/20 split — 1,672 training rows, 418 test rows.</w:t>
      </w:r>
    </w:p>
    <w:p>
      <w:pPr>
        <w:pStyle w:val="ListParagraph"/>
        <w:numPr>
          <w:ilvl w:val="0"/>
          <w:numId w:val="2"/>
        </w:numPr>
        <w:spacing w:after="60" w:before="60"/>
      </w:pPr>
      <w:r>
        <w:rPr>
          <w:rFonts w:ascii="Arial" w:cs="Arial" w:eastAsia="Arial" w:hAnsi="Arial"/>
          <w:b w:val="false"/>
          <w:bCs w:val="false"/>
          <w:color w:val="1A1A2E"/>
          <w:sz w:val="22"/>
          <w:szCs w:val="22"/>
        </w:rPr>
        <w:t xml:space="preserve">random_state=42 for reproducibility.</w:t>
      </w:r>
    </w:p>
    <w:p>
      <w:pPr>
        <w:pStyle w:val="ListParagraph"/>
        <w:numPr>
          <w:ilvl w:val="0"/>
          <w:numId w:val="2"/>
        </w:numPr>
        <w:spacing w:after="60" w:before="60"/>
      </w:pPr>
      <w:r>
        <w:rPr>
          <w:rFonts w:ascii="Arial" w:cs="Arial" w:eastAsia="Arial" w:hAnsi="Arial"/>
          <w:b w:val="false"/>
          <w:bCs w:val="false"/>
          <w:color w:val="1A1A2E"/>
          <w:sz w:val="22"/>
          <w:szCs w:val="22"/>
        </w:rPr>
        <w:t xml:space="preserve">No stratification — regression task, continuous target.</w:t>
      </w:r>
    </w:p>
    <w:p>
      <w:pPr>
        <w:spacing w:after="0" w:before="80"/>
      </w:pPr>
      <w:r>
        <w:t xml:space="preserve"/>
      </w:r>
    </w:p>
    <w:p>
      <w:pPr>
        <w:pBdr>
          <w:bottom w:val="single" w:color="DDDDDD" w:sz="3" w:space="1"/>
        </w:pBdr>
        <w:spacing w:after="200" w:before="200"/>
      </w:pPr>
      <w:r>
        <w:t xml:space="preserve"/>
      </w:r>
    </w:p>
    <w:p>
      <w:pPr>
        <w:pStyle w:val="Heading1"/>
        <w:pBdr>
          <w:bottom w:val="single" w:color="2E75B6" w:sz="6" w:space="4"/>
        </w:pBdr>
        <w:spacing w:after="160" w:before="360"/>
      </w:pPr>
      <w:r>
        <w:rPr>
          <w:rFonts w:ascii="Arial" w:cs="Arial" w:eastAsia="Arial" w:hAnsi="Arial"/>
          <w:b/>
          <w:bCs/>
          <w:color w:val="1F3864"/>
          <w:sz w:val="32"/>
          <w:szCs w:val="32"/>
        </w:rPr>
        <w:t xml:space="preserve">5. Model Selection &amp; Training</w:t>
      </w:r>
    </w:p>
    <w:p>
      <w:pPr>
        <w:pStyle w:val="Heading2"/>
        <w:spacing w:after="120" w:before="280"/>
      </w:pPr>
      <w:r>
        <w:rPr>
          <w:rFonts w:ascii="Arial" w:cs="Arial" w:eastAsia="Arial" w:hAnsi="Arial"/>
          <w:b/>
          <w:bCs/>
          <w:color w:val="2E75B6"/>
          <w:sz w:val="26"/>
          <w:szCs w:val="26"/>
        </w:rPr>
        <w:t xml:space="preserve">5.1 Algorithms Evaluated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c>
          <w:tcPr>
            <w:tcW w:type="dxa" w:w="24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Model</w:t>
            </w:r>
          </w:p>
        </w:tc>
        <w:tc>
          <w:tcPr>
            <w:tcW w:type="dxa" w:w="28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Role</w:t>
            </w:r>
          </w:p>
        </w:tc>
        <w:tc>
          <w:tcPr>
            <w:tcW w:type="dxa" w:w="416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Rationale</w:t>
            </w:r>
          </w:p>
        </w:tc>
      </w:tr>
      <w:tr>
        <w:tc>
          <w:tcPr>
            <w:tcW w:type="dxa" w:w="24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bCs/>
                <w:color w:val="1A1A2E"/>
                <w:sz w:val="20"/>
                <w:szCs w:val="20"/>
              </w:rPr>
              <w:t xml:space="preserve">Random Forest</w:t>
            </w:r>
          </w:p>
        </w:tc>
        <w:tc>
          <w:tcPr>
            <w:tcW w:type="dxa" w:w="28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Primary candidate</w:t>
            </w:r>
          </w:p>
        </w:tc>
        <w:tc>
          <w:tcPr>
            <w:tcW w:type="dxa" w:w="41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Handles non-linearity, robust to outliers, interpretable via feature importance</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1A1A2E"/>
                <w:sz w:val="20"/>
                <w:szCs w:val="20"/>
              </w:rPr>
              <w:t xml:space="preserve">XGBoost</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Primary candidate</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Gradient boosting — typically strong on tabular data, handles missing values</w:t>
            </w:r>
          </w:p>
        </w:tc>
      </w:tr>
      <w:tr>
        <w:tc>
          <w:tcPr>
            <w:tcW w:type="dxa" w:w="24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bCs/>
                <w:color w:val="1A1A2E"/>
                <w:sz w:val="20"/>
                <w:szCs w:val="20"/>
              </w:rPr>
              <w:t xml:space="preserve">Ridge Regression</w:t>
            </w:r>
          </w:p>
        </w:tc>
        <w:tc>
          <w:tcPr>
            <w:tcW w:type="dxa" w:w="28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Baseline (planned)</w:t>
            </w:r>
          </w:p>
        </w:tc>
        <w:tc>
          <w:tcPr>
            <w:tcW w:type="dxa" w:w="41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Not trained in this run — to be added in next iteration as linear baseline</w:t>
            </w:r>
          </w:p>
        </w:tc>
      </w:tr>
    </w:tbl>
    <w:p>
      <w:pPr>
        <w:spacing w:after="0" w:before="160"/>
      </w:pPr>
      <w:r>
        <w:t xml:space="preserve"/>
      </w:r>
    </w:p>
    <w:p>
      <w:pPr>
        <w:pStyle w:val="Heading2"/>
        <w:spacing w:after="120" w:before="280"/>
      </w:pPr>
      <w:r>
        <w:rPr>
          <w:rFonts w:ascii="Arial" w:cs="Arial" w:eastAsia="Arial" w:hAnsi="Arial"/>
          <w:b/>
          <w:bCs/>
          <w:color w:val="2E75B6"/>
          <w:sz w:val="26"/>
          <w:szCs w:val="26"/>
        </w:rPr>
        <w:t xml:space="preserve">5.2 Hyperparameter Tuning</w:t>
      </w:r>
    </w:p>
    <w:p>
      <w:pPr>
        <w:pStyle w:val="ListParagraph"/>
        <w:numPr>
          <w:ilvl w:val="0"/>
          <w:numId w:val="2"/>
        </w:numPr>
        <w:spacing w:after="60" w:before="60"/>
      </w:pPr>
      <w:r>
        <w:rPr>
          <w:rFonts w:ascii="Arial" w:cs="Arial" w:eastAsia="Arial" w:hAnsi="Arial"/>
          <w:b w:val="false"/>
          <w:bCs w:val="false"/>
          <w:color w:val="1A1A2E"/>
          <w:sz w:val="22"/>
          <w:szCs w:val="22"/>
        </w:rPr>
        <w:t xml:space="preserve">Method: RandomizedSearchCV — n_iter=50, cv=5, scoring=neg_root_mean_squared_error.</w:t>
      </w:r>
    </w:p>
    <w:p>
      <w:pPr>
        <w:pStyle w:val="ListParagraph"/>
        <w:numPr>
          <w:ilvl w:val="0"/>
          <w:numId w:val="2"/>
        </w:numPr>
        <w:spacing w:after="60" w:before="60"/>
      </w:pPr>
      <w:r>
        <w:rPr>
          <w:rFonts w:ascii="Arial" w:cs="Arial" w:eastAsia="Arial" w:hAnsi="Arial"/>
          <w:b w:val="false"/>
          <w:bCs w:val="false"/>
          <w:color w:val="1A1A2E"/>
          <w:sz w:val="22"/>
          <w:szCs w:val="22"/>
        </w:rPr>
        <w:t xml:space="preserve">Both models tuned independently over their respective parameter grids.</w:t>
      </w:r>
    </w:p>
    <w:p>
      <w:pPr>
        <w:spacing w:after="100" w:before="80"/>
        <w:jc w:val="left"/>
      </w:pPr>
      <w:r>
        <w:rPr>
          <w:rFonts w:ascii="Arial" w:cs="Arial" w:eastAsia="Arial" w:hAnsi="Arial"/>
          <w:b w:val="false"/>
          <w:bCs w:val="false"/>
          <w:i w:val="false"/>
          <w:iCs w:val="false"/>
          <w:color w:val="1A1A2E"/>
          <w:sz w:val="22"/>
          <w:szCs w:val="22"/>
        </w:rPr>
        <w:t xml:space="preserve">Random Forest search space:</w:t>
      </w:r>
    </w:p>
    <w:p>
      <w:pPr>
        <w:pStyle w:val="ListParagraph"/>
        <w:numPr>
          <w:ilvl w:val="0"/>
          <w:numId w:val="2"/>
        </w:numPr>
        <w:spacing w:after="60" w:before="60"/>
      </w:pPr>
      <w:r>
        <w:rPr>
          <w:rFonts w:ascii="Arial" w:cs="Arial" w:eastAsia="Arial" w:hAnsi="Arial"/>
          <w:b w:val="false"/>
          <w:bCs w:val="false"/>
          <w:color w:val="1A1A2E"/>
          <w:sz w:val="22"/>
          <w:szCs w:val="22"/>
        </w:rPr>
        <w:t xml:space="preserve">n_estimators: [100, 200, 300, 500]</w:t>
      </w:r>
    </w:p>
    <w:p>
      <w:pPr>
        <w:pStyle w:val="ListParagraph"/>
        <w:numPr>
          <w:ilvl w:val="0"/>
          <w:numId w:val="2"/>
        </w:numPr>
        <w:spacing w:after="60" w:before="60"/>
      </w:pPr>
      <w:r>
        <w:rPr>
          <w:rFonts w:ascii="Arial" w:cs="Arial" w:eastAsia="Arial" w:hAnsi="Arial"/>
          <w:b w:val="false"/>
          <w:bCs w:val="false"/>
          <w:color w:val="1A1A2E"/>
          <w:sz w:val="22"/>
          <w:szCs w:val="22"/>
        </w:rPr>
        <w:t xml:space="preserve">max_depth: [5, 10, 20, None]</w:t>
      </w:r>
    </w:p>
    <w:p>
      <w:pPr>
        <w:pStyle w:val="ListParagraph"/>
        <w:numPr>
          <w:ilvl w:val="0"/>
          <w:numId w:val="2"/>
        </w:numPr>
        <w:spacing w:after="60" w:before="60"/>
      </w:pPr>
      <w:r>
        <w:rPr>
          <w:rFonts w:ascii="Arial" w:cs="Arial" w:eastAsia="Arial" w:hAnsi="Arial"/>
          <w:b w:val="false"/>
          <w:bCs w:val="false"/>
          <w:color w:val="1A1A2E"/>
          <w:sz w:val="22"/>
          <w:szCs w:val="22"/>
        </w:rPr>
        <w:t xml:space="preserve">min_samples_split: [2, 5, 10]</w:t>
      </w:r>
    </w:p>
    <w:p>
      <w:pPr>
        <w:pStyle w:val="ListParagraph"/>
        <w:numPr>
          <w:ilvl w:val="0"/>
          <w:numId w:val="2"/>
        </w:numPr>
        <w:spacing w:after="60" w:before="60"/>
      </w:pPr>
      <w:r>
        <w:rPr>
          <w:rFonts w:ascii="Arial" w:cs="Arial" w:eastAsia="Arial" w:hAnsi="Arial"/>
          <w:b w:val="false"/>
          <w:bCs w:val="false"/>
          <w:color w:val="1A1A2E"/>
          <w:sz w:val="22"/>
          <w:szCs w:val="22"/>
        </w:rPr>
        <w:t xml:space="preserve">min_samples_leaf: [1, 2, 4]</w:t>
      </w:r>
    </w:p>
    <w:p>
      <w:pPr>
        <w:pStyle w:val="ListParagraph"/>
        <w:numPr>
          <w:ilvl w:val="0"/>
          <w:numId w:val="2"/>
        </w:numPr>
        <w:spacing w:after="60" w:before="60"/>
      </w:pPr>
      <w:r>
        <w:rPr>
          <w:rFonts w:ascii="Arial" w:cs="Arial" w:eastAsia="Arial" w:hAnsi="Arial"/>
          <w:b w:val="false"/>
          <w:bCs w:val="false"/>
          <w:color w:val="1A1A2E"/>
          <w:sz w:val="22"/>
          <w:szCs w:val="22"/>
        </w:rPr>
        <w:t xml:space="preserve">max_features: ['sqrt', 'log2']</w:t>
      </w:r>
    </w:p>
    <w:p>
      <w:pPr>
        <w:spacing w:after="0" w:before="60"/>
      </w:pPr>
      <w:r>
        <w:t xml:space="preserve"/>
      </w:r>
    </w:p>
    <w:p>
      <w:pPr>
        <w:spacing w:after="100" w:before="80"/>
        <w:jc w:val="left"/>
      </w:pPr>
      <w:r>
        <w:rPr>
          <w:rFonts w:ascii="Arial" w:cs="Arial" w:eastAsia="Arial" w:hAnsi="Arial"/>
          <w:b w:val="false"/>
          <w:bCs w:val="false"/>
          <w:i w:val="false"/>
          <w:iCs w:val="false"/>
          <w:color w:val="1A1A2E"/>
          <w:sz w:val="22"/>
          <w:szCs w:val="22"/>
        </w:rPr>
        <w:t xml:space="preserve">XGBoost search space:</w:t>
      </w:r>
    </w:p>
    <w:p>
      <w:pPr>
        <w:pStyle w:val="ListParagraph"/>
        <w:numPr>
          <w:ilvl w:val="0"/>
          <w:numId w:val="2"/>
        </w:numPr>
        <w:spacing w:after="60" w:before="60"/>
      </w:pPr>
      <w:r>
        <w:rPr>
          <w:rFonts w:ascii="Arial" w:cs="Arial" w:eastAsia="Arial" w:hAnsi="Arial"/>
          <w:b w:val="false"/>
          <w:bCs w:val="false"/>
          <w:color w:val="1A1A2E"/>
          <w:sz w:val="22"/>
          <w:szCs w:val="22"/>
        </w:rPr>
        <w:t xml:space="preserve">n_estimators: [100, 200, 300, 500]</w:t>
      </w:r>
    </w:p>
    <w:p>
      <w:pPr>
        <w:pStyle w:val="ListParagraph"/>
        <w:numPr>
          <w:ilvl w:val="0"/>
          <w:numId w:val="2"/>
        </w:numPr>
        <w:spacing w:after="60" w:before="60"/>
      </w:pPr>
      <w:r>
        <w:rPr>
          <w:rFonts w:ascii="Arial" w:cs="Arial" w:eastAsia="Arial" w:hAnsi="Arial"/>
          <w:b w:val="false"/>
          <w:bCs w:val="false"/>
          <w:color w:val="1A1A2E"/>
          <w:sz w:val="22"/>
          <w:szCs w:val="22"/>
        </w:rPr>
        <w:t xml:space="preserve">max_depth: [3, 5, 7, 10]</w:t>
      </w:r>
    </w:p>
    <w:p>
      <w:pPr>
        <w:pStyle w:val="ListParagraph"/>
        <w:numPr>
          <w:ilvl w:val="0"/>
          <w:numId w:val="2"/>
        </w:numPr>
        <w:spacing w:after="60" w:before="60"/>
      </w:pPr>
      <w:r>
        <w:rPr>
          <w:rFonts w:ascii="Arial" w:cs="Arial" w:eastAsia="Arial" w:hAnsi="Arial"/>
          <w:b w:val="false"/>
          <w:bCs w:val="false"/>
          <w:color w:val="1A1A2E"/>
          <w:sz w:val="22"/>
          <w:szCs w:val="22"/>
        </w:rPr>
        <w:t xml:space="preserve">learning_rate: [0.01, 0.05, 0.1, 0.2]</w:t>
      </w:r>
    </w:p>
    <w:p>
      <w:pPr>
        <w:pStyle w:val="ListParagraph"/>
        <w:numPr>
          <w:ilvl w:val="0"/>
          <w:numId w:val="2"/>
        </w:numPr>
        <w:spacing w:after="60" w:before="60"/>
      </w:pPr>
      <w:r>
        <w:rPr>
          <w:rFonts w:ascii="Arial" w:cs="Arial" w:eastAsia="Arial" w:hAnsi="Arial"/>
          <w:b w:val="false"/>
          <w:bCs w:val="false"/>
          <w:color w:val="1A1A2E"/>
          <w:sz w:val="22"/>
          <w:szCs w:val="22"/>
        </w:rPr>
        <w:t xml:space="preserve">subsample: [0.7, 0.8, 0.9, 1.0]</w:t>
      </w:r>
    </w:p>
    <w:p>
      <w:pPr>
        <w:pStyle w:val="ListParagraph"/>
        <w:numPr>
          <w:ilvl w:val="0"/>
          <w:numId w:val="2"/>
        </w:numPr>
        <w:spacing w:after="60" w:before="60"/>
      </w:pPr>
      <w:r>
        <w:rPr>
          <w:rFonts w:ascii="Arial" w:cs="Arial" w:eastAsia="Arial" w:hAnsi="Arial"/>
          <w:b w:val="false"/>
          <w:bCs w:val="false"/>
          <w:color w:val="1A1A2E"/>
          <w:sz w:val="22"/>
          <w:szCs w:val="22"/>
        </w:rPr>
        <w:t xml:space="preserve">colsample_bytree: [0.7, 0.8, 0.9, 1.0]</w:t>
      </w:r>
    </w:p>
    <w:p>
      <w:pPr>
        <w:spacing w:after="0" w:before="80"/>
      </w:pPr>
      <w:r>
        <w:t xml:space="preserve"/>
      </w:r>
    </w:p>
    <w:p>
      <w:pPr>
        <w:pBdr>
          <w:bottom w:val="single" w:color="DDDDDD" w:sz="3" w:space="1"/>
        </w:pBdr>
        <w:spacing w:after="200" w:before="200"/>
      </w:pPr>
      <w:r>
        <w:t xml:space="preserve"/>
      </w:r>
    </w:p>
    <w:p>
      <w:pPr>
        <w:pStyle w:val="Heading1"/>
        <w:pBdr>
          <w:bottom w:val="single" w:color="2E75B6" w:sz="6" w:space="4"/>
        </w:pBdr>
        <w:spacing w:after="160" w:before="360"/>
      </w:pPr>
      <w:r>
        <w:rPr>
          <w:rFonts w:ascii="Arial" w:cs="Arial" w:eastAsia="Arial" w:hAnsi="Arial"/>
          <w:b/>
          <w:bCs/>
          <w:color w:val="1F3864"/>
          <w:sz w:val="32"/>
          <w:szCs w:val="32"/>
        </w:rPr>
        <w:t xml:space="preserve">6. Evaluation Metrics</w:t>
      </w:r>
    </w:p>
    <w:p>
      <w:pPr>
        <w:pStyle w:val="Heading2"/>
        <w:spacing w:after="120" w:before="280"/>
      </w:pPr>
      <w:r>
        <w:rPr>
          <w:rFonts w:ascii="Arial" w:cs="Arial" w:eastAsia="Arial" w:hAnsi="Arial"/>
          <w:b/>
          <w:bCs/>
          <w:color w:val="2E75B6"/>
          <w:sz w:val="26"/>
          <w:szCs w:val="26"/>
        </w:rPr>
        <w:t xml:space="preserve">6.1 Metric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Metric</w:t>
            </w:r>
          </w:p>
        </w:tc>
        <w:tc>
          <w:tcPr>
            <w:tcW w:type="dxa" w:w="30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Formula</w:t>
            </w:r>
          </w:p>
        </w:tc>
        <w:tc>
          <w:tcPr>
            <w:tcW w:type="dxa" w:w="436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Why Used</w:t>
            </w:r>
          </w:p>
        </w:tc>
      </w:tr>
      <w:tr>
        <w:tc>
          <w:tcPr>
            <w:tcW w:type="dxa" w:w="20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bCs/>
                <w:color w:val="1A1A2E"/>
                <w:sz w:val="20"/>
                <w:szCs w:val="20"/>
              </w:rPr>
              <w:t xml:space="preserve">R²</w:t>
            </w:r>
          </w:p>
        </w:tc>
        <w:tc>
          <w:tcPr>
            <w:tcW w:type="dxa" w:w="30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1 - SS_res / SS_tot</w:t>
            </w:r>
          </w:p>
        </w:tc>
        <w:tc>
          <w:tcPr>
            <w:tcW w:type="dxa" w:w="43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Proportion of price variance explained by the model. 1.0 = perfect, 0.0 = no better than mean.</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1A1A2E"/>
                <w:sz w:val="20"/>
                <w:szCs w:val="20"/>
              </w:rPr>
              <w:t xml:space="preserve">RMSE</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sqrt(mean((y - ŷ)²))</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Penalises large errors more than small ones — sensitive to outliers. Useful for flagging catastrophic mispricings.</w:t>
            </w:r>
          </w:p>
        </w:tc>
      </w:tr>
      <w:tr>
        <w:tc>
          <w:tcPr>
            <w:tcW w:type="dxa" w:w="20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bCs/>
                <w:color w:val="1A1A2E"/>
                <w:sz w:val="20"/>
                <w:szCs w:val="20"/>
              </w:rPr>
              <w:t xml:space="preserve">Median AE</w:t>
            </w:r>
          </w:p>
        </w:tc>
        <w:tc>
          <w:tcPr>
            <w:tcW w:type="dxa" w:w="30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median(|y - ŷ|)</w:t>
            </w:r>
          </w:p>
        </w:tc>
        <w:tc>
          <w:tcPr>
            <w:tcW w:type="dxa" w:w="43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Robust to outliers. Tells us what a typical prediction error looks like, unaffected by extreme high-value properties.</w:t>
            </w:r>
          </w:p>
        </w:tc>
      </w:tr>
    </w:tbl>
    <w:p>
      <w:pPr>
        <w:spacing w:after="0" w:before="160"/>
      </w:pPr>
      <w:r>
        <w:t xml:space="preserve"/>
      </w:r>
    </w:p>
    <w:p>
      <w:pPr>
        <w:pStyle w:val="Heading2"/>
        <w:spacing w:after="120" w:before="280"/>
      </w:pPr>
      <w:r>
        <w:rPr>
          <w:rFonts w:ascii="Arial" w:cs="Arial" w:eastAsia="Arial" w:hAnsi="Arial"/>
          <w:b/>
          <w:bCs/>
          <w:color w:val="2E75B6"/>
          <w:sz w:val="26"/>
          <w:szCs w:val="26"/>
        </w:rPr>
        <w:t xml:space="preserve">6.2 Why RMSE and Median AE Both Matter Here</w:t>
      </w:r>
    </w:p>
    <w:p>
      <w:pPr>
        <w:spacing w:after="100" w:before="80"/>
        <w:jc w:val="left"/>
      </w:pPr>
      <w:r>
        <w:rPr>
          <w:rFonts w:ascii="Arial" w:cs="Arial" w:eastAsia="Arial" w:hAnsi="Arial"/>
          <w:b w:val="false"/>
          <w:bCs w:val="false"/>
          <w:i w:val="false"/>
          <w:iCs w:val="false"/>
          <w:color w:val="1A1A2E"/>
          <w:sz w:val="22"/>
          <w:szCs w:val="22"/>
        </w:rPr>
        <w:t xml:space="preserve">Property prices have a long right tail — a small number of properties above $2M pull the RMSE upward. Reporting only RMSE would make the model appear worse than it is for typical properties. Reporting only Median AE would hide sensitivity to high-value mispricings. Both metrics together give a complete picture.</w:t>
      </w:r>
    </w:p>
    <w:p>
      <w:pPr>
        <w:spacing w:after="0" w:before="80"/>
      </w:pPr>
      <w:r>
        <w:t xml:space="preserve"/>
      </w:r>
    </w:p>
    <w:p>
      <w:pPr>
        <w:pBdr>
          <w:bottom w:val="single" w:color="DDDDDD" w:sz="3" w:space="1"/>
        </w:pBdr>
        <w:spacing w:after="200" w:before="200"/>
      </w:pPr>
      <w:r>
        <w:t xml:space="preserve"/>
      </w:r>
    </w:p>
    <w:p>
      <w:pPr>
        <w:pStyle w:val="Heading1"/>
        <w:pBdr>
          <w:bottom w:val="single" w:color="2E75B6" w:sz="6" w:space="4"/>
        </w:pBdr>
        <w:spacing w:after="160" w:before="360"/>
      </w:pPr>
      <w:r>
        <w:rPr>
          <w:rFonts w:ascii="Arial" w:cs="Arial" w:eastAsia="Arial" w:hAnsi="Arial"/>
          <w:b/>
          <w:bCs/>
          <w:color w:val="1F3864"/>
          <w:sz w:val="32"/>
          <w:szCs w:val="32"/>
        </w:rPr>
        <w:t xml:space="preserve">7. Results</w:t>
      </w:r>
    </w:p>
    <w:p>
      <w:pPr>
        <w:pStyle w:val="Heading2"/>
        <w:spacing w:after="120" w:before="280"/>
      </w:pPr>
      <w:r>
        <w:rPr>
          <w:rFonts w:ascii="Arial" w:cs="Arial" w:eastAsia="Arial" w:hAnsi="Arial"/>
          <w:b/>
          <w:bCs/>
          <w:color w:val="2E75B6"/>
          <w:sz w:val="26"/>
          <w:szCs w:val="26"/>
        </w:rPr>
        <w:t xml:space="preserve">7.1 Model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200"/>
        <w:gridCol w:w="2360"/>
      </w:tblGrid>
      <w:tr>
        <w:tc>
          <w:tcPr>
            <w:tcW w:type="dxa" w:w="26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Model</w:t>
            </w:r>
          </w:p>
        </w:tc>
        <w:tc>
          <w:tcPr>
            <w:tcW w:type="dxa" w:w="22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R²</w:t>
            </w:r>
          </w:p>
        </w:tc>
        <w:tc>
          <w:tcPr>
            <w:tcW w:type="dxa" w:w="22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RMSE ($)</w:t>
            </w:r>
          </w:p>
        </w:tc>
        <w:tc>
          <w:tcPr>
            <w:tcW w:type="dxa" w:w="236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Median AE ($)</w:t>
            </w:r>
          </w:p>
        </w:tc>
      </w:tr>
      <w:tr>
        <w:tc>
          <w:tcPr>
            <w:tcW w:type="dxa" w:w="26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bCs/>
                <w:color w:val="2E7D32"/>
                <w:sz w:val="20"/>
                <w:szCs w:val="20"/>
              </w:rPr>
              <w:t xml:space="preserve">Random Forest ★ Best</w:t>
            </w:r>
          </w:p>
        </w:tc>
        <w:tc>
          <w:tcPr>
            <w:tcW w:type="dxa" w:w="22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bCs/>
                <w:color w:val="2E7D32"/>
                <w:sz w:val="20"/>
                <w:szCs w:val="20"/>
              </w:rPr>
              <w:t xml:space="preserve">0.9806</w:t>
            </w:r>
          </w:p>
        </w:tc>
        <w:tc>
          <w:tcPr>
            <w:tcW w:type="dxa" w:w="22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bCs/>
                <w:color w:val="2E7D32"/>
                <w:sz w:val="20"/>
                <w:szCs w:val="20"/>
              </w:rPr>
              <w:t xml:space="preserve">87,142</w:t>
            </w:r>
          </w:p>
        </w:tc>
        <w:tc>
          <w:tcPr>
            <w:tcW w:type="dxa" w:w="23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bCs/>
                <w:color w:val="2E7D32"/>
                <w:sz w:val="20"/>
                <w:szCs w:val="20"/>
              </w:rPr>
              <w:t xml:space="preserve">41,007</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1A1A2E"/>
                <w:sz w:val="20"/>
                <w:szCs w:val="20"/>
              </w:rPr>
              <w:t xml:space="preserve">XGBoost</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0.9803</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87,779</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42,966</w:t>
            </w:r>
          </w:p>
        </w:tc>
      </w:tr>
      <w:tr>
        <w:tc>
          <w:tcPr>
            <w:tcW w:type="dxa" w:w="26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bCs/>
                <w:color w:val="555555"/>
                <w:sz w:val="20"/>
                <w:szCs w:val="20"/>
              </w:rPr>
              <w:t xml:space="preserve">Ridge Regression</w:t>
            </w:r>
          </w:p>
        </w:tc>
        <w:tc>
          <w:tcPr>
            <w:tcW w:type="dxa" w:w="22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color w:val="555555"/>
                <w:sz w:val="20"/>
                <w:szCs w:val="20"/>
              </w:rPr>
              <w:t xml:space="preserve">—</w:t>
            </w:r>
          </w:p>
        </w:tc>
        <w:tc>
          <w:tcPr>
            <w:tcW w:type="dxa" w:w="22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color w:val="555555"/>
                <w:sz w:val="20"/>
                <w:szCs w:val="20"/>
              </w:rPr>
              <w:t xml:space="preserve">—</w:t>
            </w:r>
          </w:p>
        </w:tc>
        <w:tc>
          <w:tcPr>
            <w:tcW w:type="dxa" w:w="23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color w:val="555555"/>
                <w:sz w:val="20"/>
                <w:szCs w:val="20"/>
              </w:rPr>
              <w:t xml:space="preserve">Not trained this run</w:t>
            </w:r>
          </w:p>
        </w:tc>
      </w:tr>
    </w:tbl>
    <w:p>
      <w:pPr>
        <w:spacing w:after="0" w:before="160"/>
      </w:pPr>
      <w:r>
        <w:t xml:space="preserve"/>
      </w:r>
    </w:p>
    <w:p>
      <w:pPr>
        <w:pStyle w:val="Heading2"/>
        <w:spacing w:after="120" w:before="280"/>
      </w:pPr>
      <w:r>
        <w:rPr>
          <w:rFonts w:ascii="Arial" w:cs="Arial" w:eastAsia="Arial" w:hAnsi="Arial"/>
          <w:b/>
          <w:bCs/>
          <w:color w:val="2E75B6"/>
          <w:sz w:val="26"/>
          <w:szCs w:val="26"/>
        </w:rPr>
        <w:t xml:space="preserve">7.2 Result Interpretation</w:t>
      </w:r>
    </w:p>
    <w:p>
      <w:pPr>
        <w:spacing w:after="100" w:before="80"/>
        <w:jc w:val="left"/>
      </w:pPr>
      <w:r>
        <w:rPr>
          <w:rFonts w:ascii="Arial" w:cs="Arial" w:eastAsia="Arial" w:hAnsi="Arial"/>
          <w:b w:val="false"/>
          <w:bCs w:val="false"/>
          <w:i w:val="false"/>
          <w:iCs w:val="false"/>
          <w:color w:val="1A1A2E"/>
          <w:sz w:val="22"/>
          <w:szCs w:val="22"/>
        </w:rPr>
        <w:t xml:space="preserve">Random Forest is selected as the production model. In practical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Metric</w:t>
            </w:r>
          </w:p>
        </w:tc>
        <w:tc>
          <w:tcPr>
            <w:tcW w:type="dxa" w:w="636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Business Interpretation</w:t>
            </w:r>
          </w:p>
        </w:tc>
      </w:tr>
      <w:tr>
        <w:tc>
          <w:tcPr>
            <w:tcW w:type="dxa" w:w="30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bCs/>
                <w:color w:val="1A1A2E"/>
                <w:sz w:val="20"/>
                <w:szCs w:val="20"/>
              </w:rPr>
              <w:t xml:space="preserve">R² = 0.9806</w:t>
            </w:r>
          </w:p>
        </w:tc>
        <w:tc>
          <w:tcPr>
            <w:tcW w:type="dxa" w:w="63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The model explains 98% of the variation in property sale prices — strong predictive power across the portfolio.</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1A1A2E"/>
                <w:sz w:val="20"/>
                <w:szCs w:val="20"/>
              </w:rPr>
              <w:t xml:space="preserve">RMSE = $87,142</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On a median property value of $611k, this is ~14% average error. Acceptable for agent pricing guidance; too wide for automated mortgage underwriting.</w:t>
            </w:r>
          </w:p>
        </w:tc>
      </w:tr>
      <w:tr>
        <w:tc>
          <w:tcPr>
            <w:tcW w:type="dxa" w:w="30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bCs/>
                <w:color w:val="1A1A2E"/>
                <w:sz w:val="20"/>
                <w:szCs w:val="20"/>
              </w:rPr>
              <w:t xml:space="preserve">Median AE = $41,007</w:t>
            </w:r>
          </w:p>
        </w:tc>
        <w:tc>
          <w:tcPr>
            <w:tcW w:type="dxa" w:w="63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Half of all predictions land within $41k of the actual sale price — a 6.7% error rate on the median property. This is the more meaningful figure for typical transactions.</w:t>
            </w:r>
          </w:p>
        </w:tc>
      </w:tr>
    </w:tbl>
    <w:p>
      <w:pPr>
        <w:spacing w:after="0" w:before="160"/>
      </w:pPr>
      <w:r>
        <w:t xml:space="preserve"/>
      </w:r>
    </w:p>
    <w:p>
      <w:pPr>
        <w:pStyle w:val="Heading2"/>
        <w:spacing w:after="120" w:before="280"/>
      </w:pPr>
      <w:r>
        <w:rPr>
          <w:rFonts w:ascii="Arial" w:cs="Arial" w:eastAsia="Arial" w:hAnsi="Arial"/>
          <w:b/>
          <w:bCs/>
          <w:color w:val="2E75B6"/>
          <w:sz w:val="26"/>
          <w:szCs w:val="26"/>
        </w:rPr>
        <w:t xml:space="preserve">7.3 Overfitting Assessment</w:t>
      </w:r>
    </w:p>
    <w:p>
      <w:pPr>
        <w:spacing w:after="100" w:before="80"/>
        <w:jc w:val="left"/>
      </w:pPr>
      <w:r>
        <w:rPr>
          <w:rFonts w:ascii="Arial" w:cs="Arial" w:eastAsia="Arial" w:hAnsi="Arial"/>
          <w:b w:val="false"/>
          <w:bCs w:val="false"/>
          <w:i w:val="false"/>
          <w:iCs w:val="false"/>
          <w:color w:val="1A1A2E"/>
          <w:sz w:val="22"/>
          <w:szCs w:val="22"/>
        </w:rPr>
        <w:t xml:space="preserve">Both RF and XGBoost achieved near-identical metrics, suggesting the results are stable. Full train vs. test split metrics were tracked in MLflow. A cross-validation gap &gt; 0.05 on R² would indicate overfitting — this was not observed. The correlation between assessed_value and the target is genuine (government-assessed values track market values), not a data preparation error.</w:t>
      </w:r>
    </w:p>
    <w:p>
      <w:pPr>
        <w:spacing w:after="0" w:before="80"/>
      </w:pPr>
      <w:r>
        <w:t xml:space="preserve"/>
      </w:r>
    </w:p>
    <w:p>
      <w:pPr>
        <w:pBdr>
          <w:bottom w:val="single" w:color="DDDDDD" w:sz="3" w:space="1"/>
        </w:pBdr>
        <w:spacing w:after="200" w:before="200"/>
      </w:pPr>
      <w:r>
        <w:t xml:space="preserve"/>
      </w:r>
    </w:p>
    <w:p>
      <w:pPr>
        <w:pStyle w:val="Heading1"/>
        <w:pBdr>
          <w:bottom w:val="single" w:color="2E75B6" w:sz="6" w:space="4"/>
        </w:pBdr>
        <w:spacing w:after="160" w:before="360"/>
      </w:pPr>
      <w:r>
        <w:rPr>
          <w:rFonts w:ascii="Arial" w:cs="Arial" w:eastAsia="Arial" w:hAnsi="Arial"/>
          <w:b/>
          <w:bCs/>
          <w:color w:val="1F3864"/>
          <w:sz w:val="32"/>
          <w:szCs w:val="32"/>
        </w:rPr>
        <w:t xml:space="preserve">8. Leakage Investigation</w:t>
      </w:r>
    </w:p>
    <w:p>
      <w:pPr>
        <w:spacing w:after="100" w:before="80"/>
        <w:jc w:val="left"/>
      </w:pPr>
      <w:r>
        <w:rPr>
          <w:rFonts w:ascii="Arial" w:cs="Arial" w:eastAsia="Arial" w:hAnsi="Arial"/>
          <w:b w:val="false"/>
          <w:bCs w:val="false"/>
          <w:i w:val="false"/>
          <w:iCs w:val="false"/>
          <w:color w:val="1A1A2E"/>
          <w:sz w:val="22"/>
          <w:szCs w:val="22"/>
        </w:rPr>
        <w:t xml:space="preserve">This section is called out separately given its importance to model validity.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960"/>
      </w:tblGrid>
      <w:tr>
        <w:tc>
          <w:tcPr>
            <w:tcW w:type="dxa" w:w="26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Feature</w:t>
            </w:r>
          </w:p>
        </w:tc>
        <w:tc>
          <w:tcPr>
            <w:tcW w:type="dxa" w:w="18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Decision</w:t>
            </w:r>
          </w:p>
        </w:tc>
        <w:tc>
          <w:tcPr>
            <w:tcW w:type="dxa" w:w="496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Justification</w:t>
            </w:r>
          </w:p>
        </w:tc>
      </w:tr>
      <w:tr>
        <w:tc>
          <w:tcPr>
            <w:tcW w:type="dxa" w:w="26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bCs/>
                <w:color w:val="1A1A2E"/>
                <w:sz w:val="20"/>
                <w:szCs w:val="20"/>
              </w:rPr>
              <w:t xml:space="preserve">assessed_value</w:t>
            </w:r>
          </w:p>
        </w:tc>
        <w:tc>
          <w:tcPr>
            <w:tcW w:type="dxa" w:w="18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bCs/>
                <w:color w:val="2E7D32"/>
                <w:sz w:val="20"/>
                <w:szCs w:val="20"/>
              </w:rPr>
              <w:t xml:space="preserve">KEPT</w:t>
            </w:r>
          </w:p>
        </w:tc>
        <w:tc>
          <w:tcPr>
            <w:tcW w:type="dxa" w:w="49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Public record — independently assessed by local government, available before any sale transaction. Not derived from last_sale_price.</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1A1A2E"/>
                <w:sz w:val="20"/>
                <w:szCs w:val="20"/>
              </w:rPr>
              <w:t xml:space="preserve">annual_tax</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2E7D32"/>
                <w:sz w:val="20"/>
                <w:szCs w:val="20"/>
              </w:rPr>
              <w:t xml:space="preserve">KEPT</w:t>
            </w:r>
          </w:p>
        </w:tc>
        <w:tc>
          <w:tcPr>
            <w:tcW w:type="dxa" w:w="4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Derived from assessed_value, not from last_sale_price. Available at prediction time. Provides genuine signal about property value tier.</w:t>
            </w:r>
          </w:p>
        </w:tc>
      </w:tr>
      <w:tr>
        <w:tc>
          <w:tcPr>
            <w:tcW w:type="dxa" w:w="26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bCs/>
                <w:color w:val="1A1A2E"/>
                <w:sz w:val="20"/>
                <w:szCs w:val="20"/>
              </w:rPr>
              <w:t xml:space="preserve">price_per_sqft</w:t>
            </w:r>
          </w:p>
        </w:tc>
        <w:tc>
          <w:tcPr>
            <w:tcW w:type="dxa" w:w="18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bCs/>
                <w:color w:val="C62828"/>
                <w:sz w:val="20"/>
                <w:szCs w:val="20"/>
              </w:rPr>
              <w:t xml:space="preserve">DROPPED</w:t>
            </w:r>
          </w:p>
        </w:tc>
        <w:tc>
          <w:tcPr>
            <w:tcW w:type="dxa" w:w="49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Calculated as last_sale_price / sqft — directly encodes the target. Including this would be circular reasoning.</w:t>
            </w:r>
          </w:p>
        </w:tc>
      </w:tr>
    </w:tbl>
    <w:p>
      <w:pPr>
        <w:spacing w:after="0" w:before="80"/>
      </w:pPr>
      <w:r>
        <w:t xml:space="preserve"/>
      </w:r>
    </w:p>
    <w:p>
      <w:pPr>
        <w:pBdr>
          <w:bottom w:val="single" w:color="DDDDDD" w:sz="3" w:space="1"/>
        </w:pBdr>
        <w:spacing w:after="200" w:before="200"/>
      </w:pPr>
      <w:r>
        <w:t xml:space="preserve"/>
      </w:r>
    </w:p>
    <w:p>
      <w:pPr>
        <w:pStyle w:val="Heading1"/>
        <w:pBdr>
          <w:bottom w:val="single" w:color="2E75B6" w:sz="6" w:space="4"/>
        </w:pBdr>
        <w:spacing w:after="160" w:before="360"/>
      </w:pPr>
      <w:r>
        <w:rPr>
          <w:rFonts w:ascii="Arial" w:cs="Arial" w:eastAsia="Arial" w:hAnsi="Arial"/>
          <w:b/>
          <w:bCs/>
          <w:color w:val="1F3864"/>
          <w:sz w:val="32"/>
          <w:szCs w:val="32"/>
        </w:rPr>
        <w:t xml:space="preserve">9. Experiment Tracking — MLflow</w:t>
      </w:r>
    </w:p>
    <w:p>
      <w:pPr>
        <w:spacing w:after="100" w:before="80"/>
        <w:jc w:val="left"/>
      </w:pPr>
      <w:r>
        <w:rPr>
          <w:rFonts w:ascii="Arial" w:cs="Arial" w:eastAsia="Arial" w:hAnsi="Arial"/>
          <w:b w:val="false"/>
          <w:bCs w:val="false"/>
          <w:i w:val="false"/>
          <w:iCs w:val="false"/>
          <w:color w:val="1A1A2E"/>
          <w:sz w:val="22"/>
          <w:szCs w:val="22"/>
        </w:rPr>
        <w:t xml:space="preserve">All experiments were tracked using MLflow. Each run logs model parameters, R², RMSE, Median AE, and SHAP summary plots.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Item</w:t>
            </w:r>
          </w:p>
        </w:tc>
        <w:tc>
          <w:tcPr>
            <w:tcW w:type="dxa" w:w="676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Detail</w:t>
            </w:r>
          </w:p>
        </w:tc>
      </w:tr>
      <w:tr>
        <w:tc>
          <w:tcPr>
            <w:tcW w:type="dxa" w:w="26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bCs/>
                <w:color w:val="1A1A2E"/>
                <w:sz w:val="20"/>
                <w:szCs w:val="20"/>
              </w:rPr>
              <w:t xml:space="preserve">Experiment Name</w:t>
            </w:r>
          </w:p>
        </w:tc>
        <w:tc>
          <w:tcPr>
            <w:tcW w:type="dxa" w:w="67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alloytower-price-prediction</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1A1A2E"/>
                <w:sz w:val="20"/>
                <w:szCs w:val="20"/>
              </w:rPr>
              <w:t xml:space="preserve">Tracking URI</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sqlite:///src/mlflow.db (local), configurable via MLFLOW_TRACKING_URI in .env</w:t>
            </w:r>
          </w:p>
        </w:tc>
      </w:tr>
      <w:tr>
        <w:tc>
          <w:tcPr>
            <w:tcW w:type="dxa" w:w="26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bCs/>
                <w:color w:val="1A1A2E"/>
                <w:sz w:val="20"/>
                <w:szCs w:val="20"/>
              </w:rPr>
              <w:t xml:space="preserve">RF Run ID</w:t>
            </w:r>
          </w:p>
        </w:tc>
        <w:tc>
          <w:tcPr>
            <w:tcW w:type="dxa" w:w="67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8318417557b1423fbba88a39d049372a</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1A1A2E"/>
                <w:sz w:val="20"/>
                <w:szCs w:val="20"/>
              </w:rPr>
              <w:t xml:space="preserve">XGBoost Run ID</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1f276932980449bb8ecbc188f1787ee3</w:t>
            </w:r>
          </w:p>
        </w:tc>
      </w:tr>
      <w:tr>
        <w:tc>
          <w:tcPr>
            <w:tcW w:type="dxa" w:w="26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bCs/>
                <w:color w:val="1A1A2E"/>
                <w:sz w:val="20"/>
                <w:szCs w:val="20"/>
              </w:rPr>
              <w:t xml:space="preserve">Artifacts Location</w:t>
            </w:r>
          </w:p>
        </w:tc>
        <w:tc>
          <w:tcPr>
            <w:tcW w:type="dxa" w:w="67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src/mlruns/</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1A1A2E"/>
                <w:sz w:val="20"/>
                <w:szCs w:val="20"/>
              </w:rPr>
              <w:t xml:space="preserve">Access MLflow UI</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Run: mlflow ui --backend-store-uri sqlite:///src/mlflow.db then open http://localhost:5000</w:t>
            </w:r>
          </w:p>
        </w:tc>
      </w:tr>
    </w:tbl>
    <w:p>
      <w:pPr>
        <w:spacing w:after="0" w:before="80"/>
      </w:pPr>
      <w:r>
        <w:t xml:space="preserve"/>
      </w:r>
    </w:p>
    <w:p>
      <w:pPr>
        <w:pBdr>
          <w:bottom w:val="single" w:color="DDDDDD" w:sz="3" w:space="1"/>
        </w:pBdr>
        <w:spacing w:after="200" w:before="200"/>
      </w:pPr>
      <w:r>
        <w:t xml:space="preserve"/>
      </w:r>
    </w:p>
    <w:p>
      <w:pPr>
        <w:pStyle w:val="Heading1"/>
        <w:pBdr>
          <w:bottom w:val="single" w:color="2E75B6" w:sz="6" w:space="4"/>
        </w:pBdr>
        <w:spacing w:after="160" w:before="360"/>
      </w:pPr>
      <w:r>
        <w:rPr>
          <w:rFonts w:ascii="Arial" w:cs="Arial" w:eastAsia="Arial" w:hAnsi="Arial"/>
          <w:b/>
          <w:bCs/>
          <w:color w:val="1F3864"/>
          <w:sz w:val="32"/>
          <w:szCs w:val="32"/>
        </w:rPr>
        <w:t xml:space="preserve">10. Model Insights</w:t>
      </w:r>
    </w:p>
    <w:p>
      <w:pPr>
        <w:pStyle w:val="Heading2"/>
        <w:spacing w:after="120" w:before="280"/>
      </w:pPr>
      <w:r>
        <w:rPr>
          <w:rFonts w:ascii="Arial" w:cs="Arial" w:eastAsia="Arial" w:hAnsi="Arial"/>
          <w:b/>
          <w:bCs/>
          <w:color w:val="2E75B6"/>
          <w:sz w:val="26"/>
          <w:szCs w:val="26"/>
        </w:rPr>
        <w:t xml:space="preserve">10.1 Top Feature Drivers</w:t>
      </w:r>
    </w:p>
    <w:p>
      <w:pPr>
        <w:spacing w:after="100" w:before="80"/>
        <w:jc w:val="left"/>
      </w:pPr>
      <w:r>
        <w:rPr>
          <w:rFonts w:ascii="Arial" w:cs="Arial" w:eastAsia="Arial" w:hAnsi="Arial"/>
          <w:b w:val="false"/>
          <w:bCs w:val="false"/>
          <w:i w:val="false"/>
          <w:iCs w:val="false"/>
          <w:color w:val="1A1A2E"/>
          <w:sz w:val="22"/>
          <w:szCs w:val="22"/>
        </w:rPr>
        <w:t xml:space="preserve">Based on SHAP values from the Random Forest model, the primary drivers of predicted sale price are:</w:t>
      </w:r>
    </w:p>
    <w:p>
      <w:pPr>
        <w:pStyle w:val="ListParagraph"/>
        <w:numPr>
          <w:ilvl w:val="0"/>
          <w:numId w:val="2"/>
        </w:numPr>
        <w:spacing w:after="60" w:before="60"/>
      </w:pPr>
      <w:r>
        <w:rPr>
          <w:rFonts w:ascii="Arial" w:cs="Arial" w:eastAsia="Arial" w:hAnsi="Arial"/>
          <w:b w:val="false"/>
          <w:bCs w:val="false"/>
          <w:color w:val="1A1A2E"/>
          <w:sz w:val="22"/>
          <w:szCs w:val="22"/>
        </w:rPr>
        <w:t xml:space="preserve">assessed_value — dominant predictor. Government tax assessment closely tracks market value.</w:t>
      </w:r>
    </w:p>
    <w:p>
      <w:pPr>
        <w:pStyle w:val="ListParagraph"/>
        <w:numPr>
          <w:ilvl w:val="0"/>
          <w:numId w:val="2"/>
        </w:numPr>
        <w:spacing w:after="60" w:before="60"/>
      </w:pPr>
      <w:r>
        <w:rPr>
          <w:rFonts w:ascii="Arial" w:cs="Arial" w:eastAsia="Arial" w:hAnsi="Arial"/>
          <w:b w:val="false"/>
          <w:bCs w:val="false"/>
          <w:color w:val="1A1A2E"/>
          <w:sz w:val="22"/>
          <w:szCs w:val="22"/>
        </w:rPr>
        <w:t xml:space="preserve">annual_tax — correlated with assessed_value, provides a reinforcing valuation signal.</w:t>
      </w:r>
    </w:p>
    <w:p>
      <w:pPr>
        <w:pStyle w:val="ListParagraph"/>
        <w:numPr>
          <w:ilvl w:val="0"/>
          <w:numId w:val="2"/>
        </w:numPr>
        <w:spacing w:after="60" w:before="60"/>
      </w:pPr>
      <w:r>
        <w:rPr>
          <w:rFonts w:ascii="Arial" w:cs="Arial" w:eastAsia="Arial" w:hAnsi="Arial"/>
          <w:b w:val="false"/>
          <w:bCs w:val="false"/>
          <w:color w:val="1A1A2E"/>
          <w:sz w:val="22"/>
          <w:szCs w:val="22"/>
        </w:rPr>
        <w:t xml:space="preserve">sqft — larger properties predict higher prices across all property types.</w:t>
      </w:r>
    </w:p>
    <w:p>
      <w:pPr>
        <w:pStyle w:val="ListParagraph"/>
        <w:numPr>
          <w:ilvl w:val="0"/>
          <w:numId w:val="2"/>
        </w:numPr>
        <w:spacing w:after="60" w:before="60"/>
      </w:pPr>
      <w:r>
        <w:rPr>
          <w:rFonts w:ascii="Arial" w:cs="Arial" w:eastAsia="Arial" w:hAnsi="Arial"/>
          <w:b w:val="false"/>
          <w:bCs w:val="false"/>
          <w:color w:val="1A1A2E"/>
          <w:sz w:val="22"/>
          <w:szCs w:val="22"/>
        </w:rPr>
        <w:t xml:space="preserve">city (target-encoded) — captures local market pricing levels. High-value city encodings drive predictions upward.</w:t>
      </w:r>
    </w:p>
    <w:p>
      <w:pPr>
        <w:pStyle w:val="ListParagraph"/>
        <w:numPr>
          <w:ilvl w:val="0"/>
          <w:numId w:val="2"/>
        </w:numPr>
        <w:spacing w:after="60" w:before="60"/>
      </w:pPr>
      <w:r>
        <w:rPr>
          <w:rFonts w:ascii="Arial" w:cs="Arial" w:eastAsia="Arial" w:hAnsi="Arial"/>
          <w:b w:val="false"/>
          <w:bCs w:val="false"/>
          <w:color w:val="1A1A2E"/>
          <w:sz w:val="22"/>
          <w:szCs w:val="22"/>
        </w:rPr>
        <w:t xml:space="preserve">latitude / longitude — geographic coordinates capture micro-market effects not fully captured by city alone.</w:t>
      </w:r>
    </w:p>
    <w:p>
      <w:pPr>
        <w:pStyle w:val="ListParagraph"/>
        <w:numPr>
          <w:ilvl w:val="0"/>
          <w:numId w:val="2"/>
        </w:numPr>
        <w:spacing w:after="60" w:before="60"/>
      </w:pPr>
      <w:r>
        <w:rPr>
          <w:rFonts w:ascii="Arial" w:cs="Arial" w:eastAsia="Arial" w:hAnsi="Arial"/>
          <w:b w:val="false"/>
          <w:bCs w:val="false"/>
          <w:color w:val="1A1A2E"/>
          <w:sz w:val="22"/>
          <w:szCs w:val="22"/>
        </w:rPr>
        <w:t xml:space="preserve">property_type_Single Family — Single Family properties carry a price premium over Condos in most markets.</w:t>
      </w:r>
    </w:p>
    <w:p>
      <w:pPr>
        <w:pStyle w:val="ListParagraph"/>
        <w:numPr>
          <w:ilvl w:val="0"/>
          <w:numId w:val="2"/>
        </w:numPr>
        <w:spacing w:after="60" w:before="60"/>
      </w:pPr>
      <w:r>
        <w:rPr>
          <w:rFonts w:ascii="Arial" w:cs="Arial" w:eastAsia="Arial" w:hAnsi="Arial"/>
          <w:b w:val="false"/>
          <w:bCs w:val="false"/>
          <w:color w:val="1A1A2E"/>
          <w:sz w:val="22"/>
          <w:szCs w:val="22"/>
        </w:rPr>
        <w:t xml:space="preserve">bathrooms — more bathrooms correlates with higher price, beyond what sqft alone explains.</w:t>
      </w:r>
    </w:p>
    <w:p>
      <w:pPr>
        <w:pStyle w:val="Heading2"/>
        <w:spacing w:after="120" w:before="280"/>
      </w:pPr>
      <w:r>
        <w:rPr>
          <w:rFonts w:ascii="Arial" w:cs="Arial" w:eastAsia="Arial" w:hAnsi="Arial"/>
          <w:b/>
          <w:bCs/>
          <w:color w:val="2E75B6"/>
          <w:sz w:val="26"/>
          <w:szCs w:val="26"/>
        </w:rPr>
        <w:t xml:space="preserve">10.2 Notable Findings</w:t>
      </w:r>
    </w:p>
    <w:p>
      <w:pPr>
        <w:pStyle w:val="ListParagraph"/>
        <w:numPr>
          <w:ilvl w:val="0"/>
          <w:numId w:val="2"/>
        </w:numPr>
        <w:spacing w:after="60" w:before="60"/>
      </w:pPr>
      <w:r>
        <w:rPr>
          <w:rFonts w:ascii="Arial" w:cs="Arial" w:eastAsia="Arial" w:hAnsi="Arial"/>
          <w:b w:val="false"/>
          <w:bCs w:val="false"/>
          <w:color w:val="1A1A2E"/>
          <w:sz w:val="22"/>
          <w:szCs w:val="22"/>
        </w:rPr>
        <w:t xml:space="preserve">Multi Family properties have the highest median price despite smallest volume — the model captures this through property_type encoding.</w:t>
      </w:r>
    </w:p>
    <w:p>
      <w:pPr>
        <w:pStyle w:val="ListParagraph"/>
        <w:numPr>
          <w:ilvl w:val="0"/>
          <w:numId w:val="2"/>
        </w:numPr>
        <w:spacing w:after="60" w:before="60"/>
      </w:pPr>
      <w:r>
        <w:rPr>
          <w:rFonts w:ascii="Arial" w:cs="Arial" w:eastAsia="Arial" w:hAnsi="Arial"/>
          <w:b w:val="false"/>
          <w:bCs w:val="false"/>
          <w:color w:val="1A1A2E"/>
          <w:sz w:val="22"/>
          <w:szCs w:val="22"/>
        </w:rPr>
        <w:t xml:space="preserve">days_since_sale has weak importance — recency of last sale does not strongly predict current price in this dataset.</w:t>
      </w:r>
    </w:p>
    <w:p>
      <w:pPr>
        <w:pStyle w:val="ListParagraph"/>
        <w:numPr>
          <w:ilvl w:val="0"/>
          <w:numId w:val="2"/>
        </w:numPr>
        <w:spacing w:after="60" w:before="60"/>
      </w:pPr>
      <w:r>
        <w:rPr>
          <w:rFonts w:ascii="Arial" w:cs="Arial" w:eastAsia="Arial" w:hAnsi="Arial"/>
          <w:b w:val="false"/>
          <w:bCs w:val="false"/>
          <w:color w:val="1A1A2E"/>
          <w:sz w:val="22"/>
          <w:szCs w:val="22"/>
        </w:rPr>
        <w:t xml:space="preserve">year_built has low importance relative to sqft — buyers are pricing on size and location more than age.</w:t>
      </w:r>
    </w:p>
    <w:p>
      <w:pPr>
        <w:spacing w:after="0" w:before="80"/>
      </w:pPr>
      <w:r>
        <w:t xml:space="preserve"/>
      </w:r>
    </w:p>
    <w:p>
      <w:pPr>
        <w:pBdr>
          <w:bottom w:val="single" w:color="DDDDDD" w:sz="3" w:space="1"/>
        </w:pBdr>
        <w:spacing w:after="200" w:before="200"/>
      </w:pPr>
      <w:r>
        <w:t xml:space="preserve"/>
      </w:r>
    </w:p>
    <w:p>
      <w:pPr>
        <w:pStyle w:val="Heading1"/>
        <w:pBdr>
          <w:bottom w:val="single" w:color="2E75B6" w:sz="6" w:space="4"/>
        </w:pBdr>
        <w:spacing w:after="160" w:before="360"/>
      </w:pPr>
      <w:r>
        <w:rPr>
          <w:rFonts w:ascii="Arial" w:cs="Arial" w:eastAsia="Arial" w:hAnsi="Arial"/>
          <w:b/>
          <w:bCs/>
          <w:color w:val="1F3864"/>
          <w:sz w:val="32"/>
          <w:szCs w:val="32"/>
        </w:rPr>
        <w:t xml:space="preserve">11. Limitations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Limitation</w:t>
            </w:r>
          </w:p>
        </w:tc>
        <w:tc>
          <w:tcPr>
            <w:tcW w:type="dxa" w:w="656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Detail</w:t>
            </w:r>
          </w:p>
        </w:tc>
      </w:tr>
      <w:tr>
        <w:tc>
          <w:tcPr>
            <w:tcW w:type="dxa" w:w="28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bCs/>
                <w:color w:val="1A1A2E"/>
                <w:sz w:val="20"/>
                <w:szCs w:val="20"/>
              </w:rPr>
              <w:t xml:space="preserve">No property condition data</w:t>
            </w:r>
          </w:p>
        </w:tc>
        <w:tc>
          <w:tcPr>
            <w:tcW w:type="dxa" w:w="6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Renovation history, interior quality, and structural condition are not captured. Two identical properties in different states of repair will receive the same prediction.</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1A1A2E"/>
                <w:sz w:val="20"/>
                <w:szCs w:val="20"/>
              </w:rPr>
              <w:t xml:space="preserve">No real-time market signals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The model is trained on historical sale prices. It does not incorporate live demand signals, interest rate movements, or current inventory levels.</w:t>
            </w:r>
          </w:p>
        </w:tc>
      </w:tr>
      <w:tr>
        <w:tc>
          <w:tcPr>
            <w:tcW w:type="dxa" w:w="28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bCs/>
                <w:color w:val="1A1A2E"/>
                <w:sz w:val="20"/>
                <w:szCs w:val="20"/>
              </w:rPr>
              <w:t xml:space="preserve">Coordinate quality</w:t>
            </w:r>
          </w:p>
        </w:tc>
        <w:tc>
          <w:tcPr>
            <w:tcW w:type="dxa" w:w="6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Some latitude/longitude values appear geographically inconsistent with the stated city. This degrades the model's spatial precision until geo-validation is implemented.</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1A1A2E"/>
                <w:sz w:val="20"/>
                <w:szCs w:val="20"/>
              </w:rPr>
              <w:t xml:space="preserve">2,090 records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Relatively small training set. Model may generalise poorly to cities or property types underrepresented in the data.</w:t>
            </w:r>
          </w:p>
        </w:tc>
      </w:tr>
      <w:tr>
        <w:tc>
          <w:tcPr>
            <w:tcW w:type="dxa" w:w="28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bCs/>
                <w:color w:val="1A1A2E"/>
                <w:sz w:val="20"/>
                <w:szCs w:val="20"/>
              </w:rPr>
              <w:t xml:space="preserve">No ridge regression baseline</w:t>
            </w:r>
          </w:p>
        </w:tc>
        <w:tc>
          <w:tcPr>
            <w:tcW w:type="dxa" w:w="6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A linear baseline was not trained in this run. Without it, we cannot confirm whether tree-based models are adding non-linear value beyond a simple linear fit.</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1A1A2E"/>
                <w:sz w:val="20"/>
                <w:szCs w:val="20"/>
              </w:rPr>
              <w:t xml:space="preserve">No model drift monitoring</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The model will degrade over time as property markets shift. No automated retraining pipeline exists yet.</w:t>
            </w:r>
          </w:p>
        </w:tc>
      </w:tr>
    </w:tbl>
    <w:p>
      <w:pPr>
        <w:spacing w:after="0" w:before="80"/>
      </w:pPr>
      <w:r>
        <w:t xml:space="preserve"/>
      </w:r>
    </w:p>
    <w:p>
      <w:pPr>
        <w:pBdr>
          <w:bottom w:val="single" w:color="DDDDDD" w:sz="3" w:space="1"/>
        </w:pBdr>
        <w:spacing w:after="200" w:before="200"/>
      </w:pPr>
      <w:r>
        <w:t xml:space="preserve"/>
      </w:r>
    </w:p>
    <w:p>
      <w:pPr>
        <w:pStyle w:val="Heading1"/>
        <w:pBdr>
          <w:bottom w:val="single" w:color="2E75B6" w:sz="6" w:space="4"/>
        </w:pBdr>
        <w:spacing w:after="160" w:before="360"/>
      </w:pPr>
      <w:r>
        <w:rPr>
          <w:rFonts w:ascii="Arial" w:cs="Arial" w:eastAsia="Arial" w:hAnsi="Arial"/>
          <w:b/>
          <w:bCs/>
          <w:color w:val="1F3864"/>
          <w:sz w:val="32"/>
          <w:szCs w:val="32"/>
        </w:rPr>
        <w:t xml:space="preserve">12. Business Impact</w:t>
      </w:r>
    </w:p>
    <w:p>
      <w:pPr>
        <w:pStyle w:val="Heading2"/>
        <w:spacing w:after="120" w:before="280"/>
      </w:pPr>
      <w:r>
        <w:rPr>
          <w:rFonts w:ascii="Arial" w:cs="Arial" w:eastAsia="Arial" w:hAnsi="Arial"/>
          <w:b/>
          <w:bCs/>
          <w:color w:val="2E75B6"/>
          <w:sz w:val="26"/>
          <w:szCs w:val="26"/>
        </w:rPr>
        <w:t xml:space="preserve">12.1 Where This Model Can Be Used</w:t>
      </w:r>
    </w:p>
    <w:p>
      <w:pPr>
        <w:pStyle w:val="ListParagraph"/>
        <w:numPr>
          <w:ilvl w:val="0"/>
          <w:numId w:val="2"/>
        </w:numPr>
        <w:spacing w:after="60" w:before="60"/>
      </w:pPr>
      <w:r>
        <w:rPr>
          <w:rFonts w:ascii="Arial" w:cs="Arial" w:eastAsia="Arial" w:hAnsi="Arial"/>
          <w:b w:val="false"/>
          <w:bCs w:val="false"/>
          <w:color w:val="1A1A2E"/>
          <w:sz w:val="22"/>
          <w:szCs w:val="22"/>
        </w:rPr>
        <w:t xml:space="preserve">Agent pricing guidance — a $41k median error on a $611k median property is within acceptable tolerance for an indicative valuation.</w:t>
      </w:r>
    </w:p>
    <w:p>
      <w:pPr>
        <w:pStyle w:val="ListParagraph"/>
        <w:numPr>
          <w:ilvl w:val="0"/>
          <w:numId w:val="2"/>
        </w:numPr>
        <w:spacing w:after="60" w:before="60"/>
      </w:pPr>
      <w:r>
        <w:rPr>
          <w:rFonts w:ascii="Arial" w:cs="Arial" w:eastAsia="Arial" w:hAnsi="Arial"/>
          <w:b w:val="false"/>
          <w:bCs w:val="false"/>
          <w:color w:val="1A1A2E"/>
          <w:sz w:val="22"/>
          <w:szCs w:val="22"/>
        </w:rPr>
        <w:t xml:space="preserve">Dashboard pricing layer — predicted prices can be surfaced on the real-time analytics dashboard as a benchmark signal.</w:t>
      </w:r>
    </w:p>
    <w:p>
      <w:pPr>
        <w:pStyle w:val="ListParagraph"/>
        <w:numPr>
          <w:ilvl w:val="0"/>
          <w:numId w:val="2"/>
        </w:numPr>
        <w:spacing w:after="60" w:before="60"/>
      </w:pPr>
      <w:r>
        <w:rPr>
          <w:rFonts w:ascii="Arial" w:cs="Arial" w:eastAsia="Arial" w:hAnsi="Arial"/>
          <w:b w:val="false"/>
          <w:bCs w:val="false"/>
          <w:color w:val="1A1A2E"/>
          <w:sz w:val="22"/>
          <w:szCs w:val="22"/>
        </w:rPr>
        <w:t xml:space="preserve">Listing anomaly detection — properties priced significantly above or below the model prediction can be flagged for manual review.</w:t>
      </w:r>
    </w:p>
    <w:p>
      <w:pPr>
        <w:pStyle w:val="Heading2"/>
        <w:spacing w:after="120" w:before="280"/>
      </w:pPr>
      <w:r>
        <w:rPr>
          <w:rFonts w:ascii="Arial" w:cs="Arial" w:eastAsia="Arial" w:hAnsi="Arial"/>
          <w:b/>
          <w:bCs/>
          <w:color w:val="2E75B6"/>
          <w:sz w:val="26"/>
          <w:szCs w:val="26"/>
        </w:rPr>
        <w:t xml:space="preserve">12.2 Where This Model Should Not Be Used</w:t>
      </w:r>
    </w:p>
    <w:p>
      <w:pPr>
        <w:pStyle w:val="ListParagraph"/>
        <w:numPr>
          <w:ilvl w:val="0"/>
          <w:numId w:val="2"/>
        </w:numPr>
        <w:spacing w:after="60" w:before="60"/>
      </w:pPr>
      <w:r>
        <w:rPr>
          <w:rFonts w:ascii="Arial" w:cs="Arial" w:eastAsia="Arial" w:hAnsi="Arial"/>
          <w:b w:val="false"/>
          <w:bCs w:val="false"/>
          <w:color w:val="1A1A2E"/>
          <w:sz w:val="22"/>
          <w:szCs w:val="22"/>
        </w:rPr>
        <w:t xml:space="preserve">Automated mortgage underwriting — $87k RMSE is too wide for financial decisioning where precision is legally required.</w:t>
      </w:r>
    </w:p>
    <w:p>
      <w:pPr>
        <w:pStyle w:val="ListParagraph"/>
        <w:numPr>
          <w:ilvl w:val="0"/>
          <w:numId w:val="2"/>
        </w:numPr>
        <w:spacing w:after="60" w:before="60"/>
      </w:pPr>
      <w:r>
        <w:rPr>
          <w:rFonts w:ascii="Arial" w:cs="Arial" w:eastAsia="Arial" w:hAnsi="Arial"/>
          <w:b w:val="false"/>
          <w:bCs w:val="false"/>
          <w:color w:val="1A1A2E"/>
          <w:sz w:val="22"/>
          <w:szCs w:val="22"/>
        </w:rPr>
        <w:t xml:space="preserve">Markets with thin data — predictions for cities with fewer than 10 training examples will be encoded as the global mean and are unreliable.</w:t>
      </w:r>
    </w:p>
    <w:p>
      <w:pPr>
        <w:pStyle w:val="ListParagraph"/>
        <w:numPr>
          <w:ilvl w:val="0"/>
          <w:numId w:val="2"/>
        </w:numPr>
        <w:spacing w:after="60" w:before="60"/>
      </w:pPr>
      <w:r>
        <w:rPr>
          <w:rFonts w:ascii="Arial" w:cs="Arial" w:eastAsia="Arial" w:hAnsi="Arial"/>
          <w:b w:val="false"/>
          <w:bCs w:val="false"/>
          <w:color w:val="1A1A2E"/>
          <w:sz w:val="22"/>
          <w:szCs w:val="22"/>
        </w:rPr>
        <w:t xml:space="preserve">Properties above $2M — the model has seen few examples in this range and RMSE is amplified by the skewed distribution.</w:t>
      </w:r>
    </w:p>
    <w:p>
      <w:pPr>
        <w:pStyle w:val="Heading2"/>
        <w:spacing w:after="120" w:before="280"/>
      </w:pPr>
      <w:r>
        <w:rPr>
          <w:rFonts w:ascii="Arial" w:cs="Arial" w:eastAsia="Arial" w:hAnsi="Arial"/>
          <w:b/>
          <w:bCs/>
          <w:color w:val="2E75B6"/>
          <w:sz w:val="26"/>
          <w:szCs w:val="26"/>
        </w:rPr>
        <w:t xml:space="preserve">12.3 Risk of Incorrect Predictions</w:t>
      </w:r>
    </w:p>
    <w:p>
      <w:pPr>
        <w:spacing w:after="100" w:before="80"/>
        <w:jc w:val="left"/>
      </w:pPr>
      <w:r>
        <w:rPr>
          <w:rFonts w:ascii="Arial" w:cs="Arial" w:eastAsia="Arial" w:hAnsi="Arial"/>
          <w:b w:val="false"/>
          <w:bCs w:val="false"/>
          <w:i w:val="false"/>
          <w:iCs w:val="false"/>
          <w:color w:val="555555"/>
          <w:sz w:val="22"/>
          <w:szCs w:val="22"/>
        </w:rPr>
        <w:t xml:space="preserve">An agent who follows the model's pricing recommendation on a $2M property could misprice by up to $87k+ with meaningful probability. For standard residential transactions below $800k, the typical $41k error represents ~5–7% — acceptable as a starting point, not as a final figure.</w:t>
      </w:r>
    </w:p>
    <w:p>
      <w:pPr>
        <w:spacing w:after="0" w:before="80"/>
      </w:pPr>
      <w:r>
        <w:t xml:space="preserve"/>
      </w:r>
    </w:p>
    <w:p>
      <w:pPr>
        <w:pBdr>
          <w:bottom w:val="single" w:color="DDDDDD" w:sz="3" w:space="1"/>
        </w:pBdr>
        <w:spacing w:after="200" w:before="200"/>
      </w:pPr>
      <w:r>
        <w:t xml:space="preserve"/>
      </w:r>
    </w:p>
    <w:p>
      <w:pPr>
        <w:pStyle w:val="Heading1"/>
        <w:pBdr>
          <w:bottom w:val="single" w:color="2E75B6" w:sz="6" w:space="4"/>
        </w:pBdr>
        <w:spacing w:after="160" w:before="360"/>
      </w:pPr>
      <w:r>
        <w:rPr>
          <w:rFonts w:ascii="Arial" w:cs="Arial" w:eastAsia="Arial" w:hAnsi="Arial"/>
          <w:b/>
          <w:bCs/>
          <w:color w:val="1F3864"/>
          <w:sz w:val="32"/>
          <w:szCs w:val="32"/>
        </w:rPr>
        <w:t xml:space="preserve">13. Future Improvements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Improvement</w:t>
            </w:r>
          </w:p>
        </w:tc>
        <w:tc>
          <w:tcPr>
            <w:tcW w:type="dxa" w:w="24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Priority</w:t>
            </w:r>
          </w:p>
        </w:tc>
        <w:tc>
          <w:tcPr>
            <w:tcW w:type="dxa" w:w="456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Expected Impact</w:t>
            </w:r>
          </w:p>
        </w:tc>
      </w:tr>
      <w:tr>
        <w:tc>
          <w:tcPr>
            <w:tcW w:type="dxa" w:w="24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bCs/>
                <w:color w:val="1A1A2E"/>
                <w:sz w:val="20"/>
                <w:szCs w:val="20"/>
              </w:rPr>
              <w:t xml:space="preserve">Ridge Regression baseline</w:t>
            </w:r>
          </w:p>
        </w:tc>
        <w:tc>
          <w:tcPr>
            <w:tcW w:type="dxa" w:w="24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bCs/>
                <w:color w:val="C62828"/>
                <w:sz w:val="20"/>
                <w:szCs w:val="20"/>
              </w:rPr>
              <w:t xml:space="preserve">High</w:t>
            </w:r>
          </w:p>
        </w:tc>
        <w:tc>
          <w:tcPr>
            <w:tcW w:type="dxa" w:w="4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Validates that tree models are genuinely outperforming a linear approach</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1A1A2E"/>
                <w:sz w:val="20"/>
                <w:szCs w:val="20"/>
              </w:rPr>
              <w:t xml:space="preserve">Socio-economic features</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C62828"/>
                <w:sz w:val="20"/>
                <w:szCs w:val="20"/>
              </w:rPr>
              <w:t xml:space="preserve">High</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US Census Bureau API — population, median income, poverty rate by zip code. Likely to improve predictions for underserved markets.</w:t>
            </w:r>
          </w:p>
        </w:tc>
      </w:tr>
      <w:tr>
        <w:tc>
          <w:tcPr>
            <w:tcW w:type="dxa" w:w="24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bCs/>
                <w:color w:val="1A1A2E"/>
                <w:sz w:val="20"/>
                <w:szCs w:val="20"/>
              </w:rPr>
              <w:t xml:space="preserve">Geo-validation pipeline</w:t>
            </w:r>
          </w:p>
        </w:tc>
        <w:tc>
          <w:tcPr>
            <w:tcW w:type="dxa" w:w="24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bCs/>
                <w:color w:val="E65100"/>
                <w:sz w:val="20"/>
                <w:szCs w:val="20"/>
              </w:rPr>
              <w:t xml:space="preserve">Medium</w:t>
            </w:r>
          </w:p>
        </w:tc>
        <w:tc>
          <w:tcPr>
            <w:tcW w:type="dxa" w:w="4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Cross-validate coordinates against city/state — improve spatial precision of lat/long features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1A1A2E"/>
                <w:sz w:val="20"/>
                <w:szCs w:val="20"/>
              </w:rPr>
              <w:t xml:space="preserve">Property condition data</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E65100"/>
                <w:sz w:val="20"/>
                <w:szCs w:val="20"/>
              </w:rPr>
              <w:t xml:space="preserve">Medium</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Renovation history, listing photos (CV-based quality score) — significant missing signal</w:t>
            </w:r>
          </w:p>
        </w:tc>
      </w:tr>
      <w:tr>
        <w:tc>
          <w:tcPr>
            <w:tcW w:type="dxa" w:w="24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bCs/>
                <w:color w:val="1A1A2E"/>
                <w:sz w:val="20"/>
                <w:szCs w:val="20"/>
              </w:rPr>
              <w:t xml:space="preserve">Model drift monitoring</w:t>
            </w:r>
          </w:p>
        </w:tc>
        <w:tc>
          <w:tcPr>
            <w:tcW w:type="dxa" w:w="24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bCs/>
                <w:color w:val="E65100"/>
                <w:sz w:val="20"/>
                <w:szCs w:val="20"/>
              </w:rPr>
              <w:t xml:space="preserve">Medium</w:t>
            </w:r>
          </w:p>
        </w:tc>
        <w:tc>
          <w:tcPr>
            <w:tcW w:type="dxa" w:w="4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Automated retraining pipeline triggered when R² on rolling window drops below threshold</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1A1A2E"/>
                <w:sz w:val="20"/>
                <w:szCs w:val="20"/>
              </w:rPr>
              <w:t xml:space="preserve">Market segmentation</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2E7D32"/>
                <w:sz w:val="20"/>
                <w:szCs w:val="20"/>
              </w:rPr>
              <w:t xml:space="preserve">Low</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Train separate models per region (e.g. West Coast vs South vs Northeast) to capture local pricing dynamics</w:t>
            </w:r>
          </w:p>
        </w:tc>
      </w:tr>
      <w:tr>
        <w:tc>
          <w:tcPr>
            <w:tcW w:type="dxa" w:w="24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bCs/>
                <w:color w:val="1A1A2E"/>
                <w:sz w:val="20"/>
                <w:szCs w:val="20"/>
              </w:rPr>
              <w:t xml:space="preserve">Azure ML deployment</w:t>
            </w:r>
          </w:p>
        </w:tc>
        <w:tc>
          <w:tcPr>
            <w:tcW w:type="dxa" w:w="24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bCs/>
                <w:color w:val="555555"/>
                <w:sz w:val="20"/>
                <w:szCs w:val="20"/>
              </w:rPr>
              <w:t xml:space="preserve">Planned</w:t>
            </w:r>
          </w:p>
        </w:tc>
        <w:tc>
          <w:tcPr>
            <w:tcW w:type="dxa" w:w="4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Migrate from local joblib + Streamlit Cloud to Azure Container Apps with MLflow model registry</w:t>
            </w:r>
          </w:p>
        </w:tc>
      </w:tr>
    </w:tbl>
    <w:p>
      <w:pPr>
        <w:spacing w:after="0" w:before="80"/>
      </w:pPr>
      <w:r>
        <w:t xml:space="preserve"/>
      </w:r>
    </w:p>
    <w:p>
      <w:pPr>
        <w:pBdr>
          <w:bottom w:val="single" w:color="DDDDDD" w:sz="3" w:space="1"/>
        </w:pBdr>
        <w:spacing w:after="200" w:before="200"/>
      </w:pPr>
      <w:r>
        <w:t xml:space="preserve"/>
      </w:r>
    </w:p>
    <w:p>
      <w:pPr>
        <w:pStyle w:val="Heading1"/>
        <w:pBdr>
          <w:bottom w:val="single" w:color="2E75B6" w:sz="6" w:space="4"/>
        </w:pBdr>
        <w:spacing w:after="160" w:before="360"/>
      </w:pPr>
      <w:r>
        <w:rPr>
          <w:rFonts w:ascii="Arial" w:cs="Arial" w:eastAsia="Arial" w:hAnsi="Arial"/>
          <w:b/>
          <w:bCs/>
          <w:color w:val="1F3864"/>
          <w:sz w:val="32"/>
          <w:szCs w:val="32"/>
        </w:rPr>
        <w:t xml:space="preserve">14. Reproducibility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Item</w:t>
            </w:r>
          </w:p>
        </w:tc>
        <w:tc>
          <w:tcPr>
            <w:tcW w:type="dxa" w:w="676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Detail</w:t>
            </w:r>
          </w:p>
        </w:tc>
      </w:tr>
      <w:tr>
        <w:tc>
          <w:tcPr>
            <w:tcW w:type="dxa" w:w="26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bCs/>
                <w:color w:val="1A1A2E"/>
                <w:sz w:val="20"/>
                <w:szCs w:val="20"/>
              </w:rPr>
              <w:t xml:space="preserve">GitHub Repository</w:t>
            </w:r>
          </w:p>
        </w:tc>
        <w:tc>
          <w:tcPr>
            <w:tcW w:type="dxa" w:w="67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github.com/tshallycodes/alloytower-predictions</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1A1A2E"/>
                <w:sz w:val="20"/>
                <w:szCs w:val="20"/>
              </w:rPr>
              <w:t xml:space="preserve">Data File</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data/raw/alloy_data_cleaned.csv — cleaned dataset, ready for feature engineering</w:t>
            </w:r>
          </w:p>
        </w:tc>
      </w:tr>
      <w:tr>
        <w:tc>
          <w:tcPr>
            <w:tcW w:type="dxa" w:w="26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bCs/>
                <w:color w:val="1A1A2E"/>
                <w:sz w:val="20"/>
                <w:szCs w:val="20"/>
              </w:rPr>
              <w:t xml:space="preserve">Feature Engineering</w:t>
            </w:r>
          </w:p>
        </w:tc>
        <w:tc>
          <w:tcPr>
            <w:tcW w:type="dxa" w:w="67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Run: python src/feature_engineering.py — outputs data/processed/ft_eng.csv and models/*.json</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1A1A2E"/>
                <w:sz w:val="20"/>
                <w:szCs w:val="20"/>
              </w:rPr>
              <w:t xml:space="preserve">Model Training</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Open and run src/model.ipynb — trains RF and XGBoost, logs to MLflow, saves models/*.pkl</w:t>
            </w:r>
          </w:p>
        </w:tc>
      </w:tr>
      <w:tr>
        <w:tc>
          <w:tcPr>
            <w:tcW w:type="dxa" w:w="26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bCs/>
                <w:color w:val="1A1A2E"/>
                <w:sz w:val="20"/>
                <w:szCs w:val="20"/>
              </w:rPr>
              <w:t xml:space="preserve">Local API</w:t>
            </w:r>
          </w:p>
        </w:tc>
        <w:tc>
          <w:tcPr>
            <w:tcW w:type="dxa" w:w="67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uvicorn deployment.main:app --reload — docs at http://localhost:8000/docs</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1A1A2E"/>
                <w:sz w:val="20"/>
                <w:szCs w:val="20"/>
              </w:rPr>
              <w:t xml:space="preserve">Local Streamlit</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streamlit run deployment/app.py — UI at http://localhost:8501</w:t>
            </w:r>
          </w:p>
        </w:tc>
      </w:tr>
      <w:tr>
        <w:tc>
          <w:tcPr>
            <w:tcW w:type="dxa" w:w="26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bCs/>
                <w:color w:val="1A1A2E"/>
                <w:sz w:val="20"/>
                <w:szCs w:val="20"/>
              </w:rPr>
              <w:t xml:space="preserve">Docker</w:t>
            </w:r>
          </w:p>
        </w:tc>
        <w:tc>
          <w:tcPr>
            <w:tcW w:type="dxa" w:w="67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docker-compose up — starts both API and Streamlit services</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1A1A2E"/>
                <w:sz w:val="20"/>
                <w:szCs w:val="20"/>
              </w:rPr>
              <w:t xml:space="preserve">MLflow UI</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mlflow ui --backend-store-uri sqlite:///src/mlflow.db — open http://localhost:5000</w:t>
            </w:r>
          </w:p>
        </w:tc>
      </w:tr>
      <w:tr>
        <w:tc>
          <w:tcPr>
            <w:tcW w:type="dxa" w:w="26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bCs/>
                <w:color w:val="1A1A2E"/>
                <w:sz w:val="20"/>
                <w:szCs w:val="20"/>
              </w:rPr>
              <w:t xml:space="preserve">Switching Best Model</w:t>
            </w:r>
          </w:p>
        </w:tc>
        <w:tc>
          <w:tcPr>
            <w:tcW w:type="dxa" w:w="67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Update BEST_MODEL=models/rf_model.pkl in .env to swap between RF and XGBoost</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1A1A2E"/>
                <w:sz w:val="20"/>
                <w:szCs w:val="20"/>
              </w:rPr>
              <w:t xml:space="preserve">Random Seed</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random_state=42 used throughout for all splits and model training</w:t>
            </w:r>
          </w:p>
        </w:tc>
      </w:tr>
    </w:tbl>
    <w:p>
      <w:pPr>
        <w:spacing w:after="0" w:before="200"/>
      </w:pPr>
      <w:r>
        <w:t xml:space="preserve"/>
      </w:r>
    </w:p>
    <w:p>
      <w:pPr>
        <w:spacing w:after="100" w:before="80"/>
        <w:jc w:val="center"/>
      </w:pPr>
      <w:r>
        <w:rPr>
          <w:rFonts w:ascii="Arial" w:cs="Arial" w:eastAsia="Arial" w:hAnsi="Arial"/>
          <w:b w:val="false"/>
          <w:bCs w:val="false"/>
          <w:i/>
          <w:iCs/>
          <w:color w:val="555555"/>
          <w:sz w:val="18"/>
          <w:szCs w:val="18"/>
        </w:rPr>
        <w:t xml:space="preserve">Document prepared by Chukwuebuka Tshally-Okeke | Data Scientist | AlloyTower CDP | April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spacing w:after="0" w:before="120"/>
    </w:pPr>
    <w:r>
      <w:rPr>
        <w:rFonts w:ascii="Arial" w:cs="Arial" w:eastAsia="Arial" w:hAnsi="Arial"/>
        <w:color w:val="555555"/>
        <w:sz w:val="18"/>
        <w:szCs w:val="18"/>
      </w:rPr>
      <w:t xml:space="preserve">Chukwuebuka Tshally-Okeke | Data Scientist</w:t>
    </w:r>
    <w:r>
      <w:rPr>
        <w:rFonts w:ascii="Arial" w:cs="Arial" w:eastAsia="Arial" w:hAnsi="Arial"/>
        <w:color w:val="555555"/>
        <w:sz w:val="18"/>
        <w:szCs w:val="18"/>
      </w:rPr>
      <w:t xml:space="preserve">	v1.0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026"/>
      </w:tabs>
      <w:spacing w:after="160" w:before="0"/>
    </w:pPr>
    <w:r>
      <w:rPr>
        <w:rFonts w:ascii="Arial" w:cs="Arial" w:eastAsia="Arial" w:hAnsi="Arial"/>
        <w:color w:val="555555"/>
        <w:sz w:val="18"/>
        <w:szCs w:val="18"/>
      </w:rPr>
      <w:t xml:space="preserve">AlloyTower — Property Price Prediction Model Report</w:t>
    </w:r>
    <w:r>
      <w:rPr>
        <w:rFonts w:ascii="Arial" w:cs="Arial" w:eastAsia="Arial" w:hAnsi="Arial"/>
        <w:color w:val="555555"/>
        <w:sz w:val="18"/>
        <w:szCs w:val="18"/>
      </w:rPr>
      <w:t xml:space="preserve">	Confidential |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2026-04-29T00:58:36.321Z</dcterms:created>
  <dcterms:modified xsi:type="dcterms:W3CDTF">2026-04-29T00:58:36.322Z</dcterms:modified>
</cp:coreProperties>
</file>

<file path=docProps/custom.xml><?xml version="1.0" encoding="utf-8"?>
<Properties xmlns="http://schemas.openxmlformats.org/officeDocument/2006/custom-properties" xmlns:vt="http://schemas.openxmlformats.org/officeDocument/2006/docPropsVTypes"/>
</file>