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100"/>
        <w:jc w:val="center"/>
      </w:pPr>
      <w:r>
        <w:rPr>
          <w:rFonts w:ascii="Arial" w:cs="Arial" w:eastAsia="Arial" w:hAnsi="Arial"/>
          <w:b/>
          <w:bCs/>
          <w:i w:val="false"/>
          <w:iCs w:val="false"/>
          <w:color w:val="FFFFFF"/>
          <w:sz w:val="36"/>
          <w:szCs w:val="36"/>
        </w:rPr>
        <w:t xml:space="preserve">UPDRS Parkinson's Assessment Tool</w:t>
      </w:r>
    </w:p>
    <w:p>
      <w:pPr>
        <w:shd w:fill="1F3864" w:val="clear"/>
        <w:spacing w:before="0" w:after="60"/>
        <w:jc w:val="center"/>
      </w:pPr>
      <w:r>
        <w:rPr>
          <w:rFonts w:ascii="Arial" w:cs="Arial" w:eastAsia="Arial" w:hAnsi="Arial"/>
          <w:b/>
          <w:bCs/>
          <w:i w:val="false"/>
          <w:iCs w:val="false"/>
          <w:color w:val="FFFFFF"/>
          <w:sz w:val="26"/>
          <w:szCs w:val="26"/>
        </w:rPr>
        <w:t xml:space="preserve">Version 1 — Binary Classification System</w:t>
      </w:r>
    </w:p>
    <w:p>
      <w:pPr>
        <w:shd w:fill="1F3864" w:val="clear"/>
        <w:spacing w:before="0" w:after="0"/>
        <w:jc w:val="center"/>
      </w:pPr>
      <w:r>
        <w:rPr>
          <w:rFonts w:ascii="Arial" w:cs="Arial" w:eastAsia="Arial" w:hAnsi="Arial"/>
          <w:b w:val="false"/>
          <w:bCs w:val="false"/>
          <w:i/>
          <w:iCs/>
          <w:color w:val="DDDDDD"/>
          <w:sz w:val="20"/>
          <w:szCs w:val="20"/>
        </w:rPr>
        <w:t xml:space="preserve">Technical Documentation &amp; Design Justification</w:t>
      </w:r>
    </w:p>
    <w:p>
      <w:pPr>
        <w:spacing w:before="0" w:after="40"/>
      </w:pPr>
      <w:r>
        <w:rPr>
          <w:rFonts w:ascii="Arial" w:cs="Arial" w:eastAsia="Arial" w:hAnsi="Arial"/>
          <w:b w:val="false"/>
          <w:bCs w:val="false"/>
          <w:i w:val="false"/>
          <w:iCs w:val="false"/>
          <w:color w:val="000000"/>
          <w:sz w:val="20"/>
          <w:szCs w:val="20"/>
        </w:rPr>
        <w:t xml:space="preserve"/>
      </w:r>
    </w:p>
    <w:p>
      <w:pPr>
        <w:spacing w:before="0" w:after="40"/>
        <w:jc w:val="center"/>
      </w:pPr>
      <w:r>
        <w:rPr>
          <w:rFonts w:ascii="Arial" w:cs="Arial" w:eastAsia="Arial" w:hAnsi="Arial"/>
          <w:b w:val="false"/>
          <w:bCs w:val="false"/>
          <w:i w:val="false"/>
          <w:iCs w:val="false"/>
          <w:color w:val="404040"/>
          <w:sz w:val="18"/>
          <w:szCs w:val="18"/>
        </w:rPr>
        <w:t xml:space="preserve">GAV5028-E  |  University of Bradford  |  Client: Dr Ramzi Jaber</w:t>
      </w:r>
    </w:p>
    <w:p>
      <w:pPr>
        <w:spacing w:before="0" w:after="200"/>
        <w:jc w:val="center"/>
      </w:pPr>
      <w:r>
        <w:rPr>
          <w:rFonts w:ascii="Arial" w:cs="Arial" w:eastAsia="Arial" w:hAnsi="Arial"/>
          <w:b w:val="false"/>
          <w:bCs w:val="false"/>
          <w:i w:val="false"/>
          <w:iCs w:val="false"/>
          <w:color w:val="404040"/>
          <w:sz w:val="18"/>
          <w:szCs w:val="18"/>
        </w:rPr>
        <w:t xml:space="preserve">Team: Ebuka (PM), Ryan, Avyandra, Elvis  |  Supervisor: Prof. Kulvinder Panesar</w:t>
      </w:r>
    </w:p>
    <w:p>
      <w:pPr>
        <w:pBdr>
          <w:bottom w:val="single" w:color="2E75B6" w:sz="6" w:space="1"/>
        </w:pBdr>
        <w:spacing w:before="160" w:after="160"/>
      </w:pPr>
    </w:p>
    <w:p>
      <w:pPr>
        <w:pBdr>
          <w:bottom w:val="single" w:color="2E75B6" w:sz="8" w:space="4"/>
        </w:pBdr>
        <w:spacing w:before="320" w:after="120"/>
      </w:pPr>
      <w:r>
        <w:rPr>
          <w:rFonts w:ascii="Arial" w:cs="Arial" w:eastAsia="Arial" w:hAnsi="Arial"/>
          <w:b/>
          <w:bCs/>
          <w:i w:val="false"/>
          <w:iCs w:val="false"/>
          <w:color w:val="1F3864"/>
          <w:sz w:val="28"/>
          <w:szCs w:val="28"/>
        </w:rPr>
        <w:t xml:space="preserve">1. Problem Context and Objective</w:t>
      </w:r>
    </w:p>
    <w:p>
      <w:pPr>
        <w:spacing w:before="80" w:after="80" w:line="276" w:lineRule="auto"/>
        <w:jc w:val="left"/>
      </w:pPr>
      <w:r>
        <w:rPr>
          <w:rFonts w:ascii="Arial" w:cs="Arial" w:eastAsia="Arial" w:hAnsi="Arial"/>
          <w:b w:val="false"/>
          <w:bCs w:val="false"/>
          <w:i w:val="false"/>
          <w:iCs w:val="false"/>
          <w:color w:val="000000"/>
          <w:sz w:val="20"/>
          <w:szCs w:val="20"/>
        </w:rPr>
        <w:t xml:space="preserve">Parkinson's Disease is a progressive neurological disorder that primarily affects motor function, producing symptoms such as tremors, rigidity, and bradykinesia — a clinically defined slowness of voluntary movement. In clinical practice, motor impairment is quantified using the Unified Parkinson's Disease Rating Scale (UPDRS), a standardised scoring system that assigns a severity rating from 0 (normal) to 4 (severe) based on observed movement during structured tests.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One well-established UPDRS assessment is the finger tapping test (item 3.4), in which patients rapidly tap their index finger against their thumb. Clinicians observe and score the resulting movement pattern. However, this process is inherently subjective — inter-rater variability between clinicians is a recognised problem, and the same patient may receive different scores depending on the assessor's experience and interpretation. This reduces the reliability and consistency of diagnoses, particularly in early-stage disease where symptoms are subtle.</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The objective of this project is to develop a machine learning system that can analyse finger tapping signal data and produce an objective, consistent assessment of motor impairment — one that does not vary between assessors. Version 1 specifically targets the following:</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Ingesting raw amplitude and time signals from the finger tapping test</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Extracting clinically meaningful features from those signals</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Performing binary classification: Healthy (0) versus Parkinson's Disease (1)</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This version serves as a baseline system. The binary framing was a deliberate design choice to reduce complexity during initial development and establish a working, evaluable pipeline before addressing more granular clinical tasks in subsequent iterations.</w:t>
      </w:r>
    </w:p>
    <w:p>
      <w:pPr>
        <w:pBdr>
          <w:bottom w:val="single" w:color="2E75B6" w:sz="8" w:space="4"/>
        </w:pBdr>
        <w:spacing w:before="320" w:after="120"/>
      </w:pPr>
      <w:r>
        <w:rPr>
          <w:rFonts w:ascii="Arial" w:cs="Arial" w:eastAsia="Arial" w:hAnsi="Arial"/>
          <w:b/>
          <w:bCs/>
          <w:i w:val="false"/>
          <w:iCs w:val="false"/>
          <w:color w:val="1F3864"/>
          <w:sz w:val="28"/>
          <w:szCs w:val="28"/>
        </w:rPr>
        <w:t xml:space="preserve">2. Problem Formulation</w:t>
      </w:r>
    </w:p>
    <w:p>
      <w:pPr>
        <w:spacing w:before="80" w:after="80" w:line="276" w:lineRule="auto"/>
        <w:jc w:val="left"/>
      </w:pPr>
      <w:r>
        <w:rPr>
          <w:rFonts w:ascii="Arial" w:cs="Arial" w:eastAsia="Arial" w:hAnsi="Arial"/>
          <w:b w:val="false"/>
          <w:bCs w:val="false"/>
          <w:i w:val="false"/>
          <w:iCs w:val="false"/>
          <w:color w:val="000000"/>
          <w:sz w:val="20"/>
          <w:szCs w:val="20"/>
        </w:rPr>
        <w:t xml:space="preserve">The classification task was defined as binary, with participants assigned to one of two categories:</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Class 0: </w:t>
      </w:r>
      <w:r>
        <w:rPr>
          <w:rFonts w:ascii="Arial" w:cs="Arial" w:eastAsia="Arial" w:hAnsi="Arial"/>
          <w:b w:val="false"/>
          <w:bCs w:val="false"/>
          <w:i w:val="false"/>
          <w:iCs w:val="false"/>
          <w:color w:val="000000"/>
          <w:sz w:val="20"/>
          <w:szCs w:val="20"/>
        </w:rPr>
        <w:t xml:space="preserve">Healthy — no Parkinson's Disease</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Class 1: </w:t>
      </w:r>
      <w:r>
        <w:rPr>
          <w:rFonts w:ascii="Arial" w:cs="Arial" w:eastAsia="Arial" w:hAnsi="Arial"/>
          <w:b w:val="false"/>
          <w:bCs w:val="false"/>
          <w:i w:val="false"/>
          <w:iCs w:val="false"/>
          <w:color w:val="000000"/>
          <w:sz w:val="20"/>
          <w:szCs w:val="20"/>
        </w:rPr>
        <w:t xml:space="preserve">Parkinson's Disease — UPDRS score indicating motor impairment</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Two alternative problem formulations were considered during design:</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Multi-class classification </w:t>
      </w:r>
      <w:r>
        <w:rPr>
          <w:rFonts w:ascii="Arial" w:cs="Arial" w:eastAsia="Arial" w:hAnsi="Arial"/>
          <w:b w:val="false"/>
          <w:bCs w:val="false"/>
          <w:i w:val="false"/>
          <w:iCs w:val="false"/>
          <w:color w:val="000000"/>
          <w:sz w:val="20"/>
          <w:szCs w:val="20"/>
        </w:rPr>
        <w:t xml:space="preserve">using all five raw UPDRS levels (0–4)</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Binary classification </w:t>
      </w:r>
      <w:r>
        <w:rPr>
          <w:rFonts w:ascii="Arial" w:cs="Arial" w:eastAsia="Arial" w:hAnsi="Arial"/>
          <w:b w:val="false"/>
          <w:bCs w:val="false"/>
          <w:i w:val="false"/>
          <w:iCs w:val="false"/>
          <w:color w:val="000000"/>
          <w:sz w:val="20"/>
          <w:szCs w:val="20"/>
        </w:rPr>
        <w:t xml:space="preserve">mapping UPDRS scores to two groups (Healthy vs PD)</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Binary classification was selected for the following reasons:</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It reduces model complexity, allowing faster development of a working prototype</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It requires fewer assumptions about class separability with a small dataset</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It aligns directly with a practical screening context — detecting the presence of disease before assessing its severity</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Labels were derived using two sources from the dataset, which were cross-referenced as a consistency check:</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Patient ID naming convention </w:t>
      </w:r>
      <w:r>
        <w:rPr>
          <w:rFonts w:ascii="Arial" w:cs="Arial" w:eastAsia="Arial" w:hAnsi="Arial"/>
          <w:b w:val="false"/>
          <w:bCs w:val="false"/>
          <w:i w:val="false"/>
          <w:iCs w:val="false"/>
          <w:color w:val="000000"/>
          <w:sz w:val="20"/>
          <w:szCs w:val="20"/>
        </w:rPr>
        <w:t xml:space="preserve">(e.g., file paths containing 'PD' indicating Parkinson's)</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UPDRS scores </w:t>
      </w:r>
      <w:r>
        <w:rPr>
          <w:rFonts w:ascii="Arial" w:cs="Arial" w:eastAsia="Arial" w:hAnsi="Arial"/>
          <w:b w:val="false"/>
          <w:bCs w:val="false"/>
          <w:i w:val="false"/>
          <w:iCs w:val="false"/>
          <w:color w:val="000000"/>
          <w:sz w:val="20"/>
          <w:szCs w:val="20"/>
        </w:rPr>
        <w:t xml:space="preserve">mapped to binary labels: scores 0–2 classed as Healthy, scores 3–4 as PD</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This dual-derivation approach acted as a built-in validation step — agreement between both methods increased confidence in the label assignment.</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The main limitation of this formulation is the loss of clinical granularity. Grouping all Parkinson's patients into a single class ignores the meaningful spectrum of impairment from mild tremor to near-complete loss of movement. This is addressed in Version 2 through a multiclass reformulation based on UPDRS severity groupings.</w:t>
      </w:r>
    </w:p>
    <w:p>
      <w:pPr>
        <w:pBdr>
          <w:bottom w:val="single" w:color="2E75B6" w:sz="8" w:space="4"/>
        </w:pBdr>
        <w:spacing w:before="320" w:after="120"/>
      </w:pPr>
      <w:r>
        <w:rPr>
          <w:rFonts w:ascii="Arial" w:cs="Arial" w:eastAsia="Arial" w:hAnsi="Arial"/>
          <w:b/>
          <w:bCs/>
          <w:i w:val="false"/>
          <w:iCs w:val="false"/>
          <w:color w:val="1F3864"/>
          <w:sz w:val="28"/>
          <w:szCs w:val="28"/>
        </w:rPr>
        <w:t xml:space="preserve">3. Dataset</w:t>
      </w:r>
    </w:p>
    <w:p>
      <w:pPr>
        <w:spacing w:before="80" w:after="80" w:line="276" w:lineRule="auto"/>
        <w:jc w:val="left"/>
      </w:pPr>
      <w:r>
        <w:rPr>
          <w:rFonts w:ascii="Arial" w:cs="Arial" w:eastAsia="Arial" w:hAnsi="Arial"/>
          <w:b w:val="false"/>
          <w:bCs w:val="false"/>
          <w:i w:val="false"/>
          <w:iCs w:val="false"/>
          <w:color w:val="000000"/>
          <w:sz w:val="20"/>
          <w:szCs w:val="20"/>
        </w:rPr>
        <w:t xml:space="preserve">The dataset consists of finger tapping recordings from approximately 130 participants, comprising both healthy individuals and patients with confirmed Parkinson's Disease. Each participant has the following associated data:</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Amplitude signal: </w:t>
      </w:r>
      <w:r>
        <w:rPr>
          <w:rFonts w:ascii="Arial" w:cs="Arial" w:eastAsia="Arial" w:hAnsi="Arial"/>
          <w:b w:val="false"/>
          <w:bCs w:val="false"/>
          <w:i w:val="false"/>
          <w:iCs w:val="false"/>
          <w:color w:val="000000"/>
          <w:sz w:val="20"/>
          <w:szCs w:val="20"/>
        </w:rPr>
        <w:t xml:space="preserve">a time-series recording of finger movement magnitude, captured as the distance between the index finger and thumb during tapping</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Time signal: </w:t>
      </w:r>
      <w:r>
        <w:rPr>
          <w:rFonts w:ascii="Arial" w:cs="Arial" w:eastAsia="Arial" w:hAnsi="Arial"/>
          <w:b w:val="false"/>
          <w:bCs w:val="false"/>
          <w:i w:val="false"/>
          <w:iCs w:val="false"/>
          <w:color w:val="000000"/>
          <w:sz w:val="20"/>
          <w:szCs w:val="20"/>
        </w:rPr>
        <w:t xml:space="preserve">corresponding timestamps for each sample in the amplitude signal</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UPDRS score: </w:t>
      </w:r>
      <w:r>
        <w:rPr>
          <w:rFonts w:ascii="Arial" w:cs="Arial" w:eastAsia="Arial" w:hAnsi="Arial"/>
          <w:b w:val="false"/>
          <w:bCs w:val="false"/>
          <w:i w:val="false"/>
          <w:iCs w:val="false"/>
          <w:color w:val="000000"/>
          <w:sz w:val="20"/>
          <w:szCs w:val="20"/>
        </w:rPr>
        <w:t xml:space="preserve">a clinical rating of motor impairment severity</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Patient ID: </w:t>
      </w:r>
      <w:r>
        <w:rPr>
          <w:rFonts w:ascii="Arial" w:cs="Arial" w:eastAsia="Arial" w:hAnsi="Arial"/>
          <w:b w:val="false"/>
          <w:bCs w:val="false"/>
          <w:i w:val="false"/>
          <w:iCs w:val="false"/>
          <w:color w:val="000000"/>
          <w:sz w:val="20"/>
          <w:szCs w:val="20"/>
        </w:rPr>
        <w:t xml:space="preserve">a file-path identifier indicating whether the participant is a Parkinson's patient</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Recordings are stored separately for each hand, organised into left and right hand directories. Each participant's signals are held in two plain text files: Amplitude.txt and Time.txt.</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3.1 Why Amplitude Signals Were Used</w:t>
      </w:r>
    </w:p>
    <w:p>
      <w:pPr>
        <w:spacing w:before="80" w:after="80" w:line="276" w:lineRule="auto"/>
        <w:jc w:val="left"/>
      </w:pPr>
      <w:r>
        <w:rPr>
          <w:rFonts w:ascii="Arial" w:cs="Arial" w:eastAsia="Arial" w:hAnsi="Arial"/>
          <w:b w:val="false"/>
          <w:bCs w:val="false"/>
          <w:i w:val="false"/>
          <w:iCs w:val="false"/>
          <w:color w:val="000000"/>
          <w:sz w:val="20"/>
          <w:szCs w:val="20"/>
        </w:rPr>
        <w:t xml:space="preserve">The amplitude signal was chosen as the primary input because it directly encodes the movement characteristics most relevant to Parkinson's assessment:</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Tap strength, reflected in peak amplitude values</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Consistency of movement, visible in amplitude variability across taps</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Fatigue-related decline, where amplitude progressively decreases over the test duration — a hallmark clinical indicator of Parkinson's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Velocity and frequency signals were not used in this baseline for two reasons: velocity can be derived directly from amplitude, making it redundant at this stage; and frequency analysis would have introduced additional complexity without a clear baseline benefit. The decision reflects a staged development strategy, keeping Version 1 focused and interpretable.</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3.2 Data Challenges</w:t>
      </w:r>
    </w:p>
    <w:p>
      <w:pPr>
        <w:spacing w:before="80" w:after="80" w:line="276" w:lineRule="auto"/>
        <w:jc w:val="left"/>
      </w:pPr>
      <w:r>
        <w:rPr>
          <w:rFonts w:ascii="Arial" w:cs="Arial" w:eastAsia="Arial" w:hAnsi="Arial"/>
          <w:b w:val="false"/>
          <w:bCs w:val="false"/>
          <w:i w:val="false"/>
          <w:iCs w:val="false"/>
          <w:color w:val="000000"/>
          <w:sz w:val="20"/>
          <w:szCs w:val="20"/>
        </w:rPr>
        <w:t xml:space="preserve">Several data quality issues were identified prior to preprocessing:</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Signal lengths varied across participants, with no fixed recording duration</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A small number of participants had missing or incomplete amplitude or time files</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Left and right hand recordings exhibited different signal characteristics, consistent with the known asymmetry of Parkinson's symptoms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These issues were addressed through the preprocessing pipeline described in Section 4.</w:t>
      </w:r>
    </w:p>
    <w:p>
      <w:pPr>
        <w:pBdr>
          <w:bottom w:val="single" w:color="2E75B6" w:sz="8" w:space="4"/>
        </w:pBdr>
        <w:spacing w:before="320" w:after="120"/>
      </w:pPr>
      <w:r>
        <w:rPr>
          <w:rFonts w:ascii="Arial" w:cs="Arial" w:eastAsia="Arial" w:hAnsi="Arial"/>
          <w:b/>
          <w:bCs/>
          <w:i w:val="false"/>
          <w:iCs w:val="false"/>
          <w:color w:val="1F3864"/>
          <w:sz w:val="28"/>
          <w:szCs w:val="28"/>
        </w:rPr>
        <w:t xml:space="preserve">4. Data Preprocessing</w:t>
      </w:r>
    </w:p>
    <w:p>
      <w:pPr>
        <w:spacing w:before="80" w:after="80" w:line="276" w:lineRule="auto"/>
        <w:jc w:val="left"/>
      </w:pPr>
      <w:r>
        <w:rPr>
          <w:rFonts w:ascii="Arial" w:cs="Arial" w:eastAsia="Arial" w:hAnsi="Arial"/>
          <w:b w:val="false"/>
          <w:bCs w:val="false"/>
          <w:i w:val="false"/>
          <w:iCs w:val="false"/>
          <w:color w:val="000000"/>
          <w:sz w:val="20"/>
          <w:szCs w:val="20"/>
        </w:rPr>
        <w:t xml:space="preserve">Raw signals required preprocessing before features could be extracted. The pipeline was designed to ensure that every participant's data entered the feature extraction stage in a consistent, reliable format, without distorting the underlying movement information.</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4.1 Signal Length Standardisation</w:t>
      </w:r>
    </w:p>
    <w:p>
      <w:pPr>
        <w:spacing w:before="80" w:after="80" w:line="276" w:lineRule="auto"/>
        <w:jc w:val="left"/>
      </w:pPr>
      <w:r>
        <w:rPr>
          <w:rFonts w:ascii="Arial" w:cs="Arial" w:eastAsia="Arial" w:hAnsi="Arial"/>
          <w:b w:val="false"/>
          <w:bCs w:val="false"/>
          <w:i w:val="false"/>
          <w:iCs w:val="false"/>
          <w:color w:val="000000"/>
          <w:sz w:val="20"/>
          <w:szCs w:val="20"/>
        </w:rPr>
        <w:t xml:space="preserve">Signal lengths varied substantially between participants. Machine learning models require fixed-length input, so all amplitude and time signals were standardised to 1800 samples — a value chosen to accommodate the longest recordings while being computationally manageable.</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Shorter signals were padded as follows:</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Amplitude signals: </w:t>
      </w:r>
      <w:r>
        <w:rPr>
          <w:rFonts w:ascii="Arial" w:cs="Arial" w:eastAsia="Arial" w:hAnsi="Arial"/>
          <w:b w:val="false"/>
          <w:bCs w:val="false"/>
          <w:i w:val="false"/>
          <w:iCs w:val="false"/>
          <w:color w:val="000000"/>
          <w:sz w:val="20"/>
          <w:szCs w:val="20"/>
        </w:rPr>
        <w:t xml:space="preserve">padded by repeating the last observed value (edge padding)</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Time signals: </w:t>
      </w:r>
      <w:r>
        <w:rPr>
          <w:rFonts w:ascii="Arial" w:cs="Arial" w:eastAsia="Arial" w:hAnsi="Arial"/>
          <w:b w:val="false"/>
          <w:bCs w:val="false"/>
          <w:i w:val="false"/>
          <w:iCs w:val="false"/>
          <w:color w:val="000000"/>
          <w:sz w:val="20"/>
          <w:szCs w:val="20"/>
        </w:rPr>
        <w:t xml:space="preserve">padded with a constant value of 30.0 seconds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This approach preserves the shape of the original signal up to its natural end, with the padding region remaining flat. While this introduces some artificial signal at the tail end, the effect is predictable and consistent across participants. This limitation is revisited and improved in Version 2.</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4.2 Handling Missing Files</w:t>
      </w:r>
    </w:p>
    <w:p>
      <w:pPr>
        <w:spacing w:before="80" w:after="80" w:line="276" w:lineRule="auto"/>
        <w:jc w:val="left"/>
      </w:pPr>
      <w:r>
        <w:rPr>
          <w:rFonts w:ascii="Arial" w:cs="Arial" w:eastAsia="Arial" w:hAnsi="Arial"/>
          <w:b w:val="false"/>
          <w:bCs w:val="false"/>
          <w:i w:val="false"/>
          <w:iCs w:val="false"/>
          <w:color w:val="000000"/>
          <w:sz w:val="20"/>
          <w:szCs w:val="20"/>
        </w:rPr>
        <w:t xml:space="preserve">Participants with missing amplitude or time files were excluded from the dataset entirely. Imputing missing signal data would introduce too much uncertainty given the clinical nature of the task. Only participants with complete, usable recordings were included in training and evaluation.</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4.3 Signal Smoothing</w:t>
      </w:r>
    </w:p>
    <w:p>
      <w:pPr>
        <w:spacing w:before="80" w:after="80" w:line="276" w:lineRule="auto"/>
        <w:jc w:val="left"/>
      </w:pPr>
      <w:r>
        <w:rPr>
          <w:rFonts w:ascii="Arial" w:cs="Arial" w:eastAsia="Arial" w:hAnsi="Arial"/>
          <w:b w:val="false"/>
          <w:bCs w:val="false"/>
          <w:i w:val="false"/>
          <w:iCs w:val="false"/>
          <w:color w:val="000000"/>
          <w:sz w:val="20"/>
          <w:szCs w:val="20"/>
        </w:rPr>
        <w:t xml:space="preserve">A Savitzky–Golay filter was applied to all amplitude signals to reduce high-frequency noise while preserving the structural features of the signal — particularly the peaks that correspond to individual taps.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Parameters used:</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Window length: </w:t>
      </w:r>
      <w:r>
        <w:rPr>
          <w:rFonts w:ascii="Arial" w:cs="Arial" w:eastAsia="Arial" w:hAnsi="Arial"/>
          <w:b w:val="false"/>
          <w:bCs w:val="false"/>
          <w:i w:val="false"/>
          <w:iCs w:val="false"/>
          <w:color w:val="000000"/>
          <w:sz w:val="20"/>
          <w:szCs w:val="20"/>
        </w:rPr>
        <w:t xml:space="preserve">7 samples</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Polynomial order: </w:t>
      </w:r>
      <w:r>
        <w:rPr>
          <w:rFonts w:ascii="Arial" w:cs="Arial" w:eastAsia="Arial" w:hAnsi="Arial"/>
          <w:b w:val="false"/>
          <w:bCs w:val="false"/>
          <w:i w:val="false"/>
          <w:iCs w:val="false"/>
          <w:color w:val="000000"/>
          <w:sz w:val="20"/>
          <w:szCs w:val="20"/>
        </w:rPr>
        <w:t xml:space="preserve">2</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These conservative settings were deliberately chosen to avoid over-smoothing. Aggressive smoothing risks distorting or merging adjacent peaks, which would corrupt the tap-based features extracted in the next stage. The Savitzky–Golay filter was preferred over a simple moving average because it better preserves peak sharpness while still attenuating noise.</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4.4 Time Signal Considerations</w:t>
      </w:r>
    </w:p>
    <w:p>
      <w:pPr>
        <w:spacing w:before="80" w:after="80" w:line="276" w:lineRule="auto"/>
        <w:jc w:val="left"/>
      </w:pPr>
      <w:r>
        <w:rPr>
          <w:rFonts w:ascii="Arial" w:cs="Arial" w:eastAsia="Arial" w:hAnsi="Arial"/>
          <w:b w:val="false"/>
          <w:bCs w:val="false"/>
          <w:i w:val="false"/>
          <w:iCs w:val="false"/>
          <w:color w:val="000000"/>
          <w:sz w:val="20"/>
          <w:szCs w:val="20"/>
        </w:rPr>
        <w:t xml:space="preserve">Padding the time signal with a constant value of 30.0 introduced repeated timestamps at the end of the signal. Directly using these timestamps in time-difference calculations (e.g., inter-tap interval) would produce artificial zero-duration intervals. To handle this, timing features were derived from peak indices where possible, rather than from raw timestamp differences, ensuring that the artificial padding region did not corrupt interval-based features.</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4.5 Design Justification</w:t>
      </w:r>
    </w:p>
    <w:p>
      <w:pPr>
        <w:spacing w:before="80" w:after="80" w:line="276" w:lineRule="auto"/>
        <w:jc w:val="left"/>
      </w:pPr>
      <w:r>
        <w:rPr>
          <w:rFonts w:ascii="Arial" w:cs="Arial" w:eastAsia="Arial" w:hAnsi="Arial"/>
          <w:b w:val="false"/>
          <w:bCs w:val="false"/>
          <w:i w:val="false"/>
          <w:iCs w:val="false"/>
          <w:color w:val="000000"/>
          <w:sz w:val="20"/>
          <w:szCs w:val="20"/>
        </w:rPr>
        <w:t xml:space="preserve">Alternative preprocessing approaches were considered and rejected. Truncating all signals to the shortest recording length would have discarded valid signal data from many participants. Aggressive filtering would have removed clinically relevant variation. The chosen pipeline — consistent padding, light smoothing, and index-based timing — represents a conservative approach that prioritises signal integrity over aggressive normalisation.</w:t>
      </w:r>
    </w:p>
    <w:p>
      <w:pPr>
        <w:pBdr>
          <w:bottom w:val="single" w:color="2E75B6" w:sz="8" w:space="4"/>
        </w:pBdr>
        <w:spacing w:before="320" w:after="120"/>
      </w:pPr>
      <w:r>
        <w:rPr>
          <w:rFonts w:ascii="Arial" w:cs="Arial" w:eastAsia="Arial" w:hAnsi="Arial"/>
          <w:b/>
          <w:bCs/>
          <w:i w:val="false"/>
          <w:iCs w:val="false"/>
          <w:color w:val="1F3864"/>
          <w:sz w:val="28"/>
          <w:szCs w:val="28"/>
        </w:rPr>
        <w:t xml:space="preserve">5. Feature Engineering</w:t>
      </w:r>
    </w:p>
    <w:p>
      <w:pPr>
        <w:spacing w:before="80" w:after="80" w:line="276" w:lineRule="auto"/>
        <w:jc w:val="left"/>
      </w:pPr>
      <w:r>
        <w:rPr>
          <w:rFonts w:ascii="Arial" w:cs="Arial" w:eastAsia="Arial" w:hAnsi="Arial"/>
          <w:b w:val="false"/>
          <w:bCs w:val="false"/>
          <w:i w:val="false"/>
          <w:iCs w:val="false"/>
          <w:color w:val="000000"/>
          <w:sz w:val="20"/>
          <w:szCs w:val="20"/>
        </w:rPr>
        <w:t xml:space="preserve">Rather than passing raw time-series signals directly into a model, explicit features were extracted from each participant's amplitude signal. This decision reflects both practical and clinical reasoning: traditional machine learning models perform better with compact, interpretable numerical inputs than with variable-length time-series, and the selected features map directly onto the movement characteristics that clinicians observe when scoring UPDRS.</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5.1 Peak Detection</w:t>
      </w:r>
    </w:p>
    <w:p>
      <w:pPr>
        <w:spacing w:before="80" w:after="80" w:line="276" w:lineRule="auto"/>
        <w:jc w:val="left"/>
      </w:pPr>
      <w:r>
        <w:rPr>
          <w:rFonts w:ascii="Arial" w:cs="Arial" w:eastAsia="Arial" w:hAnsi="Arial"/>
          <w:b w:val="false"/>
          <w:bCs w:val="false"/>
          <w:i w:val="false"/>
          <w:iCs w:val="false"/>
          <w:color w:val="000000"/>
          <w:sz w:val="20"/>
          <w:szCs w:val="20"/>
        </w:rPr>
        <w:t xml:space="preserve">Individual finger taps appear as local maxima (peaks) in the amplitude signal. These were identified using an adaptive peak detection algorithm that accounts for:</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Signal prominence, to filter out low-amplitude noise spikes</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Minimum inter-peak distance, to avoid splitting a single tap into multiple detections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The adaptivity of the detection approach is important because signal amplitude varies across participants — a fixed threshold would produce unreliable results across the dataset.</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5.2 Extracted Features and Clinical Mapping</w:t>
      </w:r>
    </w:p>
    <w:p>
      <w:pPr>
        <w:spacing w:before="80" w:after="80" w:line="276" w:lineRule="auto"/>
        <w:jc w:val="left"/>
      </w:pPr>
      <w:r>
        <w:rPr>
          <w:rFonts w:ascii="Arial" w:cs="Arial" w:eastAsia="Arial" w:hAnsi="Arial"/>
          <w:b w:val="false"/>
          <w:bCs w:val="false"/>
          <w:i w:val="false"/>
          <w:iCs w:val="false"/>
          <w:color w:val="000000"/>
          <w:sz w:val="20"/>
          <w:szCs w:val="20"/>
        </w:rPr>
        <w:t xml:space="preserve">The following eight features were extracted from each participant's signal. Each maps to a clinically observable characteristic of Parkinson's motor impairment:</w:t>
      </w:r>
    </w:p>
    <w:p>
      <w:pPr>
        <w:spacing w:before="0" w:after="6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Feature</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Description</w:t>
            </w:r>
          </w:p>
        </w:tc>
        <w:tc>
          <w:tcPr>
            <w:tcW w:type="dxa" w:w="22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Clinical Symptom</w:t>
            </w:r>
          </w:p>
        </w:tc>
        <w:tc>
          <w:tcPr>
            <w:tcW w:type="dxa" w:w="31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Rationale</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Number of taps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Total detected peaks in the signal</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Bradykinesia</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Parkinson's patients tap slower and produce fewer taps in the same time window</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Mean peak amplitude</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Average height of detected peaks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Movement strength reduction</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Reduced amplitude reflects diminished force and range of motion</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Std. dev. of peak amplitude</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Variability in peak heights across the signal</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Motor variability / instability</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Healthy individuals maintain consistent amplitude; Parkinson's patients do not</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Amplitude decrement</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Difference between early and late window peak amplitudes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Fatigue / progressive amplitude loss</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A hallmark Parkinson's sign — patients begin with near-normal amplitude which progressively decreases</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Mean inter-tap interval (ITI)</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Average time between consecutive taps</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Bradykinesia / movement speed</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Longer intervals indicate slowed movement, directly reflecting bradykinesia severity</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ITI standard deviation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Variability in the time between taps</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Rhythm irregularity</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Healthy individuals maintain a regular tapping rhythm; Parkinson's disrupts this consistency</w:t>
            </w:r>
          </w:p>
        </w:tc>
      </w:tr>
      <w:tr>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Coefficient of variation of ITI</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Normalised measure of ITI variability (std / mean)</w:t>
            </w:r>
          </w:p>
        </w:tc>
        <w:tc>
          <w:tcPr>
            <w:tcW w:type="dxa" w:w="22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Rhythm irregularity (normalised)</w:t>
            </w:r>
          </w:p>
        </w:tc>
        <w:tc>
          <w:tcPr>
            <w:tcW w:type="dxa" w:w="31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Scale-independent measure of rhythm consistency, comparable across participants regardless of tapping speed</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Long pauses (count and proportion)</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Count and proportion of inter-tap intervals exceeding a threshold</w:t>
            </w:r>
          </w:p>
        </w:tc>
        <w:tc>
          <w:tcPr>
            <w:tcW w:type="dxa" w:w="2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Hesitation / motor freezing</w:t>
            </w:r>
          </w:p>
        </w:tc>
        <w:tc>
          <w:tcPr>
            <w:tcW w:type="dxa" w:w="31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Captures moments where movement halts or hesitates — a clinically observable indicator of impaired motor control</w:t>
            </w:r>
          </w:p>
        </w:tc>
      </w:tr>
    </w:tbl>
    <w:p>
      <w:pPr>
        <w:spacing w:before="0" w:after="12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5.3 Why Feature Engineering Over Raw Signals</w:t>
      </w:r>
    </w:p>
    <w:p>
      <w:pPr>
        <w:spacing w:before="80" w:after="80" w:line="276" w:lineRule="auto"/>
        <w:jc w:val="left"/>
      </w:pPr>
      <w:r>
        <w:rPr>
          <w:rFonts w:ascii="Arial" w:cs="Arial" w:eastAsia="Arial" w:hAnsi="Arial"/>
          <w:b w:val="false"/>
          <w:bCs w:val="false"/>
          <w:i w:val="false"/>
          <w:iCs w:val="false"/>
          <w:color w:val="000000"/>
          <w:sz w:val="20"/>
          <w:szCs w:val="20"/>
        </w:rPr>
        <w:t xml:space="preserve">Feeding raw time-series signals directly into a model was considered but rejected for three reasons. First, raw signals vary in length and content across participants, making direct comparison problematic. Second, traditional machine learning models such as SVM are not well suited to variable-length sequence inputs. Third, engineered features provide interpretability — each feature corresponds to something a clinician can observe and reason about, which is important for a system intended to support clinical decision-making.</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Deep learning approaches capable of learning from raw signals (e.g., convolutional networks) were considered but excluded from Version 1 on the grounds of dataset size, training complexity, and reduced explainability.</w:t>
      </w:r>
    </w:p>
    <w:p>
      <w:pPr>
        <w:pBdr>
          <w:bottom w:val="single" w:color="2E75B6" w:sz="8" w:space="4"/>
        </w:pBdr>
        <w:spacing w:before="320" w:after="120"/>
      </w:pPr>
      <w:r>
        <w:rPr>
          <w:rFonts w:ascii="Arial" w:cs="Arial" w:eastAsia="Arial" w:hAnsi="Arial"/>
          <w:b/>
          <w:bCs/>
          <w:i w:val="false"/>
          <w:iCs w:val="false"/>
          <w:color w:val="1F3864"/>
          <w:sz w:val="28"/>
          <w:szCs w:val="28"/>
        </w:rPr>
        <w:t xml:space="preserve">6. Model Development</w:t>
      </w:r>
    </w:p>
    <w:p>
      <w:pPr>
        <w:spacing w:before="80" w:after="80" w:line="276" w:lineRule="auto"/>
        <w:jc w:val="left"/>
      </w:pPr>
      <w:r>
        <w:rPr>
          <w:rFonts w:ascii="Arial" w:cs="Arial" w:eastAsia="Arial" w:hAnsi="Arial"/>
          <w:b w:val="false"/>
          <w:bCs w:val="false"/>
          <w:i w:val="false"/>
          <w:iCs w:val="false"/>
          <w:color w:val="000000"/>
          <w:sz w:val="20"/>
          <w:szCs w:val="20"/>
        </w:rPr>
        <w:t xml:space="preserve">The Support Vector Machine (SVM) with an RBF kernel was selected as the primary classification model for Version 1. The choice was driven by well-established properties of SVMs that suit this problem context.</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6.1 Why SVM Was Selected</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SVMs perform well on small to medium-sized datasets where the number of features is non-trivial relative to sample count — which applies here</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The RBF kernel allows the model to learn non-linear decision boundaries without requiring manual feature transformation</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SVMs are relatively robust to the curse of dimensionality in the feature space</w:t>
      </w:r>
    </w:p>
    <w:p>
      <w:pPr>
        <w:pStyle w:val="ListParagraph"/>
        <w:numPr>
          <w:ilvl w:val="0"/>
          <w:numId w:val="2"/>
        </w:numPr>
        <w:spacing w:before="40" w:after="40" w:line="276" w:lineRule="auto"/>
      </w:pPr>
      <w:r>
        <w:rPr>
          <w:rFonts w:ascii="Arial" w:cs="Arial" w:eastAsia="Arial" w:hAnsi="Arial"/>
          <w:b w:val="false"/>
          <w:bCs w:val="false"/>
          <w:i w:val="false"/>
          <w:iCs w:val="false"/>
          <w:color w:val="000000"/>
          <w:sz w:val="20"/>
          <w:szCs w:val="20"/>
        </w:rPr>
        <w:t xml:space="preserve">Class weighting (class_weight='balanced') can be applied directly to account for class imbalance</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A Random Forest classifier was also considered for its interpretability and ensemble robustness, but SVM was prioritised as the primary model for this version given the small dataset size and the theoretical backing for SVM performance in that regime.</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6.2 Pipeline Design</w:t>
      </w:r>
    </w:p>
    <w:p>
      <w:pPr>
        <w:spacing w:before="80" w:after="80" w:line="276" w:lineRule="auto"/>
        <w:jc w:val="left"/>
      </w:pPr>
      <w:r>
        <w:rPr>
          <w:rFonts w:ascii="Arial" w:cs="Arial" w:eastAsia="Arial" w:hAnsi="Arial"/>
          <w:b w:val="false"/>
          <w:bCs w:val="false"/>
          <w:i w:val="false"/>
          <w:iCs w:val="false"/>
          <w:color w:val="000000"/>
          <w:sz w:val="20"/>
          <w:szCs w:val="20"/>
        </w:rPr>
        <w:t xml:space="preserve">The model was implemented as a scikit-learn pipeline consisting of two stages:</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StandardScaler: </w:t>
      </w:r>
      <w:r>
        <w:rPr>
          <w:rFonts w:ascii="Arial" w:cs="Arial" w:eastAsia="Arial" w:hAnsi="Arial"/>
          <w:b w:val="false"/>
          <w:bCs w:val="false"/>
          <w:i w:val="false"/>
          <w:iCs w:val="false"/>
          <w:color w:val="000000"/>
          <w:sz w:val="20"/>
          <w:szCs w:val="20"/>
        </w:rPr>
        <w:t xml:space="preserve">normalises each feature to zero mean and unit variance before it reaches the SVM</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SVC classifier: </w:t>
      </w:r>
      <w:r>
        <w:rPr>
          <w:rFonts w:ascii="Arial" w:cs="Arial" w:eastAsia="Arial" w:hAnsi="Arial"/>
          <w:b w:val="false"/>
          <w:bCs w:val="false"/>
          <w:i w:val="false"/>
          <w:iCs w:val="false"/>
          <w:color w:val="000000"/>
          <w:sz w:val="20"/>
          <w:szCs w:val="20"/>
        </w:rPr>
        <w:t xml:space="preserve">the SVM binary classifier with configured hyperparameters</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Encapsulating scaling within the pipeline is important to prevent data leakage — if scaling were applied to the full dataset before splitting, information from the test set would contaminate the scaler's parameters. The pipeline ensures scaling is fitted only on training data and applied consistently to test data.</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6.3 Hyperparameters</w:t>
      </w:r>
    </w:p>
    <w:p>
      <w:pPr>
        <w:spacing w:before="80" w:after="80" w:line="276" w:lineRule="auto"/>
        <w:jc w:val="left"/>
      </w:pPr>
      <w:r>
        <w:rPr>
          <w:rFonts w:ascii="Arial" w:cs="Arial" w:eastAsia="Arial" w:hAnsi="Arial"/>
          <w:b w:val="false"/>
          <w:bCs w:val="false"/>
          <w:i w:val="false"/>
          <w:iCs w:val="false"/>
          <w:color w:val="000000"/>
          <w:sz w:val="20"/>
          <w:szCs w:val="20"/>
        </w:rPr>
        <w:t xml:space="preserve">The following hyperparameter values were used:</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Kernel: </w:t>
      </w:r>
      <w:r>
        <w:rPr>
          <w:rFonts w:ascii="Arial" w:cs="Arial" w:eastAsia="Arial" w:hAnsi="Arial"/>
          <w:b w:val="false"/>
          <w:bCs w:val="false"/>
          <w:i w:val="false"/>
          <w:iCs w:val="false"/>
          <w:color w:val="000000"/>
          <w:sz w:val="20"/>
          <w:szCs w:val="20"/>
        </w:rPr>
        <w:t xml:space="preserve">RBF — selected for non-linear classification capability</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C = 0.5: </w:t>
      </w:r>
      <w:r>
        <w:rPr>
          <w:rFonts w:ascii="Arial" w:cs="Arial" w:eastAsia="Arial" w:hAnsi="Arial"/>
          <w:b w:val="false"/>
          <w:bCs w:val="false"/>
          <w:i w:val="false"/>
          <w:iCs w:val="false"/>
          <w:color w:val="000000"/>
          <w:sz w:val="20"/>
          <w:szCs w:val="20"/>
        </w:rPr>
        <w:t xml:space="preserve">a moderate regularisation value, reducing the risk of overfitting on the limited dataset</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Gamma = 'scale': </w:t>
      </w:r>
      <w:r>
        <w:rPr>
          <w:rFonts w:ascii="Arial" w:cs="Arial" w:eastAsia="Arial" w:hAnsi="Arial"/>
          <w:b w:val="false"/>
          <w:bCs w:val="false"/>
          <w:i w:val="false"/>
          <w:iCs w:val="false"/>
          <w:color w:val="000000"/>
          <w:sz w:val="20"/>
          <w:szCs w:val="20"/>
        </w:rPr>
        <w:t xml:space="preserve">automatically scales gamma relative to the number of features, avoiding manual tuning</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class_weight = 'balanced': </w:t>
      </w:r>
      <w:r>
        <w:rPr>
          <w:rFonts w:ascii="Arial" w:cs="Arial" w:eastAsia="Arial" w:hAnsi="Arial"/>
          <w:b w:val="false"/>
          <w:bCs w:val="false"/>
          <w:i w:val="false"/>
          <w:iCs w:val="false"/>
          <w:color w:val="000000"/>
          <w:sz w:val="20"/>
          <w:szCs w:val="20"/>
        </w:rPr>
        <w:t xml:space="preserve">adjusts class weights inversely proportional to class frequency, mitigating the effect of any class imbalance</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These parameters were selected through informed manual tuning rather than exhaustive search, prioritising stability and generalisation over maximising accuracy on the training set.</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6.4 Hand Separation</w:t>
      </w:r>
    </w:p>
    <w:p>
      <w:pPr>
        <w:spacing w:before="80" w:after="80" w:line="276" w:lineRule="auto"/>
        <w:jc w:val="left"/>
      </w:pPr>
      <w:r>
        <w:rPr>
          <w:rFonts w:ascii="Arial" w:cs="Arial" w:eastAsia="Arial" w:hAnsi="Arial"/>
          <w:b w:val="false"/>
          <w:bCs w:val="false"/>
          <w:i w:val="false"/>
          <w:iCs w:val="false"/>
          <w:color w:val="000000"/>
          <w:sz w:val="20"/>
          <w:szCs w:val="20"/>
        </w:rPr>
        <w:t xml:space="preserve">Separate models were trained for left hand and right hand data. This reflects a well-documented clinical characteristic of Parkinson's Disease — motor symptoms frequently present asymmetrically, with one side of the body more affected than the other at any given stage. Training independent models for each hand allows the system to capture this asymmetry rather than averaging it away through combined modelling.</w:t>
      </w:r>
    </w:p>
    <w:p>
      <w:pPr>
        <w:pBdr>
          <w:bottom w:val="single" w:color="2E75B6" w:sz="8" w:space="4"/>
        </w:pBdr>
        <w:spacing w:before="320" w:after="120"/>
      </w:pPr>
      <w:r>
        <w:rPr>
          <w:rFonts w:ascii="Arial" w:cs="Arial" w:eastAsia="Arial" w:hAnsi="Arial"/>
          <w:b/>
          <w:bCs/>
          <w:i w:val="false"/>
          <w:iCs w:val="false"/>
          <w:color w:val="1F3864"/>
          <w:sz w:val="28"/>
          <w:szCs w:val="28"/>
        </w:rPr>
        <w:t xml:space="preserve">7. Model Evaluation</w:t>
      </w:r>
    </w:p>
    <w:p>
      <w:pPr>
        <w:spacing w:before="240" w:after="80"/>
      </w:pPr>
      <w:r>
        <w:rPr>
          <w:rFonts w:ascii="Arial" w:cs="Arial" w:eastAsia="Arial" w:hAnsi="Arial"/>
          <w:b/>
          <w:bCs/>
          <w:i w:val="false"/>
          <w:iCs w:val="false"/>
          <w:color w:val="2E75B6"/>
          <w:sz w:val="22"/>
          <w:szCs w:val="22"/>
        </w:rPr>
        <w:t xml:space="preserve">7.1 Evaluation Approach</w:t>
      </w:r>
    </w:p>
    <w:p>
      <w:pPr>
        <w:spacing w:before="80" w:after="80" w:line="276" w:lineRule="auto"/>
        <w:jc w:val="left"/>
      </w:pPr>
      <w:r>
        <w:rPr>
          <w:rFonts w:ascii="Arial" w:cs="Arial" w:eastAsia="Arial" w:hAnsi="Arial"/>
          <w:b w:val="false"/>
          <w:bCs w:val="false"/>
          <w:i w:val="false"/>
          <w:iCs w:val="false"/>
          <w:color w:val="000000"/>
          <w:sz w:val="20"/>
          <w:szCs w:val="20"/>
        </w:rPr>
        <w:t xml:space="preserve">Model performance was assessed using stratified k-fold cross-validation with k = 5. Stratification ensures that each fold contains an approximately equal proportion of Healthy and PD samples, which is important given the limited dataset size and potential class imbalance. Cross-validation was preferred over a single train-test split in Version 1 because it provides a more reliable estimate of generalisation performance when data is limited — a single split can produce misleadingly optimistic or pessimistic results depending on which samples happen to land in the test set.</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7.2 Evaluation Metrics</w:t>
      </w:r>
    </w:p>
    <w:p>
      <w:pPr>
        <w:spacing w:before="80" w:after="80" w:line="276" w:lineRule="auto"/>
        <w:jc w:val="left"/>
      </w:pPr>
      <w:r>
        <w:rPr>
          <w:rFonts w:ascii="Arial" w:cs="Arial" w:eastAsia="Arial" w:hAnsi="Arial"/>
          <w:b w:val="false"/>
          <w:bCs w:val="false"/>
          <w:i w:val="false"/>
          <w:iCs w:val="false"/>
          <w:color w:val="000000"/>
          <w:sz w:val="20"/>
          <w:szCs w:val="20"/>
        </w:rPr>
        <w:t xml:space="preserve">The following metrics were computed for each fold and averaged across folds:</w:t>
      </w:r>
    </w:p>
    <w:p>
      <w:pPr>
        <w:spacing w:before="0" w:after="4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Accuracy: </w:t>
      </w:r>
      <w:r>
        <w:rPr>
          <w:rFonts w:ascii="Arial" w:cs="Arial" w:eastAsia="Arial" w:hAnsi="Arial"/>
          <w:b w:val="false"/>
          <w:bCs w:val="false"/>
          <w:i w:val="false"/>
          <w:iCs w:val="false"/>
          <w:color w:val="000000"/>
          <w:sz w:val="20"/>
          <w:szCs w:val="20"/>
        </w:rPr>
        <w:t xml:space="preserve">the proportion of correctly classified samples overall</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Precision: </w:t>
      </w:r>
      <w:r>
        <w:rPr>
          <w:rFonts w:ascii="Arial" w:cs="Arial" w:eastAsia="Arial" w:hAnsi="Arial"/>
          <w:b w:val="false"/>
          <w:bCs w:val="false"/>
          <w:i w:val="false"/>
          <w:iCs w:val="false"/>
          <w:color w:val="000000"/>
          <w:sz w:val="20"/>
          <w:szCs w:val="20"/>
        </w:rPr>
        <w:t xml:space="preserve">of all samples predicted as PD, the proportion that were genuinely PD</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Recall: </w:t>
      </w:r>
      <w:r>
        <w:rPr>
          <w:rFonts w:ascii="Arial" w:cs="Arial" w:eastAsia="Arial" w:hAnsi="Arial"/>
          <w:b w:val="false"/>
          <w:bCs w:val="false"/>
          <w:i w:val="false"/>
          <w:iCs w:val="false"/>
          <w:color w:val="000000"/>
          <w:sz w:val="20"/>
          <w:szCs w:val="20"/>
        </w:rPr>
        <w:t xml:space="preserve">of all true PD cases, the proportion that were correctly identified — this is particularly important in a clinical screening context where missed diagnoses carry greater risk than false positives</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F1 Score: </w:t>
      </w:r>
      <w:r>
        <w:rPr>
          <w:rFonts w:ascii="Arial" w:cs="Arial" w:eastAsia="Arial" w:hAnsi="Arial"/>
          <w:b w:val="false"/>
          <w:bCs w:val="false"/>
          <w:i w:val="false"/>
          <w:iCs w:val="false"/>
          <w:color w:val="000000"/>
          <w:sz w:val="20"/>
          <w:szCs w:val="20"/>
        </w:rPr>
        <w:t xml:space="preserve">the harmonic mean of precision and recall, providing a single balanced metric</w:t>
      </w:r>
    </w:p>
    <w:p>
      <w:pPr>
        <w:pStyle w:val="ListParagraph"/>
        <w:numPr>
          <w:ilvl w:val="0"/>
          <w:numId w:val="2"/>
        </w:numPr>
        <w:spacing w:before="40" w:after="40" w:line="276" w:lineRule="auto"/>
      </w:pPr>
      <w:r>
        <w:rPr>
          <w:rFonts w:ascii="Arial" w:cs="Arial" w:eastAsia="Arial" w:hAnsi="Arial"/>
          <w:b/>
          <w:bCs/>
          <w:i w:val="false"/>
          <w:iCs w:val="false"/>
          <w:color w:val="000000"/>
          <w:sz w:val="20"/>
          <w:szCs w:val="20"/>
        </w:rPr>
        <w:t xml:space="preserve">Confusion matrix: </w:t>
      </w:r>
      <w:r>
        <w:rPr>
          <w:rFonts w:ascii="Arial" w:cs="Arial" w:eastAsia="Arial" w:hAnsi="Arial"/>
          <w:b w:val="false"/>
          <w:bCs w:val="false"/>
          <w:i w:val="false"/>
          <w:iCs w:val="false"/>
          <w:color w:val="000000"/>
          <w:sz w:val="20"/>
          <w:szCs w:val="20"/>
        </w:rPr>
        <w:t xml:space="preserve">a 2×2 matrix showing the distribution of true positives, false positives, true negatives and false negatives, giving a clear picture of error type and direction</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7.3 Uncertainty Handling</w:t>
      </w:r>
    </w:p>
    <w:p>
      <w:pPr>
        <w:spacing w:before="80" w:after="80" w:line="276" w:lineRule="auto"/>
        <w:jc w:val="left"/>
      </w:pPr>
      <w:r>
        <w:rPr>
          <w:rFonts w:ascii="Arial" w:cs="Arial" w:eastAsia="Arial" w:hAnsi="Arial"/>
          <w:b w:val="false"/>
          <w:bCs w:val="false"/>
          <w:i w:val="false"/>
          <w:iCs w:val="false"/>
          <w:color w:val="000000"/>
          <w:sz w:val="20"/>
          <w:szCs w:val="20"/>
        </w:rPr>
        <w:t xml:space="preserve">An uncertainty threshold was introduced to handle borderline predictions. Cases where the model's predicted probability fell between 0.40 and 0.50 were flagged as 'unsure' rather than assigned a hard classification. This reflects the clinical reality that a screening tool should not make confident predictions in ambiguous cases — borderline outputs would appropriately trigger further clinical evaluation. This is a practical design consideration that improves the system's usefulness without requiring more data.</w:t>
      </w:r>
    </w:p>
    <w:p>
      <w:pPr>
        <w:pBdr>
          <w:bottom w:val="single" w:color="2E75B6" w:sz="8" w:space="4"/>
        </w:pBdr>
        <w:spacing w:before="320" w:after="120"/>
      </w:pPr>
      <w:r>
        <w:rPr>
          <w:rFonts w:ascii="Arial" w:cs="Arial" w:eastAsia="Arial" w:hAnsi="Arial"/>
          <w:b/>
          <w:bCs/>
          <w:i w:val="false"/>
          <w:iCs w:val="false"/>
          <w:color w:val="1F3864"/>
          <w:sz w:val="28"/>
          <w:szCs w:val="28"/>
        </w:rPr>
        <w:t xml:space="preserve">8. Limitations</w:t>
      </w:r>
    </w:p>
    <w:p>
      <w:pPr>
        <w:spacing w:before="80" w:after="80" w:line="276" w:lineRule="auto"/>
        <w:jc w:val="left"/>
      </w:pPr>
      <w:r>
        <w:rPr>
          <w:rFonts w:ascii="Arial" w:cs="Arial" w:eastAsia="Arial" w:hAnsi="Arial"/>
          <w:b w:val="false"/>
          <w:bCs w:val="false"/>
          <w:i w:val="false"/>
          <w:iCs w:val="false"/>
          <w:color w:val="000000"/>
          <w:sz w:val="20"/>
          <w:szCs w:val="20"/>
        </w:rPr>
        <w:t xml:space="preserve">The following limitations were identified in Version 1. These are presented transparently, as they directly motivated the design changes made in Version 2.</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8.1 Binary Classification</w:t>
      </w:r>
    </w:p>
    <w:p>
      <w:pPr>
        <w:spacing w:before="80" w:after="80" w:line="276" w:lineRule="auto"/>
        <w:jc w:val="left"/>
      </w:pPr>
      <w:r>
        <w:rPr>
          <w:rFonts w:ascii="Arial" w:cs="Arial" w:eastAsia="Arial" w:hAnsi="Arial"/>
          <w:b w:val="false"/>
          <w:bCs w:val="false"/>
          <w:i w:val="false"/>
          <w:iCs w:val="false"/>
          <w:color w:val="000000"/>
          <w:sz w:val="20"/>
          <w:szCs w:val="20"/>
        </w:rPr>
        <w:t xml:space="preserve">Grouping all Parkinson's patients into a single class discards clinically meaningful severity information. Two patients with UPDRS scores of 1 and 4 receive the same label, despite substantially different levels of impairment. This limits the system's utility for treatment planning or disease monitoring, which require severity-level outputs.</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8.2 Padding Artefacts</w:t>
      </w:r>
    </w:p>
    <w:p>
      <w:pPr>
        <w:spacing w:before="80" w:after="80" w:line="276" w:lineRule="auto"/>
        <w:jc w:val="left"/>
      </w:pPr>
      <w:r>
        <w:rPr>
          <w:rFonts w:ascii="Arial" w:cs="Arial" w:eastAsia="Arial" w:hAnsi="Arial"/>
          <w:b w:val="false"/>
          <w:bCs w:val="false"/>
          <w:i w:val="false"/>
          <w:iCs w:val="false"/>
          <w:color w:val="000000"/>
          <w:sz w:val="20"/>
          <w:szCs w:val="20"/>
        </w:rPr>
        <w:t xml:space="preserve">Edge-padding amplitude signals with the last observed value introduces an artificial flat region at the tail of each padded signal. While the feature extraction pipeline was designed to minimise its effect, the padding still adds synthetic data that is not physiologically meaningful. Mean-based padding, introduced in Version 2, is a more statistically neutral alternative.</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8.3 Feature Set Scope</w:t>
      </w:r>
    </w:p>
    <w:p>
      <w:pPr>
        <w:spacing w:before="80" w:after="80" w:line="276" w:lineRule="auto"/>
        <w:jc w:val="left"/>
      </w:pPr>
      <w:r>
        <w:rPr>
          <w:rFonts w:ascii="Arial" w:cs="Arial" w:eastAsia="Arial" w:hAnsi="Arial"/>
          <w:b w:val="false"/>
          <w:bCs w:val="false"/>
          <w:i w:val="false"/>
          <w:iCs w:val="false"/>
          <w:color w:val="000000"/>
          <w:sz w:val="20"/>
          <w:szCs w:val="20"/>
        </w:rPr>
        <w:t xml:space="preserve">Only amplitude-derived features were used. Frequency-domain analysis (e.g., dominant tapping frequency, spectral entropy) and nonlinear dynamics features (e.g., approximate entropy) were not explored. These could provide additional discriminating information, particularly for borderline cases.</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8.4 Dataset Size</w:t>
      </w:r>
    </w:p>
    <w:p>
      <w:pPr>
        <w:spacing w:before="80" w:after="80" w:line="276" w:lineRule="auto"/>
        <w:jc w:val="left"/>
      </w:pPr>
      <w:r>
        <w:rPr>
          <w:rFonts w:ascii="Arial" w:cs="Arial" w:eastAsia="Arial" w:hAnsi="Arial"/>
          <w:b w:val="false"/>
          <w:bCs w:val="false"/>
          <w:i w:val="false"/>
          <w:iCs w:val="false"/>
          <w:color w:val="000000"/>
          <w:sz w:val="20"/>
          <w:szCs w:val="20"/>
        </w:rPr>
        <w:t xml:space="preserve">The dataset contains approximately 130 participants. Cross-validation partially mitigates the instability this introduces in performance estimates, but the sample count still limits the model's ability to generalise to unseen populations. Some feature combinations that appear predictive on this dataset may not hold at scale.</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8.5 No Hyperparameter Optimisation</w:t>
      </w:r>
    </w:p>
    <w:p>
      <w:pPr>
        <w:spacing w:before="80" w:after="80" w:line="276" w:lineRule="auto"/>
        <w:jc w:val="left"/>
      </w:pPr>
      <w:r>
        <w:rPr>
          <w:rFonts w:ascii="Arial" w:cs="Arial" w:eastAsia="Arial" w:hAnsi="Arial"/>
          <w:b w:val="false"/>
          <w:bCs w:val="false"/>
          <w:i w:val="false"/>
          <w:iCs w:val="false"/>
          <w:color w:val="000000"/>
          <w:sz w:val="20"/>
          <w:szCs w:val="20"/>
        </w:rPr>
        <w:t xml:space="preserve">SVM hyperparameters were selected through informed manual tuning. A systematic search (e.g., grid search with cross-validation) would likely identify better-performing configurations, and would make the selection process more reproducible and defensible.</w:t>
      </w:r>
    </w:p>
    <w:p>
      <w:pPr>
        <w:spacing w:before="0" w:after="40"/>
      </w:pPr>
      <w:r>
        <w:rPr>
          <w:rFonts w:ascii="Arial" w:cs="Arial" w:eastAsia="Arial" w:hAnsi="Arial"/>
          <w:b w:val="false"/>
          <w:bCs w:val="false"/>
          <w:i w:val="false"/>
          <w:iCs w:val="false"/>
          <w:color w:val="000000"/>
          <w:sz w:val="20"/>
          <w:szCs w:val="20"/>
        </w:rPr>
        <w:t xml:space="preserve"/>
      </w:r>
    </w:p>
    <w:p>
      <w:pPr>
        <w:spacing w:before="240" w:after="80"/>
      </w:pPr>
      <w:r>
        <w:rPr>
          <w:rFonts w:ascii="Arial" w:cs="Arial" w:eastAsia="Arial" w:hAnsi="Arial"/>
          <w:b/>
          <w:bCs/>
          <w:i w:val="false"/>
          <w:iCs w:val="false"/>
          <w:color w:val="2E75B6"/>
          <w:sz w:val="22"/>
          <w:szCs w:val="22"/>
        </w:rPr>
        <w:t xml:space="preserve">8.6 Independent Hand Models</w:t>
      </w:r>
    </w:p>
    <w:p>
      <w:pPr>
        <w:spacing w:before="80" w:after="80" w:line="276" w:lineRule="auto"/>
        <w:jc w:val="left"/>
      </w:pPr>
      <w:r>
        <w:rPr>
          <w:rFonts w:ascii="Arial" w:cs="Arial" w:eastAsia="Arial" w:hAnsi="Arial"/>
          <w:b w:val="false"/>
          <w:bCs w:val="false"/>
          <w:i w:val="false"/>
          <w:iCs w:val="false"/>
          <w:color w:val="000000"/>
          <w:sz w:val="20"/>
          <w:szCs w:val="20"/>
        </w:rPr>
        <w:t xml:space="preserve">Training separate models for each hand prevents any cross-hand information from informing predictions. A combined or ensemble approach that considers both hands simultaneously could improve robustness, particularly in patients where one hand shows only subtle impairment.</w:t>
      </w:r>
    </w:p>
    <w:p>
      <w:pPr>
        <w:pBdr>
          <w:bottom w:val="single" w:color="2E75B6" w:sz="8" w:space="4"/>
        </w:pBdr>
        <w:spacing w:before="320" w:after="120"/>
      </w:pPr>
      <w:r>
        <w:rPr>
          <w:rFonts w:ascii="Arial" w:cs="Arial" w:eastAsia="Arial" w:hAnsi="Arial"/>
          <w:b/>
          <w:bCs/>
          <w:i w:val="false"/>
          <w:iCs w:val="false"/>
          <w:color w:val="1F3864"/>
          <w:sz w:val="28"/>
          <w:szCs w:val="28"/>
        </w:rPr>
        <w:t xml:space="preserve">9. Summary of Key Design Decisions</w:t>
      </w:r>
    </w:p>
    <w:p>
      <w:pPr>
        <w:spacing w:before="80" w:after="80" w:line="276" w:lineRule="auto"/>
        <w:jc w:val="left"/>
      </w:pPr>
      <w:r>
        <w:rPr>
          <w:rFonts w:ascii="Arial" w:cs="Arial" w:eastAsia="Arial" w:hAnsi="Arial"/>
          <w:b w:val="false"/>
          <w:bCs w:val="false"/>
          <w:i w:val="false"/>
          <w:iCs w:val="false"/>
          <w:color w:val="000000"/>
          <w:sz w:val="20"/>
          <w:szCs w:val="20"/>
        </w:rPr>
        <w:t xml:space="preserve">The following table summarises the principal design choices made in Version 1 and the rationale behind each:</w:t>
      </w:r>
    </w:p>
    <w:p>
      <w:pPr>
        <w:spacing w:before="0" w:after="8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Decision</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Choice Made</w:t>
            </w:r>
          </w:p>
        </w:tc>
        <w:tc>
          <w:tcPr>
            <w:tcW w:type="dxa" w:w="348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vAlign w:val="top"/>
          </w:tcPr>
          <w:p>
            <w:pPr>
              <w:spacing w:before="80" w:after="80" w:line="276" w:lineRule="auto"/>
              <w:jc w:val="left"/>
            </w:pPr>
            <w:r>
              <w:rPr>
                <w:rFonts w:ascii="Arial" w:cs="Arial" w:eastAsia="Arial" w:hAnsi="Arial"/>
                <w:b/>
                <w:bCs/>
                <w:i w:val="false"/>
                <w:iCs w:val="false"/>
                <w:color w:val="000000"/>
                <w:sz w:val="20"/>
                <w:szCs w:val="20"/>
              </w:rPr>
              <w:t xml:space="preserve">Rationale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Problem formulation</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Binary classification (Healthy vs PD)</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Simplifies initial development; aligns with screening use-case; appropriate for limited dataset</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Signal input</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Amplitude signal only</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Directly reflects movement quality; velocity derivable from amplitude; keeps baseline simple</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Padding strategy</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Edge padding (amplitude) + constant 30.0 (time)</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Preserves original signal shape; simple and consistent; later improved in V2</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Smoothing</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Savitzky–Golay filter (window=7, order=2)</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Reduces noise while preserving peak structure; conservative settings prevent over-smoothing</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Feature approach</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Extracted clinical features, not raw signals</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Interpretable; dimensionality-reduced; compatible with traditional ML</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Model</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SVM with RBF kernel</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Strong small-dataset performance; handles non-linear boundaries; supports class weighting</w:t>
            </w:r>
          </w:p>
        </w:tc>
      </w:tr>
      <w:tr>
        <w:tc>
          <w:tcPr>
            <w:tcW w:type="dxa" w:w="24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Evaluation</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Stratified 5-fold cross-validation</w:t>
            </w:r>
          </w:p>
        </w:tc>
        <w:tc>
          <w:tcPr>
            <w:tcW w:type="dxa" w:w="348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More reliable than single split on small dataset; stratification preserves class balance</w:t>
            </w:r>
          </w:p>
        </w:tc>
      </w:tr>
      <w:tr>
        <w:tc>
          <w:tcPr>
            <w:tcW w:type="dxa" w:w="2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Hand modelling</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Separate models per hand</w:t>
            </w:r>
          </w:p>
        </w:tc>
        <w:tc>
          <w:tcPr>
            <w:tcW w:type="dxa" w:w="348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vAlign w:val="top"/>
          </w:tcPr>
          <w:p>
            <w:pPr>
              <w:spacing w:before="80" w:after="80" w:line="276" w:lineRule="auto"/>
              <w:jc w:val="left"/>
            </w:pPr>
            <w:r>
              <w:rPr>
                <w:rFonts w:ascii="Arial" w:cs="Arial" w:eastAsia="Arial" w:hAnsi="Arial"/>
                <w:b w:val="false"/>
                <w:bCs w:val="false"/>
                <w:i w:val="false"/>
                <w:iCs w:val="false"/>
                <w:color w:val="000000"/>
                <w:sz w:val="18"/>
                <w:szCs w:val="18"/>
              </w:rPr>
              <w:t xml:space="preserve">Captures known motor asymmetry in Parkinson's Disease</w:t>
            </w:r>
          </w:p>
        </w:tc>
      </w:tr>
    </w:tbl>
    <w:p>
      <w:pPr>
        <w:pBdr>
          <w:bottom w:val="single" w:color="2E75B6" w:sz="8" w:space="4"/>
        </w:pBdr>
        <w:spacing w:before="320" w:after="120"/>
      </w:pPr>
      <w:r>
        <w:rPr>
          <w:rFonts w:ascii="Arial" w:cs="Arial" w:eastAsia="Arial" w:hAnsi="Arial"/>
          <w:b/>
          <w:bCs/>
          <w:i w:val="false"/>
          <w:iCs w:val="false"/>
          <w:color w:val="1F3864"/>
          <w:sz w:val="28"/>
          <w:szCs w:val="28"/>
        </w:rPr>
        <w:t xml:space="preserve">10. Transition to Version 2</w:t>
      </w:r>
    </w:p>
    <w:p>
      <w:pPr>
        <w:spacing w:before="80" w:after="80" w:line="276" w:lineRule="auto"/>
        <w:jc w:val="left"/>
      </w:pPr>
      <w:r>
        <w:rPr>
          <w:rFonts w:ascii="Arial" w:cs="Arial" w:eastAsia="Arial" w:hAnsi="Arial"/>
          <w:b w:val="false"/>
          <w:bCs w:val="false"/>
          <w:i w:val="false"/>
          <w:iCs w:val="false"/>
          <w:color w:val="000000"/>
          <w:sz w:val="20"/>
          <w:szCs w:val="20"/>
        </w:rPr>
        <w:t xml:space="preserve">Version 1 established a functional baseline pipeline covering data ingestion, preprocessing, feature extraction, binary classification, and evaluation. The system demonstrated that clinically meaningful features extracted from finger tapping signals carry sufficient discriminating information for Parkinson's detection.</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However, the binary formulation — while appropriate as a starting point — does not reflect how Parkinson's Disease is actually managed clinically. Clinicians are not only interested in whether a patient has the disease, but in how severe it is. This shapes treatment decisions, monitoring frequency, and care planning in ways that a binary output cannot support.</w:t>
      </w:r>
    </w:p>
    <w:p>
      <w:pPr>
        <w:spacing w:before="0" w:after="60"/>
      </w:pPr>
      <w:r>
        <w:rPr>
          <w:rFonts w:ascii="Arial" w:cs="Arial" w:eastAsia="Arial" w:hAnsi="Arial"/>
          <w:b w:val="false"/>
          <w:bCs w:val="false"/>
          <w:i w:val="false"/>
          <w:iCs w:val="false"/>
          <w:color w:val="000000"/>
          <w:sz w:val="20"/>
          <w:szCs w:val="20"/>
        </w:rPr>
        <w:t xml:space="preserve"/>
      </w:r>
    </w:p>
    <w:p>
      <w:pPr>
        <w:spacing w:before="80" w:after="80" w:line="276" w:lineRule="auto"/>
        <w:jc w:val="left"/>
      </w:pPr>
      <w:r>
        <w:rPr>
          <w:rFonts w:ascii="Arial" w:cs="Arial" w:eastAsia="Arial" w:hAnsi="Arial"/>
          <w:b w:val="false"/>
          <w:bCs w:val="false"/>
          <w:i w:val="false"/>
          <w:iCs w:val="false"/>
          <w:color w:val="000000"/>
          <w:sz w:val="20"/>
          <w:szCs w:val="20"/>
        </w:rPr>
        <w:t xml:space="preserve">Version 2 addresses this directly by reformulating the problem as a multiclass severity prediction task, using UPDRS-based groupings (Mild, Moderate, Severe). It also introduces a broader set of models — SVC, SVR, Random Forest, and a PyTorch MLP — to enable comparative evaluation and identify the most suitable approach for the severity prediction task.</w:t>
      </w:r>
    </w:p>
    <w:p>
      <w:pPr>
        <w:pBdr>
          <w:bottom w:val="single" w:color="2E75B6" w:sz="8" w:space="4"/>
        </w:pBdr>
        <w:spacing w:before="320" w:after="120"/>
      </w:pPr>
      <w:r>
        <w:rPr>
          <w:rFonts w:ascii="Arial" w:cs="Arial" w:eastAsia="Arial" w:hAnsi="Arial"/>
          <w:b/>
          <w:bCs/>
          <w:i w:val="false"/>
          <w:iCs w:val="false"/>
          <w:color w:val="1F3864"/>
          <w:sz w:val="28"/>
          <w:szCs w:val="28"/>
        </w:rPr>
        <w:t xml:space="preserve">11. References</w:t>
      </w:r>
    </w:p>
    <w:p>
      <w:pPr>
        <w:spacing w:before="80" w:after="80" w:line="276" w:lineRule="auto"/>
        <w:jc w:val="left"/>
      </w:pPr>
      <w:r>
        <w:rPr>
          <w:rFonts w:ascii="Arial" w:cs="Arial" w:eastAsia="Arial" w:hAnsi="Arial"/>
          <w:b w:val="false"/>
          <w:bCs w:val="false"/>
          <w:i w:val="false"/>
          <w:iCs w:val="false"/>
          <w:color w:val="000000"/>
          <w:sz w:val="20"/>
          <w:szCs w:val="20"/>
        </w:rPr>
        <w:t xml:space="preserve">National Health Service (NHS) (2023) Parkinson's disease overview. Available at: https://www.nhs.uk (Accessed: March 2026).</w:t>
      </w:r>
    </w:p>
    <w:p>
      <w:pPr>
        <w:spacing w:before="80" w:after="80" w:line="276" w:lineRule="auto"/>
        <w:jc w:val="left"/>
      </w:pPr>
      <w:r>
        <w:rPr>
          <w:rFonts w:ascii="Arial" w:cs="Arial" w:eastAsia="Arial" w:hAnsi="Arial"/>
          <w:b w:val="false"/>
          <w:bCs w:val="false"/>
          <w:i w:val="false"/>
          <w:iCs w:val="false"/>
          <w:color w:val="000000"/>
          <w:sz w:val="20"/>
          <w:szCs w:val="20"/>
        </w:rPr>
        <w:t xml:space="preserve">Parkinson's UK (2022) Understanding Parkinson's symptoms. Available at: https://www.parkinsons.org.uk (Accessed: March 2026).</w:t>
      </w:r>
    </w:p>
    <w:p>
      <w:pPr>
        <w:spacing w:before="80" w:after="80" w:line="276" w:lineRule="auto"/>
        <w:jc w:val="left"/>
      </w:pPr>
      <w:r>
        <w:rPr>
          <w:rFonts w:ascii="Arial" w:cs="Arial" w:eastAsia="Arial" w:hAnsi="Arial"/>
          <w:b w:val="false"/>
          <w:bCs w:val="false"/>
          <w:i w:val="false"/>
          <w:iCs w:val="false"/>
          <w:color w:val="000000"/>
          <w:sz w:val="20"/>
          <w:szCs w:val="20"/>
        </w:rPr>
        <w:t xml:space="preserve">Scikit-learn (2024) Machine learning in Python — documentation. Available at: https://scikit-learn.org (Accessed: March 2026).</w:t>
      </w:r>
    </w:p>
    <w:p>
      <w:pPr>
        <w:spacing w:before="80" w:after="80" w:line="276" w:lineRule="auto"/>
        <w:jc w:val="left"/>
      </w:pPr>
      <w:r>
        <w:rPr>
          <w:rFonts w:ascii="Arial" w:cs="Arial" w:eastAsia="Arial" w:hAnsi="Arial"/>
          <w:b w:val="false"/>
          <w:bCs w:val="false"/>
          <w:i w:val="false"/>
          <w:iCs w:val="false"/>
          <w:color w:val="000000"/>
          <w:sz w:val="20"/>
          <w:szCs w:val="20"/>
        </w:rPr>
        <w:t xml:space="preserve">Pedregosa, F. et al. (2011) Scikit-learn: Machine Learning in Python. Journal of Machine Learning Research, 12, pp. 2825–2830.</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2026-03-27T15:21:14.660Z</dcterms:created>
  <dcterms:modified xsi:type="dcterms:W3CDTF">2026-03-27T15:21:14.661Z</dcterms:modified>
</cp:coreProperties>
</file>

<file path=docProps/custom.xml><?xml version="1.0" encoding="utf-8"?>
<Properties xmlns="http://schemas.openxmlformats.org/officeDocument/2006/custom-properties" xmlns:vt="http://schemas.openxmlformats.org/officeDocument/2006/docPropsVTypes"/>
</file>