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Calibri" w:hAnsi="Calibri" w:eastAsia="Calibri"/>
          <w:b/>
          <w:i w:val="0"/>
          <w:color w:val="3D5A1F"/>
          <w:sz w:val="22"/>
        </w:rPr>
        <w:t>RESPONSABLE AI GOVERNANCE</w:t>
      </w:r>
    </w:p>
    <w:p>
      <w:pPr>
        <w:spacing w:after="80" w:before="0" w:line="240" w:lineRule="auto"/>
        <w:jc w:val="center"/>
      </w:pPr>
      <w:r>
        <w:rPr>
          <w:rFonts w:ascii="Calibri" w:hAnsi="Calibri" w:eastAsia="Calibri"/>
          <w:b/>
          <w:i w:val="0"/>
          <w:color w:val="1B2118"/>
          <w:sz w:val="56"/>
        </w:rPr>
        <w:t>Guía de usuario</w:t>
      </w:r>
    </w:p>
    <w:p>
      <w:pPr>
        <w:spacing w:after="360" w:before="0" w:line="240" w:lineRule="auto"/>
        <w:jc w:val="center"/>
      </w:pPr>
      <w:r>
        <w:rPr>
          <w:rFonts w:ascii="Calibri" w:hAnsi="Calibri" w:eastAsia="Calibri"/>
          <w:b w:val="0"/>
          <w:i w:val="0"/>
          <w:color w:val="4A5245"/>
          <w:sz w:val="32"/>
        </w:rPr>
        <w:t>Sistema de evaluación de riesgos de proveedores de IA</w:t>
      </w:r>
    </w:p>
    <w:p>
      <w:pPr>
        <w:spacing w:after="360" w:before="0" w:line="240" w:lineRule="auto"/>
        <w:jc w:val="center"/>
      </w:pPr>
      <w:r>
        <w:rPr>
          <w:rFonts w:ascii="Calibri" w:hAnsi="Calibri" w:eastAsia="Calibri"/>
          <w:b w:val="0"/>
          <w:i/>
          <w:color w:val="1B2118"/>
          <w:sz w:val="24"/>
        </w:rPr>
        <w:t>Documento para perfiles de negocio, legal, cumplimiento (compliance) y dirección.</w:t>
      </w:r>
    </w:p>
    <w:tbl>
      <w:tblPr>
        <w:tblStyle w:val="TableGrid"/>
        <w:tblW w:type="auto" w:w="0"/>
        <w:tblLayout w:type="autofit"/>
        <w:tblLook w:firstColumn="1" w:firstRow="1" w:lastColumn="0" w:lastRow="0" w:noHBand="0" w:noVBand="1" w:val="04A0"/>
      </w:tblPr>
      <w:tblGrid>
        <w:gridCol w:w="4873"/>
        <w:gridCol w:w="4873"/>
      </w:tblGrid>
      <w:tr>
        <w:tc>
          <w:tcPr>
            <w:tcW w:type="dxa" w:w="2551"/>
            <w:shd w:fill="1B2118" w:val="clear"/>
          </w:tcPr>
          <w:p>
            <w:pPr>
              <w:spacing w:after="40" w:before="40"/>
            </w:pPr>
            <w:r/>
            <w:r>
              <w:rPr>
                <w:rFonts w:ascii="Calibri" w:hAnsi="Calibri" w:eastAsia="Calibri"/>
                <w:b/>
                <w:i w:val="0"/>
                <w:color w:val="FFFFFF"/>
                <w:sz w:val="20"/>
              </w:rPr>
              <w:t>Campo</w:t>
            </w:r>
          </w:p>
        </w:tc>
        <w:tc>
          <w:tcPr>
            <w:tcW w:type="dxa" w:w="6803"/>
            <w:shd w:fill="1B2118" w:val="clear"/>
          </w:tcPr>
          <w:p>
            <w:pPr>
              <w:spacing w:after="40" w:before="40"/>
            </w:pPr>
            <w:r/>
            <w:r>
              <w:rPr>
                <w:rFonts w:ascii="Calibri" w:hAnsi="Calibri" w:eastAsia="Calibri"/>
                <w:b/>
                <w:i w:val="0"/>
                <w:color w:val="FFFFFF"/>
                <w:sz w:val="20"/>
              </w:rPr>
              <w:t>Valor</w:t>
            </w:r>
          </w:p>
        </w:tc>
      </w:tr>
      <w:tr>
        <w:tc>
          <w:tcPr>
            <w:tcW w:type="dxa" w:w="2551"/>
            <w:shd w:fill="FFFFFF" w:val="clear"/>
          </w:tcPr>
          <w:p>
            <w:pPr>
              <w:spacing w:after="40" w:before="40"/>
            </w:pPr>
            <w:r/>
            <w:r>
              <w:rPr>
                <w:rFonts w:ascii="Calibri" w:hAnsi="Calibri" w:eastAsia="Calibri"/>
                <w:b w:val="0"/>
                <w:i w:val="0"/>
                <w:color w:val="1B2118"/>
                <w:sz w:val="20"/>
              </w:rPr>
              <w:t>Versión</w:t>
            </w:r>
          </w:p>
        </w:tc>
        <w:tc>
          <w:tcPr>
            <w:tcW w:type="dxa" w:w="6803"/>
            <w:shd w:fill="FFFFFF" w:val="clear"/>
          </w:tcPr>
          <w:p>
            <w:pPr>
              <w:spacing w:after="40" w:before="40"/>
            </w:pPr>
            <w:r/>
            <w:r>
              <w:rPr>
                <w:rFonts w:ascii="Calibri" w:hAnsi="Calibri" w:eastAsia="Calibri"/>
                <w:b w:val="0"/>
                <w:i w:val="0"/>
                <w:color w:val="1B2118"/>
                <w:sz w:val="20"/>
              </w:rPr>
              <w:t>1.4</w:t>
            </w:r>
          </w:p>
        </w:tc>
      </w:tr>
      <w:tr>
        <w:tc>
          <w:tcPr>
            <w:tcW w:type="dxa" w:w="2551"/>
            <w:shd w:fill="F3F5EE" w:val="clear"/>
          </w:tcPr>
          <w:p>
            <w:pPr>
              <w:spacing w:after="40" w:before="40"/>
            </w:pPr>
            <w:r/>
            <w:r>
              <w:rPr>
                <w:rFonts w:ascii="Calibri" w:hAnsi="Calibri" w:eastAsia="Calibri"/>
                <w:b w:val="0"/>
                <w:i w:val="0"/>
                <w:color w:val="1B2118"/>
                <w:sz w:val="20"/>
              </w:rPr>
              <w:t>Fecha</w:t>
            </w:r>
          </w:p>
        </w:tc>
        <w:tc>
          <w:tcPr>
            <w:tcW w:type="dxa" w:w="6803"/>
            <w:shd w:fill="F3F5EE" w:val="clear"/>
          </w:tcPr>
          <w:p>
            <w:pPr>
              <w:spacing w:after="40" w:before="40"/>
            </w:pPr>
            <w:r/>
            <w:r>
              <w:rPr>
                <w:rFonts w:ascii="Calibri" w:hAnsi="Calibri" w:eastAsia="Calibri"/>
                <w:b w:val="0"/>
                <w:i w:val="0"/>
                <w:color w:val="1B2118"/>
                <w:sz w:val="20"/>
              </w:rPr>
              <w:t>14 de agosto de 2026</w:t>
            </w:r>
          </w:p>
        </w:tc>
      </w:tr>
      <w:tr>
        <w:tc>
          <w:tcPr>
            <w:tcW w:type="dxa" w:w="2551"/>
            <w:shd w:fill="FFFFFF" w:val="clear"/>
          </w:tcPr>
          <w:p>
            <w:pPr>
              <w:spacing w:after="40" w:before="40"/>
            </w:pPr>
            <w:r/>
            <w:r>
              <w:rPr>
                <w:rFonts w:ascii="Calibri" w:hAnsi="Calibri" w:eastAsia="Calibri"/>
                <w:b w:val="0"/>
                <w:i w:val="0"/>
                <w:color w:val="1B2118"/>
                <w:sz w:val="20"/>
              </w:rPr>
              <w:t>Audiencia</w:t>
            </w:r>
          </w:p>
        </w:tc>
        <w:tc>
          <w:tcPr>
            <w:tcW w:type="dxa" w:w="6803"/>
            <w:shd w:fill="FFFFFF" w:val="clear"/>
          </w:tcPr>
          <w:p>
            <w:pPr>
              <w:spacing w:after="40" w:before="40"/>
            </w:pPr>
            <w:r/>
            <w:r>
              <w:rPr>
                <w:rFonts w:ascii="Calibri" w:hAnsi="Calibri" w:eastAsia="Calibri"/>
                <w:b w:val="0"/>
                <w:i w:val="0"/>
                <w:color w:val="1B2118"/>
                <w:sz w:val="20"/>
              </w:rPr>
              <w:t>Negocio, Legal, Cumplimiento, Dirección, Seguridad (lectores no técnicos)</w:t>
            </w:r>
          </w:p>
        </w:tc>
      </w:tr>
      <w:tr>
        <w:tc>
          <w:tcPr>
            <w:tcW w:type="dxa" w:w="2551"/>
            <w:shd w:fill="F3F5EE" w:val="clear"/>
          </w:tcPr>
          <w:p>
            <w:pPr>
              <w:spacing w:after="40" w:before="40"/>
            </w:pPr>
            <w:r/>
            <w:r>
              <w:rPr>
                <w:rFonts w:ascii="Calibri" w:hAnsi="Calibri" w:eastAsia="Calibri"/>
                <w:b w:val="0"/>
                <w:i w:val="0"/>
                <w:color w:val="1B2118"/>
                <w:sz w:val="20"/>
              </w:rPr>
              <w:t>Clasificación</w:t>
            </w:r>
          </w:p>
        </w:tc>
        <w:tc>
          <w:tcPr>
            <w:tcW w:type="dxa" w:w="6803"/>
            <w:shd w:fill="F3F5EE" w:val="clear"/>
          </w:tcPr>
          <w:p>
            <w:pPr>
              <w:spacing w:after="40" w:before="40"/>
            </w:pPr>
            <w:r/>
            <w:r>
              <w:rPr>
                <w:rFonts w:ascii="Calibri" w:hAnsi="Calibri" w:eastAsia="Calibri"/>
                <w:b w:val="0"/>
                <w:i w:val="0"/>
                <w:color w:val="1B2118"/>
                <w:sz w:val="20"/>
              </w:rPr>
              <w:t>Uso interno</w:t>
            </w:r>
          </w:p>
        </w:tc>
      </w:tr>
      <w:tr>
        <w:tc>
          <w:tcPr>
            <w:tcW w:type="dxa" w:w="2551"/>
            <w:shd w:fill="FFFFFF" w:val="clear"/>
          </w:tcPr>
          <w:p>
            <w:pPr>
              <w:spacing w:after="40" w:before="40"/>
            </w:pPr>
            <w:r/>
            <w:r>
              <w:rPr>
                <w:rFonts w:ascii="Calibri" w:hAnsi="Calibri" w:eastAsia="Calibri"/>
                <w:b w:val="0"/>
                <w:i w:val="0"/>
                <w:color w:val="1B2118"/>
                <w:sz w:val="20"/>
              </w:rPr>
              <w:t>Propósito</w:t>
            </w:r>
          </w:p>
        </w:tc>
        <w:tc>
          <w:tcPr>
            <w:tcW w:type="dxa" w:w="6803"/>
            <w:shd w:fill="FFFFFF" w:val="clear"/>
          </w:tcPr>
          <w:p>
            <w:pPr>
              <w:spacing w:after="40" w:before="40"/>
            </w:pPr>
            <w:r/>
            <w:r>
              <w:rPr>
                <w:rFonts w:ascii="Calibri" w:hAnsi="Calibri" w:eastAsia="Calibri"/>
                <w:b w:val="0"/>
                <w:i w:val="0"/>
                <w:color w:val="1B2118"/>
                <w:sz w:val="20"/>
              </w:rPr>
              <w:t>Explicar qué hace la herramienta, cómo usarla, qué decide y qué no decide</w:t>
            </w:r>
          </w:p>
        </w:tc>
      </w:tr>
      <w:tr>
        <w:tc>
          <w:tcPr>
            <w:tcW w:type="dxa" w:w="2551"/>
            <w:shd w:fill="F3F5EE" w:val="clear"/>
          </w:tcPr>
          <w:p>
            <w:pPr>
              <w:spacing w:after="40" w:before="40"/>
            </w:pPr>
            <w:r/>
            <w:r>
              <w:rPr>
                <w:rFonts w:ascii="Calibri" w:hAnsi="Calibri" w:eastAsia="Calibri"/>
                <w:b w:val="0"/>
                <w:i w:val="0"/>
                <w:color w:val="1B2118"/>
                <w:sz w:val="20"/>
              </w:rPr>
              <w:t>Complementa</w:t>
            </w:r>
          </w:p>
        </w:tc>
        <w:tc>
          <w:tcPr>
            <w:tcW w:type="dxa" w:w="6803"/>
            <w:shd w:fill="F3F5EE" w:val="clear"/>
          </w:tcPr>
          <w:p>
            <w:pPr>
              <w:spacing w:after="40" w:before="40"/>
            </w:pPr>
            <w:r/>
            <w:r>
              <w:rPr>
                <w:rFonts w:ascii="Calibri" w:hAnsi="Calibri" w:eastAsia="Calibri"/>
                <w:b w:val="0"/>
                <w:i w:val="0"/>
                <w:color w:val="1B2118"/>
                <w:sz w:val="20"/>
              </w:rPr>
              <w:t>No sustituye un dictamen jurídico ni un contrato firmado</w:t>
            </w:r>
          </w:p>
        </w:tc>
      </w:tr>
    </w:tbl>
    <w:p/>
    <w:p>
      <w:pPr>
        <w:pStyle w:val="Heading1"/>
        <w:spacing w:before="320" w:after="160"/>
      </w:pPr>
      <w:r>
        <w:rPr>
          <w:rFonts w:ascii="Calibri" w:hAnsi="Calibri"/>
          <w:color w:val="3D5A1F"/>
        </w:rPr>
        <w:t>1. En una página</w:t>
      </w:r>
    </w:p>
    <w:p>
      <w:pPr>
        <w:spacing w:after="160" w:before="0" w:line="240" w:lineRule="auto"/>
      </w:pPr>
      <w:r>
        <w:rPr>
          <w:rFonts w:ascii="Calibri" w:hAnsi="Calibri" w:eastAsia="Calibri"/>
          <w:b w:val="0"/>
          <w:i w:val="0"/>
          <w:color w:val="1B2118"/>
          <w:sz w:val="22"/>
        </w:rPr>
        <w:t>Esta aplicación es un asistente de gobernanza para revisar el riesgo de un proveedor, plataforma o servicio de inteligencia artificial antes de contratarlo o usarlo en la empresa.</w:t>
      </w:r>
    </w:p>
    <w:p>
      <w:pPr>
        <w:spacing w:after="160" w:before="0" w:line="240" w:lineRule="auto"/>
      </w:pPr>
      <w:r>
        <w:rPr>
          <w:rFonts w:ascii="Calibri" w:hAnsi="Calibri" w:eastAsia="Calibri"/>
          <w:b w:val="0"/>
          <w:i w:val="0"/>
          <w:color w:val="1B2118"/>
          <w:sz w:val="22"/>
        </w:rPr>
        <w:t>Usted introduce datos del proveedor en el panel izquierdo. A la derecha verá la decisión en castellano, el riesgo residual, tres columnas (hallazgos, evidencia que falta, tareas) y un chat. El chat solo responde con la evaluación de esa sesión: no inventa documentos ni da consejo legal genérico.</w:t>
      </w:r>
    </w:p>
    <w:p>
      <w:pPr>
        <w:pStyle w:val="Heading2"/>
        <w:spacing w:before="240" w:after="160"/>
      </w:pPr>
      <w:r>
        <w:rPr>
          <w:rFonts w:ascii="Calibri" w:hAnsi="Calibri"/>
          <w:color w:val="1B2118"/>
        </w:rPr>
        <w:t>Qué hace y qué no hace</w:t>
      </w:r>
    </w:p>
    <w:tbl>
      <w:tblPr>
        <w:tblStyle w:val="TableGrid"/>
        <w:tblW w:type="auto" w:w="0"/>
        <w:tblLayout w:type="autofit"/>
        <w:tblLook w:firstColumn="1" w:firstRow="1" w:lastColumn="0" w:lastRow="0" w:noHBand="0" w:noVBand="1" w:val="04A0"/>
      </w:tblPr>
      <w:tblGrid>
        <w:gridCol w:w="4873"/>
        <w:gridCol w:w="4873"/>
      </w:tblGrid>
      <w:tr>
        <w:tc>
          <w:tcPr>
            <w:tcW w:type="dxa" w:w="4649"/>
            <w:shd w:fill="1B2118" w:val="clear"/>
          </w:tcPr>
          <w:p>
            <w:pPr>
              <w:spacing w:after="40" w:before="40"/>
            </w:pPr>
            <w:r/>
            <w:r>
              <w:rPr>
                <w:rFonts w:ascii="Calibri" w:hAnsi="Calibri" w:eastAsia="Calibri"/>
                <w:b/>
                <w:i w:val="0"/>
                <w:color w:val="FFFFFF"/>
                <w:sz w:val="20"/>
              </w:rPr>
              <w:t>Sí hace</w:t>
            </w:r>
          </w:p>
        </w:tc>
        <w:tc>
          <w:tcPr>
            <w:tcW w:type="dxa" w:w="4649"/>
            <w:shd w:fill="1B2118" w:val="clear"/>
          </w:tcPr>
          <w:p>
            <w:pPr>
              <w:spacing w:after="40" w:before="40"/>
            </w:pPr>
            <w:r/>
            <w:r>
              <w:rPr>
                <w:rFonts w:ascii="Calibri" w:hAnsi="Calibri" w:eastAsia="Calibri"/>
                <w:b/>
                <w:i w:val="0"/>
                <w:color w:val="FFFFFF"/>
                <w:sz w:val="20"/>
              </w:rPr>
              <w:t>No hace</w:t>
            </w:r>
          </w:p>
        </w:tc>
      </w:tr>
      <w:tr>
        <w:tc>
          <w:tcPr>
            <w:tcW w:type="dxa" w:w="4649"/>
            <w:shd w:fill="FFFFFF" w:val="clear"/>
          </w:tcPr>
          <w:p>
            <w:pPr>
              <w:spacing w:after="40" w:before="40"/>
            </w:pPr>
            <w:r/>
            <w:r>
              <w:rPr>
                <w:rFonts w:ascii="Calibri" w:hAnsi="Calibri" w:eastAsia="Calibri"/>
                <w:b w:val="0"/>
                <w:i w:val="0"/>
                <w:color w:val="1B2118"/>
                <w:sz w:val="20"/>
              </w:rPr>
              <w:t>Estructura la revisión de un proveedor de IA con una metodología fija.</w:t>
            </w:r>
          </w:p>
        </w:tc>
        <w:tc>
          <w:tcPr>
            <w:tcW w:type="dxa" w:w="4649"/>
            <w:shd w:fill="FFFFFF" w:val="clear"/>
          </w:tcPr>
          <w:p>
            <w:pPr>
              <w:spacing w:after="40" w:before="40"/>
            </w:pPr>
            <w:r/>
            <w:r>
              <w:rPr>
                <w:rFonts w:ascii="Calibri" w:hAnsi="Calibri" w:eastAsia="Calibri"/>
                <w:b w:val="0"/>
                <w:i w:val="0"/>
                <w:color w:val="1B2118"/>
                <w:sz w:val="20"/>
              </w:rPr>
              <w:t>No sustituye el criterio de Legal, Privacidad, Seguridad ni Dirección.</w:t>
            </w:r>
          </w:p>
        </w:tc>
      </w:tr>
      <w:tr>
        <w:tc>
          <w:tcPr>
            <w:tcW w:type="dxa" w:w="4649"/>
            <w:shd w:fill="F3F5EE" w:val="clear"/>
          </w:tcPr>
          <w:p>
            <w:pPr>
              <w:spacing w:after="40" w:before="40"/>
            </w:pPr>
            <w:r/>
            <w:r>
              <w:rPr>
                <w:rFonts w:ascii="Calibri" w:hAnsi="Calibri" w:eastAsia="Calibri"/>
                <w:b w:val="0"/>
                <w:i w:val="0"/>
                <w:color w:val="1B2118"/>
                <w:sz w:val="20"/>
              </w:rPr>
              <w:t>Señala huecos de evidencia (contratos, DPA, informes de seguridad).</w:t>
            </w:r>
          </w:p>
        </w:tc>
        <w:tc>
          <w:tcPr>
            <w:tcW w:type="dxa" w:w="4649"/>
            <w:shd w:fill="F3F5EE" w:val="clear"/>
          </w:tcPr>
          <w:p>
            <w:pPr>
              <w:spacing w:after="40" w:before="40"/>
            </w:pPr>
            <w:r/>
            <w:r>
              <w:rPr>
                <w:rFonts w:ascii="Calibri" w:hAnsi="Calibri" w:eastAsia="Calibri"/>
                <w:b w:val="0"/>
                <w:i w:val="0"/>
                <w:color w:val="1B2118"/>
                <w:sz w:val="20"/>
              </w:rPr>
              <w:t>No certifica cumplimiento de GDPR, Reglamento de IA de la UE u otras normas.</w:t>
            </w:r>
          </w:p>
        </w:tc>
      </w:tr>
      <w:tr>
        <w:tc>
          <w:tcPr>
            <w:tcW w:type="dxa" w:w="4649"/>
            <w:shd w:fill="FFFFFF" w:val="clear"/>
          </w:tcPr>
          <w:p>
            <w:pPr>
              <w:spacing w:after="40" w:before="40"/>
            </w:pPr>
            <w:r/>
            <w:r>
              <w:rPr>
                <w:rFonts w:ascii="Calibri" w:hAnsi="Calibri" w:eastAsia="Calibri"/>
                <w:b w:val="0"/>
                <w:i w:val="0"/>
                <w:color w:val="1B2118"/>
                <w:sz w:val="20"/>
              </w:rPr>
              <w:t>Propone tareas concretas (p. ej. firmar un DPA) en formato Jira.</w:t>
            </w:r>
          </w:p>
        </w:tc>
        <w:tc>
          <w:tcPr>
            <w:tcW w:type="dxa" w:w="4649"/>
            <w:shd w:fill="FFFFFF" w:val="clear"/>
          </w:tcPr>
          <w:p>
            <w:pPr>
              <w:spacing w:after="40" w:before="40"/>
            </w:pPr>
            <w:r/>
            <w:r>
              <w:rPr>
                <w:rFonts w:ascii="Calibri" w:hAnsi="Calibri" w:eastAsia="Calibri"/>
                <w:b w:val="0"/>
                <w:i w:val="0"/>
                <w:color w:val="1B2118"/>
                <w:sz w:val="20"/>
              </w:rPr>
              <w:t>No publica automáticamente los tickets en Jira salvo que TI lo conecte después.</w:t>
            </w:r>
          </w:p>
        </w:tc>
      </w:tr>
      <w:tr>
        <w:tc>
          <w:tcPr>
            <w:tcW w:type="dxa" w:w="4649"/>
            <w:shd w:fill="F3F5EE" w:val="clear"/>
          </w:tcPr>
          <w:p>
            <w:pPr>
              <w:spacing w:after="40" w:before="40"/>
            </w:pPr>
            <w:r/>
            <w:r>
              <w:rPr>
                <w:rFonts w:ascii="Calibri" w:hAnsi="Calibri" w:eastAsia="Calibri"/>
                <w:b w:val="0"/>
                <w:i w:val="0"/>
                <w:color w:val="1B2118"/>
                <w:sz w:val="20"/>
              </w:rPr>
              <w:t>Mantiene un tono estricto: si no hay prueba, marca «evidencia no encontrada».</w:t>
            </w:r>
          </w:p>
        </w:tc>
        <w:tc>
          <w:tcPr>
            <w:tcW w:type="dxa" w:w="4649"/>
            <w:shd w:fill="F3F5EE" w:val="clear"/>
          </w:tcPr>
          <w:p>
            <w:pPr>
              <w:spacing w:after="40" w:before="40"/>
            </w:pPr>
            <w:r/>
            <w:r>
              <w:rPr>
                <w:rFonts w:ascii="Calibri" w:hAnsi="Calibri" w:eastAsia="Calibri"/>
                <w:b w:val="0"/>
                <w:i w:val="0"/>
                <w:color w:val="1B2118"/>
                <w:sz w:val="20"/>
              </w:rPr>
              <w:t>No aprueba un proveedor solo porque el proveedor afirma que es seguro.</w:t>
            </w:r>
          </w:p>
        </w:tc>
      </w:tr>
    </w:tbl>
    <w:p/>
    <w:p>
      <w:pPr>
        <w:pStyle w:val="Heading1"/>
        <w:spacing w:before="320" w:after="160"/>
      </w:pPr>
      <w:r>
        <w:rPr>
          <w:rFonts w:ascii="Calibri" w:hAnsi="Calibri"/>
          <w:color w:val="3D5A1F"/>
        </w:rPr>
        <w:t>2. ¿Para quién es?</w:t>
      </w:r>
    </w:p>
    <w:tbl>
      <w:tblPr>
        <w:tblStyle w:val="TableGrid"/>
        <w:tblW w:type="auto" w:w="0"/>
        <w:tblLayout w:type="autofit"/>
        <w:tblLook w:firstColumn="1" w:firstRow="1" w:lastColumn="0" w:lastRow="0" w:noHBand="0" w:noVBand="1" w:val="04A0"/>
      </w:tblPr>
      <w:tblGrid>
        <w:gridCol w:w="4873"/>
        <w:gridCol w:w="4873"/>
      </w:tblGrid>
      <w:tr>
        <w:tc>
          <w:tcPr>
            <w:tcW w:type="dxa" w:w="2551"/>
            <w:shd w:fill="1B2118" w:val="clear"/>
          </w:tcPr>
          <w:p>
            <w:pPr>
              <w:spacing w:after="40" w:before="40"/>
            </w:pPr>
            <w:r/>
            <w:r>
              <w:rPr>
                <w:rFonts w:ascii="Calibri" w:hAnsi="Calibri" w:eastAsia="Calibri"/>
                <w:b/>
                <w:i w:val="0"/>
                <w:color w:val="FFFFFF"/>
                <w:sz w:val="20"/>
              </w:rPr>
              <w:t>Perfil</w:t>
            </w:r>
          </w:p>
        </w:tc>
        <w:tc>
          <w:tcPr>
            <w:tcW w:type="dxa" w:w="6803"/>
            <w:shd w:fill="1B2118" w:val="clear"/>
          </w:tcPr>
          <w:p>
            <w:pPr>
              <w:spacing w:after="40" w:before="40"/>
            </w:pPr>
            <w:r/>
            <w:r>
              <w:rPr>
                <w:rFonts w:ascii="Calibri" w:hAnsi="Calibri" w:eastAsia="Calibri"/>
                <w:b/>
                <w:i w:val="0"/>
                <w:color w:val="FFFFFF"/>
                <w:sz w:val="20"/>
              </w:rPr>
              <w:t>Cómo la usa</w:t>
            </w:r>
          </w:p>
        </w:tc>
      </w:tr>
      <w:tr>
        <w:tc>
          <w:tcPr>
            <w:tcW w:type="dxa" w:w="2551"/>
            <w:shd w:fill="FFFFFF" w:val="clear"/>
          </w:tcPr>
          <w:p>
            <w:pPr>
              <w:spacing w:after="40" w:before="40"/>
            </w:pPr>
            <w:r/>
            <w:r>
              <w:rPr>
                <w:rFonts w:ascii="Calibri" w:hAnsi="Calibri" w:eastAsia="Calibri"/>
                <w:b w:val="0"/>
                <w:i w:val="0"/>
                <w:color w:val="1B2118"/>
                <w:sz w:val="20"/>
              </w:rPr>
              <w:t>Negocio / dueño del caso de uso</w:t>
            </w:r>
          </w:p>
        </w:tc>
        <w:tc>
          <w:tcPr>
            <w:tcW w:type="dxa" w:w="6803"/>
            <w:shd w:fill="FFFFFF" w:val="clear"/>
          </w:tcPr>
          <w:p>
            <w:pPr>
              <w:spacing w:after="40" w:before="40"/>
            </w:pPr>
            <w:r/>
            <w:r>
              <w:rPr>
                <w:rFonts w:ascii="Calibri" w:hAnsi="Calibri" w:eastAsia="Calibri"/>
                <w:b w:val="0"/>
                <w:i w:val="0"/>
                <w:color w:val="1B2118"/>
                <w:sz w:val="20"/>
              </w:rPr>
              <w:t>Inicia la evaluación al proponer un proveedor. Completa para qué se usará y qué datos se enviarán.</w:t>
            </w:r>
          </w:p>
        </w:tc>
      </w:tr>
      <w:tr>
        <w:tc>
          <w:tcPr>
            <w:tcW w:type="dxa" w:w="2551"/>
            <w:shd w:fill="F3F5EE" w:val="clear"/>
          </w:tcPr>
          <w:p>
            <w:pPr>
              <w:spacing w:after="40" w:before="40"/>
            </w:pPr>
            <w:r/>
            <w:r>
              <w:rPr>
                <w:rFonts w:ascii="Calibri" w:hAnsi="Calibri" w:eastAsia="Calibri"/>
                <w:b w:val="0"/>
                <w:i w:val="0"/>
                <w:color w:val="1B2118"/>
                <w:sz w:val="20"/>
              </w:rPr>
              <w:t>Legal / Privacidad</w:t>
            </w:r>
          </w:p>
        </w:tc>
        <w:tc>
          <w:tcPr>
            <w:tcW w:type="dxa" w:w="6803"/>
            <w:shd w:fill="F3F5EE" w:val="clear"/>
          </w:tcPr>
          <w:p>
            <w:pPr>
              <w:spacing w:after="40" w:before="40"/>
            </w:pPr>
            <w:r/>
            <w:r>
              <w:rPr>
                <w:rFonts w:ascii="Calibri" w:hAnsi="Calibri" w:eastAsia="Calibri"/>
                <w:b w:val="0"/>
                <w:i w:val="0"/>
                <w:color w:val="1B2118"/>
                <w:sz w:val="20"/>
              </w:rPr>
              <w:t>Revisa la decisión, los huecos de DPA y transferencias, y las tareas propuestas antes de firmar.</w:t>
            </w:r>
          </w:p>
        </w:tc>
      </w:tr>
      <w:tr>
        <w:tc>
          <w:tcPr>
            <w:tcW w:type="dxa" w:w="2551"/>
            <w:shd w:fill="FFFFFF" w:val="clear"/>
          </w:tcPr>
          <w:p>
            <w:pPr>
              <w:spacing w:after="40" w:before="40"/>
            </w:pPr>
            <w:r/>
            <w:r>
              <w:rPr>
                <w:rFonts w:ascii="Calibri" w:hAnsi="Calibri" w:eastAsia="Calibri"/>
                <w:b w:val="0"/>
                <w:i w:val="0"/>
                <w:color w:val="1B2118"/>
                <w:sz w:val="20"/>
              </w:rPr>
              <w:t>Cumplimiento / GRC</w:t>
            </w:r>
          </w:p>
        </w:tc>
        <w:tc>
          <w:tcPr>
            <w:tcW w:type="dxa" w:w="6803"/>
            <w:shd w:fill="FFFFFF" w:val="clear"/>
          </w:tcPr>
          <w:p>
            <w:pPr>
              <w:spacing w:after="40" w:before="40"/>
            </w:pPr>
            <w:r/>
            <w:r>
              <w:rPr>
                <w:rFonts w:ascii="Calibri" w:hAnsi="Calibri" w:eastAsia="Calibri"/>
                <w:b w:val="0"/>
                <w:i w:val="0"/>
                <w:color w:val="1B2118"/>
                <w:sz w:val="20"/>
              </w:rPr>
              <w:t>Usa el informe como trazabilidad: decisión, hallazgos, mapeo a NIST AI RMF e ISO 42001.</w:t>
            </w:r>
          </w:p>
        </w:tc>
      </w:tr>
      <w:tr>
        <w:tc>
          <w:tcPr>
            <w:tcW w:type="dxa" w:w="2551"/>
            <w:shd w:fill="F3F5EE" w:val="clear"/>
          </w:tcPr>
          <w:p>
            <w:pPr>
              <w:spacing w:after="40" w:before="40"/>
            </w:pPr>
            <w:r/>
            <w:r>
              <w:rPr>
                <w:rFonts w:ascii="Calibri" w:hAnsi="Calibri" w:eastAsia="Calibri"/>
                <w:b w:val="0"/>
                <w:i w:val="0"/>
                <w:color w:val="1B2118"/>
                <w:sz w:val="20"/>
              </w:rPr>
              <w:t>Seguridad</w:t>
            </w:r>
          </w:p>
        </w:tc>
        <w:tc>
          <w:tcPr>
            <w:tcW w:type="dxa" w:w="6803"/>
            <w:shd w:fill="F3F5EE" w:val="clear"/>
          </w:tcPr>
          <w:p>
            <w:pPr>
              <w:spacing w:after="40" w:before="40"/>
            </w:pPr>
            <w:r/>
            <w:r>
              <w:rPr>
                <w:rFonts w:ascii="Calibri" w:hAnsi="Calibri" w:eastAsia="Calibri"/>
                <w:b w:val="0"/>
                <w:i w:val="0"/>
                <w:color w:val="1B2118"/>
                <w:sz w:val="20"/>
              </w:rPr>
              <w:t>Toma las tareas de evidencia (SOC 2, residencia de datos, incidentes) y las valida con el proveedor.</w:t>
            </w:r>
          </w:p>
        </w:tc>
      </w:tr>
      <w:tr>
        <w:tc>
          <w:tcPr>
            <w:tcW w:type="dxa" w:w="2551"/>
            <w:shd w:fill="FFFFFF" w:val="clear"/>
          </w:tcPr>
          <w:p>
            <w:pPr>
              <w:spacing w:after="40" w:before="40"/>
            </w:pPr>
            <w:r/>
            <w:r>
              <w:rPr>
                <w:rFonts w:ascii="Calibri" w:hAnsi="Calibri" w:eastAsia="Calibri"/>
                <w:b w:val="0"/>
                <w:i w:val="0"/>
                <w:color w:val="1B2118"/>
                <w:sz w:val="20"/>
              </w:rPr>
              <w:t>Dirección</w:t>
            </w:r>
          </w:p>
        </w:tc>
        <w:tc>
          <w:tcPr>
            <w:tcW w:type="dxa" w:w="6803"/>
            <w:shd w:fill="FFFFFF" w:val="clear"/>
          </w:tcPr>
          <w:p>
            <w:pPr>
              <w:spacing w:after="40" w:before="40"/>
            </w:pPr>
            <w:r/>
            <w:r>
              <w:rPr>
                <w:rFonts w:ascii="Calibri" w:hAnsi="Calibri" w:eastAsia="Calibri"/>
                <w:b w:val="0"/>
                <w:i w:val="0"/>
                <w:color w:val="1B2118"/>
                <w:sz w:val="20"/>
              </w:rPr>
              <w:t>Lee la franja superior (decisión y riesgo) y, si hace falta, pulsa «Copiar informe». No necesita el formulario ni el chat.</w:t>
            </w:r>
          </w:p>
        </w:tc>
      </w:tr>
    </w:tbl>
    <w:p/>
    <w:p>
      <w:pPr>
        <w:pStyle w:val="Heading1"/>
        <w:spacing w:before="320" w:after="160"/>
      </w:pPr>
      <w:r>
        <w:rPr>
          <w:rFonts w:ascii="Calibri" w:hAnsi="Calibri"/>
          <w:color w:val="3D5A1F"/>
        </w:rPr>
        <w:t>3. Beneficios para el negocio</w:t>
      </w:r>
    </w:p>
    <w:p>
      <w:pPr>
        <w:pStyle w:val="ListBullet"/>
        <w:spacing w:after="80"/>
      </w:pPr>
      <w:r>
        <w:rPr>
          <w:rFonts w:ascii="Calibri" w:hAnsi="Calibri" w:eastAsia="Calibri"/>
          <w:b/>
          <w:i w:val="0"/>
          <w:color w:val="1B2118"/>
          <w:sz w:val="22"/>
        </w:rPr>
        <w:t>Decisiones claras:</w:t>
      </w:r>
      <w:r>
        <w:rPr>
          <w:rFonts w:ascii="Calibri" w:hAnsi="Calibri" w:eastAsia="Calibri"/>
          <w:b w:val="0"/>
          <w:i w:val="0"/>
          <w:color w:val="1B2118"/>
          <w:sz w:val="22"/>
        </w:rPr>
        <w:t xml:space="preserve"> una decisión explícita (aprobar, aprobar con condiciones, exigir corrección, escalar o rechazar) en lugar de un informe ambiguo.</w:t>
      </w:r>
    </w:p>
    <w:p>
      <w:pPr>
        <w:pStyle w:val="ListBullet"/>
        <w:spacing w:after="80"/>
      </w:pPr>
      <w:r>
        <w:rPr>
          <w:rFonts w:ascii="Calibri" w:hAnsi="Calibri" w:eastAsia="Calibri"/>
          <w:b/>
          <w:i w:val="0"/>
          <w:color w:val="1B2118"/>
          <w:sz w:val="22"/>
        </w:rPr>
        <w:t>Objetividad:</w:t>
      </w:r>
      <w:r>
        <w:rPr>
          <w:rFonts w:ascii="Calibri" w:hAnsi="Calibri" w:eastAsia="Calibri"/>
          <w:b w:val="0"/>
          <w:i w:val="0"/>
          <w:color w:val="1B2118"/>
          <w:sz w:val="22"/>
        </w:rPr>
        <w:t xml:space="preserve"> el sistema no «rellena» controles que nadie ha demostrado. Eso reduce el riesgo de aprobar por marketing del proveedor.</w:t>
      </w:r>
    </w:p>
    <w:p>
      <w:pPr>
        <w:pStyle w:val="ListBullet"/>
        <w:spacing w:after="80"/>
      </w:pPr>
      <w:r>
        <w:rPr>
          <w:rFonts w:ascii="Calibri" w:hAnsi="Calibri" w:eastAsia="Calibri"/>
          <w:b/>
          <w:i w:val="0"/>
          <w:color w:val="1B2118"/>
          <w:sz w:val="22"/>
        </w:rPr>
        <w:t>Alineación normativa:</w:t>
      </w:r>
      <w:r>
        <w:rPr>
          <w:rFonts w:ascii="Calibri" w:hAnsi="Calibri" w:eastAsia="Calibri"/>
          <w:b w:val="0"/>
          <w:i w:val="0"/>
          <w:color w:val="1B2118"/>
          <w:sz w:val="22"/>
        </w:rPr>
        <w:t xml:space="preserve"> GDPR, Reglamento de IA de la UE, NIS2 o DORA se tratan como aplicables o no según lo que usted indique; no se declara cumplimiento sin prueba.</w:t>
      </w:r>
    </w:p>
    <w:p>
      <w:pPr>
        <w:pStyle w:val="ListBullet"/>
        <w:spacing w:after="80"/>
      </w:pPr>
      <w:r>
        <w:rPr>
          <w:rFonts w:ascii="Calibri" w:hAnsi="Calibri" w:eastAsia="Calibri"/>
          <w:b/>
          <w:i w:val="0"/>
          <w:color w:val="1B2118"/>
          <w:sz w:val="22"/>
        </w:rPr>
        <w:t>Puente con los equipos:</w:t>
      </w:r>
      <w:r>
        <w:rPr>
          <w:rFonts w:ascii="Calibri" w:hAnsi="Calibri" w:eastAsia="Calibri"/>
          <w:b w:val="0"/>
          <w:i w:val="0"/>
          <w:color w:val="1B2118"/>
          <w:sz w:val="22"/>
        </w:rPr>
        <w:t xml:space="preserve"> cada hallazgo alto o crítico se convierte en una tarea con descripción, evidencia y remediación, lista para el tablero AIGOV.</w:t>
      </w:r>
    </w:p>
    <w:p>
      <w:pPr>
        <w:pStyle w:val="ListBullet"/>
        <w:spacing w:after="80"/>
      </w:pPr>
      <w:r>
        <w:rPr>
          <w:rFonts w:ascii="Calibri" w:hAnsi="Calibri" w:eastAsia="Calibri"/>
          <w:b/>
          <w:i w:val="0"/>
          <w:color w:val="1B2118"/>
          <w:sz w:val="22"/>
        </w:rPr>
        <w:t>Trazabilidad:</w:t>
      </w:r>
      <w:r>
        <w:rPr>
          <w:rFonts w:ascii="Calibri" w:hAnsi="Calibri" w:eastAsia="Calibri"/>
          <w:b w:val="0"/>
          <w:i w:val="0"/>
          <w:color w:val="1B2118"/>
          <w:sz w:val="22"/>
        </w:rPr>
        <w:t xml:space="preserve"> el chat responde solo sobre esa evaluación, lo que facilita auditorías internas («¿por qué se escaló?»).</w:t>
      </w:r>
    </w:p>
    <w:p>
      <w:pPr>
        <w:pStyle w:val="Heading1"/>
        <w:spacing w:before="320" w:after="160"/>
      </w:pPr>
      <w:r>
        <w:rPr>
          <w:rFonts w:ascii="Calibri" w:hAnsi="Calibri"/>
          <w:color w:val="3D5A1F"/>
        </w:rPr>
        <w:t>4. Cómo acceder</w:t>
      </w:r>
    </w:p>
    <w:p>
      <w:pPr>
        <w:spacing w:after="160" w:before="0" w:line="240" w:lineRule="auto"/>
      </w:pPr>
      <w:r>
        <w:rPr>
          <w:rFonts w:ascii="Calibri" w:hAnsi="Calibri" w:eastAsia="Calibri"/>
          <w:b w:val="0"/>
          <w:i w:val="0"/>
          <w:color w:val="1B2118"/>
          <w:sz w:val="22"/>
        </w:rPr>
        <w:t>En el entorno local de demostración, abra en el navegador:</w:t>
      </w:r>
    </w:p>
    <w:p>
      <w:pPr>
        <w:spacing w:after="200" w:before="0" w:line="240" w:lineRule="auto"/>
      </w:pPr>
      <w:r>
        <w:rPr>
          <w:rFonts w:ascii="Calibri" w:hAnsi="Calibri" w:eastAsia="Calibri"/>
          <w:b/>
          <w:i w:val="0"/>
          <w:color w:val="1B2118"/>
          <w:sz w:val="22"/>
        </w:rPr>
        <w:t>http://127.0.0.1:8000</w:t>
      </w:r>
    </w:p>
    <w:p>
      <w:pPr>
        <w:spacing w:after="160" w:before="0" w:line="240" w:lineRule="auto"/>
      </w:pPr>
      <w:r>
        <w:rPr>
          <w:rFonts w:ascii="Calibri" w:hAnsi="Calibri" w:eastAsia="Calibri"/>
          <w:b w:val="0"/>
          <w:i w:val="0"/>
          <w:color w:val="1B2118"/>
          <w:sz w:val="22"/>
        </w:rPr>
        <w:t>En producción, TI publicará la dirección corporativa. No se requiere instalar nada en el puesto de trabajo: se usa como una página web.</w:t>
      </w:r>
    </w:p>
    <w:p>
      <w:pPr>
        <w:spacing w:after="160" w:before="0" w:line="240" w:lineRule="auto"/>
      </w:pPr>
      <w:r>
        <w:rPr>
          <w:rFonts w:ascii="Calibri" w:hAnsi="Calibri" w:eastAsia="Calibri"/>
          <w:b w:val="0"/>
          <w:i w:val="0"/>
          <w:color w:val="1B2118"/>
          <w:sz w:val="22"/>
        </w:rPr>
        <w:t>En la esquina inferior izquierda verá el modo: «completo» o «simulador». No aparece jerga técnica. Ambos modos producen una decisión y tareas; el modo completo permite preguntas más libres en el chat.</w:t>
      </w:r>
    </w:p>
    <w:p>
      <w:pPr>
        <w:pStyle w:val="Heading1"/>
        <w:spacing w:before="320" w:after="160"/>
      </w:pPr>
      <w:r>
        <w:rPr>
          <w:rFonts w:ascii="Calibri" w:hAnsi="Calibri"/>
          <w:color w:val="3D5A1F"/>
        </w:rPr>
        <w:t>5. Recorrido visual de la consola: cada zona, para qué vale</w:t>
      </w:r>
    </w:p>
    <w:p>
      <w:pPr>
        <w:spacing w:after="160" w:before="0" w:line="240" w:lineRule="auto"/>
      </w:pPr>
      <w:r>
        <w:rPr>
          <w:rFonts w:ascii="Calibri" w:hAnsi="Calibri" w:eastAsia="Calibri"/>
          <w:b w:val="0"/>
          <w:i w:val="0"/>
          <w:color w:val="1B2118"/>
          <w:sz w:val="22"/>
        </w:rPr>
        <w:t>La consola no usa pestañas de navegador clásicas (Archivo, Editar…). Es una sola pantalla dividida en zonas. Cada zona tiene un propósito distinto. Si mezcla las zonas —por ejemplo, tratar el chat como si fuera el dictamen de Legal— el proceso pierde rigor.</w:t>
      </w:r>
    </w:p>
    <w:p>
      <w:pPr>
        <w:spacing w:after="160" w:before="0" w:line="240" w:lineRule="auto"/>
      </w:pPr>
      <w:r>
        <w:rPr>
          <w:rFonts w:ascii="Calibri" w:hAnsi="Calibri" w:eastAsia="Calibri"/>
          <w:b w:val="0"/>
          <w:i w:val="0"/>
          <w:color w:val="1B2118"/>
          <w:sz w:val="22"/>
        </w:rPr>
        <w:t>A la izquierda está el expediente de entrada (lo que usted declara). A la derecha está el expediente de salida (lo que el sistema concluye). El chat no sustituye ni a la izquierda ni a las tres columnas: solo explica lo que ya salió en el informe.</w:t>
      </w:r>
    </w:p>
    <w:p>
      <w:pPr>
        <w:pStyle w:val="Heading2"/>
        <w:spacing w:before="240" w:after="160"/>
      </w:pPr>
      <w:r>
        <w:rPr>
          <w:rFonts w:ascii="Calibri" w:hAnsi="Calibri"/>
          <w:color w:val="1B2118"/>
        </w:rPr>
        <w:t>5.1 Vista de conjunto</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1928"/>
            <w:shd w:fill="1B2118" w:val="clear"/>
          </w:tcPr>
          <w:p>
            <w:pPr>
              <w:spacing w:after="40" w:before="40"/>
            </w:pPr>
            <w:r/>
            <w:r>
              <w:rPr>
                <w:rFonts w:ascii="Calibri" w:hAnsi="Calibri" w:eastAsia="Calibri"/>
                <w:b/>
                <w:i w:val="0"/>
                <w:color w:val="FFFFFF"/>
                <w:sz w:val="20"/>
              </w:rPr>
              <w:t>Zona en pantalla</w:t>
            </w:r>
          </w:p>
        </w:tc>
        <w:tc>
          <w:tcPr>
            <w:tcW w:type="dxa" w:w="2381"/>
            <w:shd w:fill="1B2118" w:val="clear"/>
          </w:tcPr>
          <w:p>
            <w:pPr>
              <w:spacing w:after="40" w:before="40"/>
            </w:pPr>
            <w:r/>
            <w:r>
              <w:rPr>
                <w:rFonts w:ascii="Calibri" w:hAnsi="Calibri" w:eastAsia="Calibri"/>
                <w:b/>
                <w:i w:val="0"/>
                <w:color w:val="FFFFFF"/>
                <w:sz w:val="20"/>
              </w:rPr>
              <w:t>Nombre que verá</w:t>
            </w:r>
          </w:p>
        </w:tc>
        <w:tc>
          <w:tcPr>
            <w:tcW w:type="dxa" w:w="2494"/>
            <w:shd w:fill="1B2118" w:val="clear"/>
          </w:tcPr>
          <w:p>
            <w:pPr>
              <w:spacing w:after="40" w:before="40"/>
            </w:pPr>
            <w:r/>
            <w:r>
              <w:rPr>
                <w:rFonts w:ascii="Calibri" w:hAnsi="Calibri" w:eastAsia="Calibri"/>
                <w:b/>
                <w:i w:val="0"/>
                <w:color w:val="FFFFFF"/>
                <w:sz w:val="20"/>
              </w:rPr>
              <w:t>Qué hace</w:t>
            </w:r>
          </w:p>
        </w:tc>
        <w:tc>
          <w:tcPr>
            <w:tcW w:type="dxa" w:w="2494"/>
            <w:shd w:fill="1B2118" w:val="clear"/>
          </w:tcPr>
          <w:p>
            <w:pPr>
              <w:spacing w:after="40" w:before="40"/>
            </w:pPr>
            <w:r/>
            <w:r>
              <w:rPr>
                <w:rFonts w:ascii="Calibri" w:hAnsi="Calibri" w:eastAsia="Calibri"/>
                <w:b/>
                <w:i w:val="0"/>
                <w:color w:val="FFFFFF"/>
                <w:sz w:val="20"/>
              </w:rPr>
              <w:t>Para qué vale</w:t>
            </w:r>
          </w:p>
        </w:tc>
      </w:tr>
      <w:tr>
        <w:tc>
          <w:tcPr>
            <w:tcW w:type="dxa" w:w="1928"/>
            <w:shd w:fill="FFFFFF" w:val="clear"/>
          </w:tcPr>
          <w:p>
            <w:pPr>
              <w:spacing w:after="40" w:before="40"/>
            </w:pPr>
            <w:r/>
            <w:r>
              <w:rPr>
                <w:rFonts w:ascii="Calibri" w:hAnsi="Calibri" w:eastAsia="Calibri"/>
                <w:b w:val="0"/>
                <w:i w:val="0"/>
                <w:color w:val="1B2118"/>
                <w:sz w:val="20"/>
              </w:rPr>
              <w:t>Columna izquierda, arriba</w:t>
            </w:r>
          </w:p>
        </w:tc>
        <w:tc>
          <w:tcPr>
            <w:tcW w:type="dxa" w:w="2381"/>
            <w:shd w:fill="FFFFFF" w:val="clear"/>
          </w:tcPr>
          <w:p>
            <w:pPr>
              <w:spacing w:after="40" w:before="40"/>
            </w:pPr>
            <w:r/>
            <w:r>
              <w:rPr>
                <w:rFonts w:ascii="Calibri" w:hAnsi="Calibri" w:eastAsia="Calibri"/>
                <w:b w:val="0"/>
                <w:i w:val="0"/>
                <w:color w:val="1B2118"/>
                <w:sz w:val="20"/>
              </w:rPr>
              <w:t>Título «Evaluación de proveedores»</w:t>
            </w:r>
          </w:p>
        </w:tc>
        <w:tc>
          <w:tcPr>
            <w:tcW w:type="dxa" w:w="2494"/>
            <w:shd w:fill="FFFFFF" w:val="clear"/>
          </w:tcPr>
          <w:p>
            <w:pPr>
              <w:spacing w:after="40" w:before="40"/>
            </w:pPr>
            <w:r/>
            <w:r>
              <w:rPr>
                <w:rFonts w:ascii="Calibri" w:hAnsi="Calibri" w:eastAsia="Calibri"/>
                <w:b w:val="0"/>
                <w:i w:val="0"/>
                <w:color w:val="1B2118"/>
                <w:sz w:val="20"/>
              </w:rPr>
              <w:t>Recuerda el orden: formulario → evaluar → leer la derecha → preguntar.</w:t>
            </w:r>
          </w:p>
        </w:tc>
        <w:tc>
          <w:tcPr>
            <w:tcW w:type="dxa" w:w="2494"/>
            <w:shd w:fill="FFFFFF" w:val="clear"/>
          </w:tcPr>
          <w:p>
            <w:pPr>
              <w:spacing w:after="40" w:before="40"/>
            </w:pPr>
            <w:r/>
            <w:r>
              <w:rPr>
                <w:rFonts w:ascii="Calibri" w:hAnsi="Calibri" w:eastAsia="Calibri"/>
                <w:b w:val="0"/>
                <w:i w:val="0"/>
                <w:color w:val="1B2118"/>
                <w:sz w:val="20"/>
              </w:rPr>
              <w:t>Orientar a quien entra por primera vez. No evalúa nada por sí sola.</w:t>
            </w:r>
          </w:p>
        </w:tc>
      </w:tr>
      <w:tr>
        <w:tc>
          <w:tcPr>
            <w:tcW w:type="dxa" w:w="1928"/>
            <w:shd w:fill="F3F5EE" w:val="clear"/>
          </w:tcPr>
          <w:p>
            <w:pPr>
              <w:spacing w:after="40" w:before="40"/>
            </w:pPr>
            <w:r/>
            <w:r>
              <w:rPr>
                <w:rFonts w:ascii="Calibri" w:hAnsi="Calibri" w:eastAsia="Calibri"/>
                <w:b w:val="0"/>
                <w:i w:val="0"/>
                <w:color w:val="1B2118"/>
                <w:sz w:val="20"/>
              </w:rPr>
              <w:t>Columna izquierda, formulario</w:t>
            </w:r>
          </w:p>
        </w:tc>
        <w:tc>
          <w:tcPr>
            <w:tcW w:type="dxa" w:w="2381"/>
            <w:shd w:fill="F3F5EE" w:val="clear"/>
          </w:tcPr>
          <w:p>
            <w:pPr>
              <w:spacing w:after="40" w:before="40"/>
            </w:pPr>
            <w:r/>
            <w:r>
              <w:rPr>
                <w:rFonts w:ascii="Calibri" w:hAnsi="Calibri" w:eastAsia="Calibri"/>
                <w:b w:val="0"/>
                <w:i w:val="0"/>
                <w:color w:val="1B2118"/>
                <w:sz w:val="20"/>
              </w:rPr>
              <w:t>Datos mínimos + DPA + Información adicional</w:t>
            </w:r>
          </w:p>
        </w:tc>
        <w:tc>
          <w:tcPr>
            <w:tcW w:type="dxa" w:w="2494"/>
            <w:shd w:fill="F3F5EE" w:val="clear"/>
          </w:tcPr>
          <w:p>
            <w:pPr>
              <w:spacing w:after="40" w:before="40"/>
            </w:pPr>
            <w:r/>
            <w:r>
              <w:rPr>
                <w:rFonts w:ascii="Calibri" w:hAnsi="Calibri" w:eastAsia="Calibri"/>
                <w:b w:val="0"/>
                <w:i w:val="0"/>
                <w:color w:val="1B2118"/>
                <w:sz w:val="20"/>
              </w:rPr>
              <w:t>Recoge los hechos del caso de uso.</w:t>
            </w:r>
          </w:p>
        </w:tc>
        <w:tc>
          <w:tcPr>
            <w:tcW w:type="dxa" w:w="2494"/>
            <w:shd w:fill="F3F5EE" w:val="clear"/>
          </w:tcPr>
          <w:p>
            <w:pPr>
              <w:spacing w:after="40" w:before="40"/>
            </w:pPr>
            <w:r/>
            <w:r>
              <w:rPr>
                <w:rFonts w:ascii="Calibri" w:hAnsi="Calibri" w:eastAsia="Calibri"/>
                <w:b w:val="0"/>
                <w:i w:val="0"/>
                <w:color w:val="1B2118"/>
                <w:sz w:val="20"/>
              </w:rPr>
              <w:t>Es la única prueba que el sistema va a usar. Si aquí no está, en el informe saldrá como evidencia no encontrada.</w:t>
            </w:r>
          </w:p>
        </w:tc>
      </w:tr>
      <w:tr>
        <w:tc>
          <w:tcPr>
            <w:tcW w:type="dxa" w:w="1928"/>
            <w:shd w:fill="FFFFFF" w:val="clear"/>
          </w:tcPr>
          <w:p>
            <w:pPr>
              <w:spacing w:after="40" w:before="40"/>
            </w:pPr>
            <w:r/>
            <w:r>
              <w:rPr>
                <w:rFonts w:ascii="Calibri" w:hAnsi="Calibri" w:eastAsia="Calibri"/>
                <w:b w:val="0"/>
                <w:i w:val="0"/>
                <w:color w:val="1B2118"/>
                <w:sz w:val="20"/>
              </w:rPr>
              <w:t>Columna izquierda, abajo</w:t>
            </w:r>
          </w:p>
        </w:tc>
        <w:tc>
          <w:tcPr>
            <w:tcW w:type="dxa" w:w="2381"/>
            <w:shd w:fill="FFFFFF" w:val="clear"/>
          </w:tcPr>
          <w:p>
            <w:pPr>
              <w:spacing w:after="40" w:before="40"/>
            </w:pPr>
            <w:r/>
            <w:r>
              <w:rPr>
                <w:rFonts w:ascii="Calibri" w:hAnsi="Calibri" w:eastAsia="Calibri"/>
                <w:b w:val="0"/>
                <w:i w:val="0"/>
                <w:color w:val="1B2118"/>
                <w:sz w:val="20"/>
              </w:rPr>
              <w:t>Texto de modo</w:t>
            </w:r>
          </w:p>
        </w:tc>
        <w:tc>
          <w:tcPr>
            <w:tcW w:type="dxa" w:w="2494"/>
            <w:shd w:fill="FFFFFF" w:val="clear"/>
          </w:tcPr>
          <w:p>
            <w:pPr>
              <w:spacing w:after="40" w:before="40"/>
            </w:pPr>
            <w:r/>
            <w:r>
              <w:rPr>
                <w:rFonts w:ascii="Calibri" w:hAnsi="Calibri" w:eastAsia="Calibri"/>
                <w:b w:val="0"/>
                <w:i w:val="0"/>
                <w:color w:val="1B2118"/>
                <w:sz w:val="20"/>
              </w:rPr>
              <w:t>Indica si la consola usa reglas fijas (simulador) o un modelo de lenguaje (completo).</w:t>
            </w:r>
          </w:p>
        </w:tc>
        <w:tc>
          <w:tcPr>
            <w:tcW w:type="dxa" w:w="2494"/>
            <w:shd w:fill="FFFFFF" w:val="clear"/>
          </w:tcPr>
          <w:p>
            <w:pPr>
              <w:spacing w:after="40" w:before="40"/>
            </w:pPr>
            <w:r/>
            <w:r>
              <w:rPr>
                <w:rFonts w:ascii="Calibri" w:hAnsi="Calibri" w:eastAsia="Calibri"/>
                <w:b w:val="0"/>
                <w:i w:val="0"/>
                <w:color w:val="1B2118"/>
                <w:sz w:val="20"/>
              </w:rPr>
              <w:t>Calibrar cuánta confianza dar al chat. El simulador vale para triaje; un expediente de producción debe revisarlo Legal.</w:t>
            </w:r>
          </w:p>
        </w:tc>
      </w:tr>
      <w:tr>
        <w:tc>
          <w:tcPr>
            <w:tcW w:type="dxa" w:w="1928"/>
            <w:shd w:fill="F3F5EE" w:val="clear"/>
          </w:tcPr>
          <w:p>
            <w:pPr>
              <w:spacing w:after="40" w:before="40"/>
            </w:pPr>
            <w:r/>
            <w:r>
              <w:rPr>
                <w:rFonts w:ascii="Calibri" w:hAnsi="Calibri" w:eastAsia="Calibri"/>
                <w:b w:val="0"/>
                <w:i w:val="0"/>
                <w:color w:val="1B2118"/>
                <w:sz w:val="20"/>
              </w:rPr>
              <w:t>Columna derecha, franja superior</w:t>
            </w:r>
          </w:p>
        </w:tc>
        <w:tc>
          <w:tcPr>
            <w:tcW w:type="dxa" w:w="2381"/>
            <w:shd w:fill="F3F5EE" w:val="clear"/>
          </w:tcPr>
          <w:p>
            <w:pPr>
              <w:spacing w:after="40" w:before="40"/>
            </w:pPr>
            <w:r/>
            <w:r>
              <w:rPr>
                <w:rFonts w:ascii="Calibri" w:hAnsi="Calibri" w:eastAsia="Calibri"/>
                <w:b w:val="0"/>
                <w:i w:val="0"/>
                <w:color w:val="1B2118"/>
                <w:sz w:val="20"/>
              </w:rPr>
              <w:t>Decisión · Riesgo residual · Proveedor · Copiar informe</w:t>
            </w:r>
          </w:p>
        </w:tc>
        <w:tc>
          <w:tcPr>
            <w:tcW w:type="dxa" w:w="2494"/>
            <w:shd w:fill="F3F5EE" w:val="clear"/>
          </w:tcPr>
          <w:p>
            <w:pPr>
              <w:spacing w:after="40" w:before="40"/>
            </w:pPr>
            <w:r/>
            <w:r>
              <w:rPr>
                <w:rFonts w:ascii="Calibri" w:hAnsi="Calibri" w:eastAsia="Calibri"/>
                <w:b w:val="0"/>
                <w:i w:val="0"/>
                <w:color w:val="1B2118"/>
                <w:sz w:val="20"/>
              </w:rPr>
              <w:t>Resume el veredicto en una línea.</w:t>
            </w:r>
          </w:p>
        </w:tc>
        <w:tc>
          <w:tcPr>
            <w:tcW w:type="dxa" w:w="2494"/>
            <w:shd w:fill="F3F5EE" w:val="clear"/>
          </w:tcPr>
          <w:p>
            <w:pPr>
              <w:spacing w:after="40" w:before="40"/>
            </w:pPr>
            <w:r/>
            <w:r>
              <w:rPr>
                <w:rFonts w:ascii="Calibri" w:hAnsi="Calibri" w:eastAsia="Calibri"/>
                <w:b w:val="0"/>
                <w:i w:val="0"/>
                <w:color w:val="1B2118"/>
                <w:sz w:val="20"/>
              </w:rPr>
              <w:t>Lectura de Dirección en segundos. Copiar el texto al expediente.</w:t>
            </w:r>
          </w:p>
        </w:tc>
      </w:tr>
      <w:tr>
        <w:tc>
          <w:tcPr>
            <w:tcW w:type="dxa" w:w="1928"/>
            <w:shd w:fill="FFFFFF" w:val="clear"/>
          </w:tcPr>
          <w:p>
            <w:pPr>
              <w:spacing w:after="40" w:before="40"/>
            </w:pPr>
            <w:r/>
            <w:r>
              <w:rPr>
                <w:rFonts w:ascii="Calibri" w:hAnsi="Calibri" w:eastAsia="Calibri"/>
                <w:b w:val="0"/>
                <w:i w:val="0"/>
                <w:color w:val="1B2118"/>
                <w:sz w:val="20"/>
              </w:rPr>
              <w:t>Columna derecha, tres bloques</w:t>
            </w:r>
          </w:p>
        </w:tc>
        <w:tc>
          <w:tcPr>
            <w:tcW w:type="dxa" w:w="2381"/>
            <w:shd w:fill="FFFFFF" w:val="clear"/>
          </w:tcPr>
          <w:p>
            <w:pPr>
              <w:spacing w:after="40" w:before="40"/>
            </w:pPr>
            <w:r/>
            <w:r>
              <w:rPr>
                <w:rFonts w:ascii="Calibri" w:hAnsi="Calibri" w:eastAsia="Calibri"/>
                <w:b w:val="0"/>
                <w:i w:val="0"/>
                <w:color w:val="1B2118"/>
                <w:sz w:val="20"/>
              </w:rPr>
              <w:t>Hallazgos · Evidencia que falta · Tareas propuestas (Jira)</w:t>
            </w:r>
          </w:p>
        </w:tc>
        <w:tc>
          <w:tcPr>
            <w:tcW w:type="dxa" w:w="2494"/>
            <w:shd w:fill="FFFFFF" w:val="clear"/>
          </w:tcPr>
          <w:p>
            <w:pPr>
              <w:spacing w:after="40" w:before="40"/>
            </w:pPr>
            <w:r/>
            <w:r>
              <w:rPr>
                <w:rFonts w:ascii="Calibri" w:hAnsi="Calibri" w:eastAsia="Calibri"/>
                <w:b w:val="0"/>
                <w:i w:val="0"/>
                <w:color w:val="1B2118"/>
                <w:sz w:val="20"/>
              </w:rPr>
              <w:t>Desglosan el porqué del veredicto y el plan de acción.</w:t>
            </w:r>
          </w:p>
        </w:tc>
        <w:tc>
          <w:tcPr>
            <w:tcW w:type="dxa" w:w="2494"/>
            <w:shd w:fill="FFFFFF" w:val="clear"/>
          </w:tcPr>
          <w:p>
            <w:pPr>
              <w:spacing w:after="40" w:before="40"/>
            </w:pPr>
            <w:r/>
            <w:r>
              <w:rPr>
                <w:rFonts w:ascii="Calibri" w:hAnsi="Calibri" w:eastAsia="Calibri"/>
                <w:b w:val="0"/>
                <w:i w:val="0"/>
                <w:color w:val="1B2118"/>
                <w:sz w:val="20"/>
              </w:rPr>
              <w:t>Trabajo de Legal, GRC y Seguridad. Son las «pestañas» del informe.</w:t>
            </w:r>
          </w:p>
        </w:tc>
      </w:tr>
      <w:tr>
        <w:tc>
          <w:tcPr>
            <w:tcW w:type="dxa" w:w="1928"/>
            <w:shd w:fill="F3F5EE" w:val="clear"/>
          </w:tcPr>
          <w:p>
            <w:pPr>
              <w:spacing w:after="40" w:before="40"/>
            </w:pPr>
            <w:r/>
            <w:r>
              <w:rPr>
                <w:rFonts w:ascii="Calibri" w:hAnsi="Calibri" w:eastAsia="Calibri"/>
                <w:b w:val="0"/>
                <w:i w:val="0"/>
                <w:color w:val="1B2118"/>
                <w:sz w:val="20"/>
              </w:rPr>
              <w:t>Columna derecha, abajo</w:t>
            </w:r>
          </w:p>
        </w:tc>
        <w:tc>
          <w:tcPr>
            <w:tcW w:type="dxa" w:w="2381"/>
            <w:shd w:fill="F3F5EE" w:val="clear"/>
          </w:tcPr>
          <w:p>
            <w:pPr>
              <w:spacing w:after="40" w:before="40"/>
            </w:pPr>
            <w:r/>
            <w:r>
              <w:rPr>
                <w:rFonts w:ascii="Calibri" w:hAnsi="Calibri" w:eastAsia="Calibri"/>
                <w:b w:val="0"/>
                <w:i w:val="0"/>
                <w:color w:val="1B2118"/>
                <w:sz w:val="20"/>
              </w:rPr>
              <w:t>Chat, sugerencias y Enviar</w:t>
            </w:r>
          </w:p>
        </w:tc>
        <w:tc>
          <w:tcPr>
            <w:tcW w:type="dxa" w:w="2494"/>
            <w:shd w:fill="F3F5EE" w:val="clear"/>
          </w:tcPr>
          <w:p>
            <w:pPr>
              <w:spacing w:after="40" w:before="40"/>
            </w:pPr>
            <w:r/>
            <w:r>
              <w:rPr>
                <w:rFonts w:ascii="Calibri" w:hAnsi="Calibri" w:eastAsia="Calibri"/>
                <w:b w:val="0"/>
                <w:i w:val="0"/>
                <w:color w:val="1B2118"/>
                <w:sz w:val="20"/>
              </w:rPr>
              <w:t>Responde preguntas sobre el informe ya generado.</w:t>
            </w:r>
          </w:p>
        </w:tc>
        <w:tc>
          <w:tcPr>
            <w:tcW w:type="dxa" w:w="2494"/>
            <w:shd w:fill="F3F5EE" w:val="clear"/>
          </w:tcPr>
          <w:p>
            <w:pPr>
              <w:spacing w:after="40" w:before="40"/>
            </w:pPr>
            <w:r/>
            <w:r>
              <w:rPr>
                <w:rFonts w:ascii="Calibri" w:hAnsi="Calibri" w:eastAsia="Calibri"/>
                <w:b w:val="0"/>
                <w:i w:val="0"/>
                <w:color w:val="1B2118"/>
                <w:sz w:val="20"/>
              </w:rPr>
              <w:t>Aclarar dudas. No cambia la decisión ni firma contratos.</w:t>
            </w:r>
          </w:p>
        </w:tc>
      </w:tr>
    </w:tbl>
    <w:p/>
    <w:p>
      <w:pPr>
        <w:pStyle w:val="Heading2"/>
        <w:spacing w:before="240" w:after="160"/>
      </w:pPr>
      <w:r>
        <w:rPr>
          <w:rFonts w:ascii="Calibri" w:hAnsi="Calibri"/>
          <w:color w:val="1B2118"/>
        </w:rPr>
        <w:t>5.2 Zona izquierda — aviso de ejemplo</w:t>
      </w:r>
    </w:p>
    <w:p>
      <w:pPr>
        <w:spacing w:after="160" w:before="0" w:line="240" w:lineRule="auto"/>
      </w:pPr>
      <w:r>
        <w:rPr>
          <w:rFonts w:ascii="Calibri" w:hAnsi="Calibri" w:eastAsia="Calibri"/>
          <w:b w:val="0"/>
          <w:i w:val="0"/>
          <w:color w:val="1B2118"/>
          <w:sz w:val="22"/>
        </w:rPr>
        <w:t>Qué hace: avisa de que el formulario llega relleno con un caso de demostración (habitualmente un copiloto y un proveedor conocido). No es el expediente de su empresa.</w:t>
      </w:r>
    </w:p>
    <w:p>
      <w:pPr>
        <w:spacing w:after="160" w:before="0" w:line="240" w:lineRule="auto"/>
      </w:pPr>
      <w:r>
        <w:rPr>
          <w:rFonts w:ascii="Calibri" w:hAnsi="Calibri" w:eastAsia="Calibri"/>
          <w:b w:val="0"/>
          <w:i w:val="0"/>
          <w:color w:val="1B2118"/>
          <w:sz w:val="22"/>
        </w:rPr>
        <w:t>Para qué vale: evitar que alguien pulse «Evaluar proveedor» y archive como si fuera una revisión real. También recuerda no pegar contraseñas ni historiales médicos.</w:t>
      </w:r>
    </w:p>
    <w:p>
      <w:pPr>
        <w:spacing w:after="160" w:before="0" w:line="240" w:lineRule="auto"/>
      </w:pPr>
      <w:r>
        <w:rPr>
          <w:rFonts w:ascii="Calibri" w:hAnsi="Calibri" w:eastAsia="Calibri"/>
          <w:b w:val="0"/>
          <w:i/>
          <w:color w:val="1B2118"/>
          <w:sz w:val="22"/>
        </w:rPr>
        <w:t>Qué no hace: no borra los datos por usted. Si va a un caso real, use «Vaciar ejemplo» o sobrescriba cada campo.</w:t>
      </w:r>
    </w:p>
    <w:p>
      <w:pPr>
        <w:pStyle w:val="Heading2"/>
        <w:spacing w:before="240" w:after="160"/>
      </w:pPr>
      <w:r>
        <w:rPr>
          <w:rFonts w:ascii="Calibri" w:hAnsi="Calibri"/>
          <w:color w:val="1B2118"/>
        </w:rPr>
        <w:t>5.3 Zona izquierda — pestaña o bloque «Datos mínimos»</w:t>
      </w:r>
    </w:p>
    <w:p>
      <w:pPr>
        <w:spacing w:after="160" w:before="0" w:line="240" w:lineRule="auto"/>
      </w:pPr>
      <w:r>
        <w:rPr>
          <w:rFonts w:ascii="Calibri" w:hAnsi="Calibri" w:eastAsia="Calibri"/>
          <w:b w:val="0"/>
          <w:i w:val="0"/>
          <w:color w:val="1B2118"/>
          <w:sz w:val="22"/>
        </w:rPr>
        <w:t>Qué hace: exige cuatro hechos sin los cuales no hay evaluación. El asterisco rojo marca lo obligatorio. Si falta uno, el navegador no deja enviar.</w:t>
      </w:r>
    </w:p>
    <w:p>
      <w:pPr>
        <w:spacing w:after="120" w:before="0" w:line="240" w:lineRule="auto"/>
      </w:pPr>
      <w:r>
        <w:rPr>
          <w:rFonts w:ascii="Calibri" w:hAnsi="Calibri" w:eastAsia="Calibri"/>
          <w:b w:val="0"/>
          <w:i w:val="0"/>
          <w:color w:val="1B2118"/>
          <w:sz w:val="22"/>
        </w:rPr>
        <w:t>Para qué vale cada campo:</w:t>
      </w:r>
    </w:p>
    <w:tbl>
      <w:tblPr>
        <w:tblStyle w:val="TableGrid"/>
        <w:tblW w:type="auto" w:w="0"/>
        <w:tblLayout w:type="autofit"/>
        <w:tblLook w:firstColumn="1" w:firstRow="1" w:lastColumn="0" w:lastRow="0" w:noHBand="0" w:noVBand="1" w:val="04A0"/>
      </w:tblPr>
      <w:tblGrid>
        <w:gridCol w:w="3249"/>
        <w:gridCol w:w="3249"/>
        <w:gridCol w:w="3249"/>
      </w:tblGrid>
      <w:tr>
        <w:tc>
          <w:tcPr>
            <w:tcW w:type="dxa" w:w="2268"/>
            <w:shd w:fill="1B2118" w:val="clear"/>
          </w:tcPr>
          <w:p>
            <w:pPr>
              <w:spacing w:after="40" w:before="40"/>
            </w:pPr>
            <w:r/>
            <w:r>
              <w:rPr>
                <w:rFonts w:ascii="Calibri" w:hAnsi="Calibri" w:eastAsia="Calibri"/>
                <w:b/>
                <w:i w:val="0"/>
                <w:color w:val="FFFFFF"/>
                <w:sz w:val="20"/>
              </w:rPr>
              <w:t>Campo</w:t>
            </w:r>
          </w:p>
        </w:tc>
        <w:tc>
          <w:tcPr>
            <w:tcW w:type="dxa" w:w="3572"/>
            <w:shd w:fill="1B2118" w:val="clear"/>
          </w:tcPr>
          <w:p>
            <w:pPr>
              <w:spacing w:after="40" w:before="40"/>
            </w:pPr>
            <w:r/>
            <w:r>
              <w:rPr>
                <w:rFonts w:ascii="Calibri" w:hAnsi="Calibri" w:eastAsia="Calibri"/>
                <w:b/>
                <w:i w:val="0"/>
                <w:color w:val="FFFFFF"/>
                <w:sz w:val="20"/>
              </w:rPr>
              <w:t>Qué hace el sistema con lo que escriba</w:t>
            </w:r>
          </w:p>
        </w:tc>
        <w:tc>
          <w:tcPr>
            <w:tcW w:type="dxa" w:w="3515"/>
            <w:shd w:fill="1B2118" w:val="clear"/>
          </w:tcPr>
          <w:p>
            <w:pPr>
              <w:spacing w:after="40" w:before="40"/>
            </w:pPr>
            <w:r/>
            <w:r>
              <w:rPr>
                <w:rFonts w:ascii="Calibri" w:hAnsi="Calibri" w:eastAsia="Calibri"/>
                <w:b/>
                <w:i w:val="0"/>
                <w:color w:val="FFFFFF"/>
                <w:sz w:val="20"/>
              </w:rPr>
              <w:t>Para qué vale en el negocio</w:t>
            </w:r>
          </w:p>
        </w:tc>
      </w:tr>
      <w:tr>
        <w:tc>
          <w:tcPr>
            <w:tcW w:type="dxa" w:w="2268"/>
            <w:shd w:fill="FFFFFF" w:val="clear"/>
          </w:tcPr>
          <w:p>
            <w:pPr>
              <w:spacing w:after="40" w:before="40"/>
            </w:pPr>
            <w:r/>
            <w:r>
              <w:rPr>
                <w:rFonts w:ascii="Calibri" w:hAnsi="Calibri" w:eastAsia="Calibri"/>
                <w:b w:val="0"/>
                <w:i w:val="0"/>
                <w:color w:val="1B2118"/>
                <w:sz w:val="20"/>
              </w:rPr>
              <w:t>Nombre del proveedor</w:t>
            </w:r>
          </w:p>
        </w:tc>
        <w:tc>
          <w:tcPr>
            <w:tcW w:type="dxa" w:w="3572"/>
            <w:shd w:fill="FFFFFF" w:val="clear"/>
          </w:tcPr>
          <w:p>
            <w:pPr>
              <w:spacing w:after="40" w:before="40"/>
            </w:pPr>
            <w:r/>
            <w:r>
              <w:rPr>
                <w:rFonts w:ascii="Calibri" w:hAnsi="Calibri" w:eastAsia="Calibri"/>
                <w:b w:val="0"/>
                <w:i w:val="0"/>
                <w:color w:val="1B2118"/>
                <w:sz w:val="20"/>
              </w:rPr>
              <w:t>Identifica al tercero en la decisión, el chat y el título de las tareas.</w:t>
            </w:r>
          </w:p>
        </w:tc>
        <w:tc>
          <w:tcPr>
            <w:tcW w:type="dxa" w:w="3515"/>
            <w:shd w:fill="FFFFFF" w:val="clear"/>
          </w:tcPr>
          <w:p>
            <w:pPr>
              <w:spacing w:after="40" w:before="40"/>
            </w:pPr>
            <w:r/>
            <w:r>
              <w:rPr>
                <w:rFonts w:ascii="Calibri" w:hAnsi="Calibri" w:eastAsia="Calibri"/>
                <w:b w:val="0"/>
                <w:i w:val="0"/>
                <w:color w:val="1B2118"/>
                <w:sz w:val="20"/>
              </w:rPr>
              <w:t>Que Legal y Jira hablen del mismo proveedor, no de un nombre genérico.</w:t>
            </w:r>
          </w:p>
        </w:tc>
      </w:tr>
      <w:tr>
        <w:tc>
          <w:tcPr>
            <w:tcW w:type="dxa" w:w="2268"/>
            <w:shd w:fill="F3F5EE" w:val="clear"/>
          </w:tcPr>
          <w:p>
            <w:pPr>
              <w:spacing w:after="40" w:before="40"/>
            </w:pPr>
            <w:r/>
            <w:r>
              <w:rPr>
                <w:rFonts w:ascii="Calibri" w:hAnsi="Calibri" w:eastAsia="Calibri"/>
                <w:b w:val="0"/>
                <w:i w:val="0"/>
                <w:color w:val="1B2118"/>
                <w:sz w:val="20"/>
              </w:rPr>
              <w:t>Descripción del servicio</w:t>
            </w:r>
          </w:p>
        </w:tc>
        <w:tc>
          <w:tcPr>
            <w:tcW w:type="dxa" w:w="3572"/>
            <w:shd w:fill="F3F5EE" w:val="clear"/>
          </w:tcPr>
          <w:p>
            <w:pPr>
              <w:spacing w:after="40" w:before="40"/>
            </w:pPr>
            <w:r/>
            <w:r>
              <w:rPr>
                <w:rFonts w:ascii="Calibri" w:hAnsi="Calibri" w:eastAsia="Calibri"/>
                <w:b w:val="0"/>
                <w:i w:val="0"/>
                <w:color w:val="1B2118"/>
                <w:sz w:val="20"/>
              </w:rPr>
              <w:t>Sitúa si es API, chat empresarial, complemento, etc.</w:t>
            </w:r>
          </w:p>
        </w:tc>
        <w:tc>
          <w:tcPr>
            <w:tcW w:type="dxa" w:w="3515"/>
            <w:shd w:fill="F3F5EE" w:val="clear"/>
          </w:tcPr>
          <w:p>
            <w:pPr>
              <w:spacing w:after="40" w:before="40"/>
            </w:pPr>
            <w:r/>
            <w:r>
              <w:rPr>
                <w:rFonts w:ascii="Calibri" w:hAnsi="Calibri" w:eastAsia="Calibri"/>
                <w:b w:val="0"/>
                <w:i w:val="0"/>
                <w:color w:val="1B2118"/>
                <w:sz w:val="20"/>
              </w:rPr>
              <w:t>No es lo mismo un chatbot de empleados que un modelo embebido en un producto de clientes.</w:t>
            </w:r>
          </w:p>
        </w:tc>
      </w:tr>
      <w:tr>
        <w:tc>
          <w:tcPr>
            <w:tcW w:type="dxa" w:w="2268"/>
            <w:shd w:fill="FFFFFF" w:val="clear"/>
          </w:tcPr>
          <w:p>
            <w:pPr>
              <w:spacing w:after="40" w:before="40"/>
            </w:pPr>
            <w:r/>
            <w:r>
              <w:rPr>
                <w:rFonts w:ascii="Calibri" w:hAnsi="Calibri" w:eastAsia="Calibri"/>
                <w:b w:val="0"/>
                <w:i w:val="0"/>
                <w:color w:val="1B2118"/>
                <w:sz w:val="20"/>
              </w:rPr>
              <w:t>Uso previsto en la empresa</w:t>
            </w:r>
          </w:p>
        </w:tc>
        <w:tc>
          <w:tcPr>
            <w:tcW w:type="dxa" w:w="3572"/>
            <w:shd w:fill="FFFFFF" w:val="clear"/>
          </w:tcPr>
          <w:p>
            <w:pPr>
              <w:spacing w:after="40" w:before="40"/>
            </w:pPr>
            <w:r/>
            <w:r>
              <w:rPr>
                <w:rFonts w:ascii="Calibri" w:hAnsi="Calibri" w:eastAsia="Calibri"/>
                <w:b w:val="0"/>
                <w:i w:val="0"/>
                <w:color w:val="1B2118"/>
                <w:sz w:val="20"/>
              </w:rPr>
              <w:t>Calibra el impacto: redacción interna no es lo mismo que decidir crédito, empleo o salud.</w:t>
            </w:r>
          </w:p>
        </w:tc>
        <w:tc>
          <w:tcPr>
            <w:tcW w:type="dxa" w:w="3515"/>
            <w:shd w:fill="FFFFFF" w:val="clear"/>
          </w:tcPr>
          <w:p>
            <w:pPr>
              <w:spacing w:after="40" w:before="40"/>
            </w:pPr>
            <w:r/>
            <w:r>
              <w:rPr>
                <w:rFonts w:ascii="Calibri" w:hAnsi="Calibri" w:eastAsia="Calibri"/>
                <w:b w:val="0"/>
                <w:i w:val="0"/>
                <w:color w:val="1B2118"/>
                <w:sz w:val="20"/>
              </w:rPr>
              <w:t>Dirección y Legal ven para qué se pide el proveedor, no solo «queremos IA».</w:t>
            </w:r>
          </w:p>
        </w:tc>
      </w:tr>
      <w:tr>
        <w:tc>
          <w:tcPr>
            <w:tcW w:type="dxa" w:w="2268"/>
            <w:shd w:fill="F3F5EE" w:val="clear"/>
          </w:tcPr>
          <w:p>
            <w:pPr>
              <w:spacing w:after="40" w:before="40"/>
            </w:pPr>
            <w:r/>
            <w:r>
              <w:rPr>
                <w:rFonts w:ascii="Calibri" w:hAnsi="Calibri" w:eastAsia="Calibri"/>
                <w:b w:val="0"/>
                <w:i w:val="0"/>
                <w:color w:val="1B2118"/>
                <w:sz w:val="20"/>
              </w:rPr>
              <w:t>Datos que se procesarán</w:t>
            </w:r>
          </w:p>
        </w:tc>
        <w:tc>
          <w:tcPr>
            <w:tcW w:type="dxa" w:w="3572"/>
            <w:shd w:fill="F3F5EE" w:val="clear"/>
          </w:tcPr>
          <w:p>
            <w:pPr>
              <w:spacing w:after="40" w:before="40"/>
            </w:pPr>
            <w:r/>
            <w:r>
              <w:rPr>
                <w:rFonts w:ascii="Calibri" w:hAnsi="Calibri" w:eastAsia="Calibri"/>
                <w:b w:val="0"/>
                <w:i w:val="0"/>
                <w:color w:val="1B2118"/>
                <w:sz w:val="20"/>
              </w:rPr>
              <w:t>Busca indicios de datos personales, de clientes, salud, prompts, etc. Si los hay, sube el rigor (DPIA, DPA).</w:t>
            </w:r>
          </w:p>
        </w:tc>
        <w:tc>
          <w:tcPr>
            <w:tcW w:type="dxa" w:w="3515"/>
            <w:shd w:fill="F3F5EE" w:val="clear"/>
          </w:tcPr>
          <w:p>
            <w:pPr>
              <w:spacing w:after="40" w:before="40"/>
            </w:pPr>
            <w:r/>
            <w:r>
              <w:rPr>
                <w:rFonts w:ascii="Calibri" w:hAnsi="Calibri" w:eastAsia="Calibri"/>
                <w:b w:val="0"/>
                <w:i w:val="0"/>
                <w:color w:val="1B2118"/>
                <w:sz w:val="20"/>
              </w:rPr>
              <w:t>Declarar con honestidad qué puede colarse en las consultas. Describa el tipo de dato, no el contenido real.</w:t>
            </w:r>
          </w:p>
        </w:tc>
      </w:tr>
    </w:tbl>
    <w:p/>
    <w:p>
      <w:pPr>
        <w:pStyle w:val="Heading2"/>
        <w:spacing w:before="240" w:after="160"/>
      </w:pPr>
      <w:r>
        <w:rPr>
          <w:rFonts w:ascii="Calibri" w:hAnsi="Calibri"/>
          <w:color w:val="1B2118"/>
        </w:rPr>
        <w:t>5.4 Zona izquierda — casilla del DPA</w:t>
      </w:r>
    </w:p>
    <w:p>
      <w:pPr>
        <w:spacing w:after="160" w:before="0" w:line="240" w:lineRule="auto"/>
      </w:pPr>
      <w:r>
        <w:rPr>
          <w:rFonts w:ascii="Calibri" w:hAnsi="Calibri" w:eastAsia="Calibri"/>
          <w:b w:val="0"/>
          <w:i w:val="0"/>
          <w:color w:val="1B2118"/>
          <w:sz w:val="22"/>
        </w:rPr>
        <w:t>Qué hace: es un sí o no jurídico. Si está desmarcada, el sistema trata el caso como «no hay acuerdo de encargo ejecutado». Si está marcada, asume que usted afirma que existe un DPA firmado y archivado. No abre el PDF ni comprueba la firma.</w:t>
      </w:r>
    </w:p>
    <w:p>
      <w:pPr>
        <w:spacing w:after="160" w:before="0" w:line="240" w:lineRule="auto"/>
      </w:pPr>
      <w:r>
        <w:rPr>
          <w:rFonts w:ascii="Calibri" w:hAnsi="Calibri" w:eastAsia="Calibri"/>
          <w:b w:val="0"/>
          <w:i w:val="0"/>
          <w:color w:val="1B2118"/>
          <w:sz w:val="22"/>
        </w:rPr>
        <w:t>Para qué vale: es la palanca más fuerte del triaje de privacidad. Datos personales (o similares) sin DPA suelen llevar a «Escalar» o «Requiere corrección». Marcarla en falso produce una falsa sensación de cumplimiento.</w:t>
      </w:r>
    </w:p>
    <w:p>
      <w:pPr>
        <w:spacing w:after="160" w:before="0" w:line="240" w:lineRule="auto"/>
      </w:pPr>
      <w:r>
        <w:rPr>
          <w:rFonts w:ascii="Calibri" w:hAnsi="Calibri" w:eastAsia="Calibri"/>
          <w:b w:val="0"/>
          <w:i/>
          <w:color w:val="1B2118"/>
          <w:sz w:val="22"/>
        </w:rPr>
        <w:t>Qué no hace: marcarla no convierte el riesgo en bajo. Siguen haciendo falta pack de seguridad, residencia de datos y, si aplica, DPIA.</w:t>
      </w:r>
    </w:p>
    <w:p>
      <w:pPr>
        <w:pStyle w:val="Heading2"/>
        <w:spacing w:before="240" w:after="160"/>
      </w:pPr>
      <w:r>
        <w:rPr>
          <w:rFonts w:ascii="Calibri" w:hAnsi="Calibri"/>
          <w:color w:val="1B2118"/>
        </w:rPr>
        <w:t>5.5 Zona izquierda — bloque plegable «Información adicional (recomendado)»</w:t>
      </w:r>
    </w:p>
    <w:p>
      <w:pPr>
        <w:spacing w:after="160" w:before="0" w:line="240" w:lineRule="auto"/>
      </w:pPr>
      <w:r>
        <w:rPr>
          <w:rFonts w:ascii="Calibri" w:hAnsi="Calibri" w:eastAsia="Calibri"/>
          <w:b w:val="0"/>
          <w:i w:val="0"/>
          <w:color w:val="1B2118"/>
          <w:sz w:val="22"/>
        </w:rPr>
        <w:t>Qué hace: está cerrado a propósito para no abrumar. Al pulsarlo se despliegan cinco campos opcionales. Si no los rellena, la evaluación sigue, pero el informe marcará huecos (por ejemplo, «ámbito geográfico no indicado»).</w:t>
      </w:r>
    </w:p>
    <w:p>
      <w:pPr>
        <w:spacing w:after="160" w:before="0" w:line="240" w:lineRule="auto"/>
      </w:pPr>
      <w:r>
        <w:rPr>
          <w:rFonts w:ascii="Calibri" w:hAnsi="Calibri" w:eastAsia="Calibri"/>
          <w:b w:val="0"/>
          <w:i w:val="0"/>
          <w:color w:val="1B2118"/>
          <w:sz w:val="22"/>
        </w:rPr>
        <w:t>Para qué vale: dar contexto que Legal y Seguridad van a pedir igual. Rellenarlos ahora evita un segundo ciclo.</w:t>
      </w:r>
    </w:p>
    <w:tbl>
      <w:tblPr>
        <w:tblStyle w:val="TableGrid"/>
        <w:tblW w:type="auto" w:w="0"/>
        <w:tblLayout w:type="autofit"/>
        <w:tblLook w:firstColumn="1" w:firstRow="1" w:lastColumn="0" w:lastRow="0" w:noHBand="0" w:noVBand="1" w:val="04A0"/>
      </w:tblPr>
      <w:tblGrid>
        <w:gridCol w:w="3249"/>
        <w:gridCol w:w="3249"/>
        <w:gridCol w:w="3249"/>
      </w:tblGrid>
      <w:tr>
        <w:tc>
          <w:tcPr>
            <w:tcW w:type="dxa" w:w="2268"/>
            <w:shd w:fill="1B2118" w:val="clear"/>
          </w:tcPr>
          <w:p>
            <w:pPr>
              <w:spacing w:after="40" w:before="40"/>
            </w:pPr>
            <w:r/>
            <w:r>
              <w:rPr>
                <w:rFonts w:ascii="Calibri" w:hAnsi="Calibri" w:eastAsia="Calibri"/>
                <w:b/>
                <w:i w:val="0"/>
                <w:color w:val="FFFFFF"/>
                <w:sz w:val="20"/>
              </w:rPr>
              <w:t>Campo</w:t>
            </w:r>
          </w:p>
        </w:tc>
        <w:tc>
          <w:tcPr>
            <w:tcW w:type="dxa" w:w="3572"/>
            <w:shd w:fill="1B2118" w:val="clear"/>
          </w:tcPr>
          <w:p>
            <w:pPr>
              <w:spacing w:after="40" w:before="40"/>
            </w:pPr>
            <w:r/>
            <w:r>
              <w:rPr>
                <w:rFonts w:ascii="Calibri" w:hAnsi="Calibri" w:eastAsia="Calibri"/>
                <w:b/>
                <w:i w:val="0"/>
                <w:color w:val="FFFFFF"/>
                <w:sz w:val="20"/>
              </w:rPr>
              <w:t>Qué hace</w:t>
            </w:r>
          </w:p>
        </w:tc>
        <w:tc>
          <w:tcPr>
            <w:tcW w:type="dxa" w:w="3515"/>
            <w:shd w:fill="1B2118" w:val="clear"/>
          </w:tcPr>
          <w:p>
            <w:pPr>
              <w:spacing w:after="40" w:before="40"/>
            </w:pPr>
            <w:r/>
            <w:r>
              <w:rPr>
                <w:rFonts w:ascii="Calibri" w:hAnsi="Calibri" w:eastAsia="Calibri"/>
                <w:b/>
                <w:i w:val="0"/>
                <w:color w:val="FFFFFF"/>
                <w:sz w:val="20"/>
              </w:rPr>
              <w:t>Para qué vale</w:t>
            </w:r>
          </w:p>
        </w:tc>
      </w:tr>
      <w:tr>
        <w:tc>
          <w:tcPr>
            <w:tcW w:type="dxa" w:w="2268"/>
            <w:shd w:fill="FFFFFF" w:val="clear"/>
          </w:tcPr>
          <w:p>
            <w:pPr>
              <w:spacing w:after="40" w:before="40"/>
            </w:pPr>
            <w:r/>
            <w:r>
              <w:rPr>
                <w:rFonts w:ascii="Calibri" w:hAnsi="Calibri" w:eastAsia="Calibri"/>
                <w:b w:val="0"/>
                <w:i w:val="0"/>
                <w:color w:val="1B2118"/>
                <w:sz w:val="20"/>
              </w:rPr>
              <w:t>Responsable de negocio</w:t>
            </w:r>
          </w:p>
        </w:tc>
        <w:tc>
          <w:tcPr>
            <w:tcW w:type="dxa" w:w="3572"/>
            <w:shd w:fill="FFFFFF" w:val="clear"/>
          </w:tcPr>
          <w:p>
            <w:pPr>
              <w:spacing w:after="40" w:before="40"/>
            </w:pPr>
            <w:r/>
            <w:r>
              <w:rPr>
                <w:rFonts w:ascii="Calibri" w:hAnsi="Calibri" w:eastAsia="Calibri"/>
                <w:b w:val="0"/>
                <w:i w:val="0"/>
                <w:color w:val="1B2118"/>
                <w:sz w:val="20"/>
              </w:rPr>
              <w:t>Deja constancia de quién es el dueño del caso de uso.</w:t>
            </w:r>
          </w:p>
        </w:tc>
        <w:tc>
          <w:tcPr>
            <w:tcW w:type="dxa" w:w="3515"/>
            <w:shd w:fill="FFFFFF" w:val="clear"/>
          </w:tcPr>
          <w:p>
            <w:pPr>
              <w:spacing w:after="40" w:before="40"/>
            </w:pPr>
            <w:r/>
            <w:r>
              <w:rPr>
                <w:rFonts w:ascii="Calibri" w:hAnsi="Calibri" w:eastAsia="Calibri"/>
                <w:b w:val="0"/>
                <w:i w:val="0"/>
                <w:color w:val="1B2118"/>
                <w:sz w:val="20"/>
              </w:rPr>
              <w:t>Saber a quién asignar las tareas y quién debe defender el uso ante el comité.</w:t>
            </w:r>
          </w:p>
        </w:tc>
      </w:tr>
      <w:tr>
        <w:tc>
          <w:tcPr>
            <w:tcW w:type="dxa" w:w="2268"/>
            <w:shd w:fill="F3F5EE" w:val="clear"/>
          </w:tcPr>
          <w:p>
            <w:pPr>
              <w:spacing w:after="40" w:before="40"/>
            </w:pPr>
            <w:r/>
            <w:r>
              <w:rPr>
                <w:rFonts w:ascii="Calibri" w:hAnsi="Calibri" w:eastAsia="Calibri"/>
                <w:b w:val="0"/>
                <w:i w:val="0"/>
                <w:color w:val="1B2118"/>
                <w:sz w:val="20"/>
              </w:rPr>
              <w:t>Ámbito geográfico</w:t>
            </w:r>
          </w:p>
        </w:tc>
        <w:tc>
          <w:tcPr>
            <w:tcW w:type="dxa" w:w="3572"/>
            <w:shd w:fill="F3F5EE" w:val="clear"/>
          </w:tcPr>
          <w:p>
            <w:pPr>
              <w:spacing w:after="40" w:before="40"/>
            </w:pPr>
            <w:r/>
            <w:r>
              <w:rPr>
                <w:rFonts w:ascii="Calibri" w:hAnsi="Calibri" w:eastAsia="Calibri"/>
                <w:b w:val="0"/>
                <w:i w:val="0"/>
                <w:color w:val="1B2118"/>
                <w:sz w:val="20"/>
              </w:rPr>
              <w:t>Informa países de usuarios o de almacenamiento. Si está vacío, el sistema no puede valorar transferencias internacionales.</w:t>
            </w:r>
          </w:p>
        </w:tc>
        <w:tc>
          <w:tcPr>
            <w:tcW w:type="dxa" w:w="3515"/>
            <w:shd w:fill="F3F5EE" w:val="clear"/>
          </w:tcPr>
          <w:p>
            <w:pPr>
              <w:spacing w:after="40" w:before="40"/>
            </w:pPr>
            <w:r/>
            <w:r>
              <w:rPr>
                <w:rFonts w:ascii="Calibri" w:hAnsi="Calibri" w:eastAsia="Calibri"/>
                <w:b w:val="0"/>
                <w:i w:val="0"/>
                <w:color w:val="1B2118"/>
                <w:sz w:val="20"/>
              </w:rPr>
              <w:t>GDPR, residencia de datos, nubes fuera de la UE.</w:t>
            </w:r>
          </w:p>
        </w:tc>
      </w:tr>
      <w:tr>
        <w:tc>
          <w:tcPr>
            <w:tcW w:type="dxa" w:w="2268"/>
            <w:shd w:fill="FFFFFF" w:val="clear"/>
          </w:tcPr>
          <w:p>
            <w:pPr>
              <w:spacing w:after="40" w:before="40"/>
            </w:pPr>
            <w:r/>
            <w:r>
              <w:rPr>
                <w:rFonts w:ascii="Calibri" w:hAnsi="Calibri" w:eastAsia="Calibri"/>
                <w:b w:val="0"/>
                <w:i w:val="0"/>
                <w:color w:val="1B2118"/>
                <w:sz w:val="20"/>
              </w:rPr>
              <w:t>Modelo o proveedor de modelo</w:t>
            </w:r>
          </w:p>
        </w:tc>
        <w:tc>
          <w:tcPr>
            <w:tcW w:type="dxa" w:w="3572"/>
            <w:shd w:fill="FFFFFF" w:val="clear"/>
          </w:tcPr>
          <w:p>
            <w:pPr>
              <w:spacing w:after="40" w:before="40"/>
            </w:pPr>
            <w:r/>
            <w:r>
              <w:rPr>
                <w:rFonts w:ascii="Calibri" w:hAnsi="Calibri" w:eastAsia="Calibri"/>
                <w:b w:val="0"/>
                <w:i w:val="0"/>
                <w:color w:val="1B2118"/>
                <w:sz w:val="20"/>
              </w:rPr>
              <w:t>Nombra el modelo o la API concreta.</w:t>
            </w:r>
          </w:p>
        </w:tc>
        <w:tc>
          <w:tcPr>
            <w:tcW w:type="dxa" w:w="3515"/>
            <w:shd w:fill="FFFFFF" w:val="clear"/>
          </w:tcPr>
          <w:p>
            <w:pPr>
              <w:spacing w:after="40" w:before="40"/>
            </w:pPr>
            <w:r/>
            <w:r>
              <w:rPr>
                <w:rFonts w:ascii="Calibri" w:hAnsi="Calibri" w:eastAsia="Calibri"/>
                <w:b w:val="0"/>
                <w:i w:val="0"/>
                <w:color w:val="1B2118"/>
                <w:sz w:val="20"/>
              </w:rPr>
              <w:t>Distinguir ChatGPT gratuito, ChatGPT Enterprise y una API; no son el mismo tratamiento.</w:t>
            </w:r>
          </w:p>
        </w:tc>
      </w:tr>
      <w:tr>
        <w:tc>
          <w:tcPr>
            <w:tcW w:type="dxa" w:w="2268"/>
            <w:shd w:fill="F3F5EE" w:val="clear"/>
          </w:tcPr>
          <w:p>
            <w:pPr>
              <w:spacing w:after="40" w:before="40"/>
            </w:pPr>
            <w:r/>
            <w:r>
              <w:rPr>
                <w:rFonts w:ascii="Calibri" w:hAnsi="Calibri" w:eastAsia="Calibri"/>
                <w:b w:val="0"/>
                <w:i w:val="0"/>
                <w:color w:val="1B2118"/>
                <w:sz w:val="20"/>
              </w:rPr>
              <w:t>Cómo se integrará</w:t>
            </w:r>
          </w:p>
        </w:tc>
        <w:tc>
          <w:tcPr>
            <w:tcW w:type="dxa" w:w="3572"/>
            <w:shd w:fill="F3F5EE" w:val="clear"/>
          </w:tcPr>
          <w:p>
            <w:pPr>
              <w:spacing w:after="40" w:before="40"/>
            </w:pPr>
            <w:r/>
            <w:r>
              <w:rPr>
                <w:rFonts w:ascii="Calibri" w:hAnsi="Calibri" w:eastAsia="Calibri"/>
                <w:b w:val="0"/>
                <w:i w:val="0"/>
                <w:color w:val="1B2118"/>
                <w:sz w:val="20"/>
              </w:rPr>
              <w:t>Describe si es web, API interna, complemento, etc.</w:t>
            </w:r>
          </w:p>
        </w:tc>
        <w:tc>
          <w:tcPr>
            <w:tcW w:type="dxa" w:w="3515"/>
            <w:shd w:fill="F3F5EE" w:val="clear"/>
          </w:tcPr>
          <w:p>
            <w:pPr>
              <w:spacing w:after="40" w:before="40"/>
            </w:pPr>
            <w:r/>
            <w:r>
              <w:rPr>
                <w:rFonts w:ascii="Calibri" w:hAnsi="Calibri" w:eastAsia="Calibri"/>
                <w:b w:val="0"/>
                <w:i w:val="0"/>
                <w:color w:val="1B2118"/>
                <w:sz w:val="20"/>
              </w:rPr>
              <w:t>Seguridad valora exposición (quién ve los prompts, si hay conectores o navegación).</w:t>
            </w:r>
          </w:p>
        </w:tc>
      </w:tr>
      <w:tr>
        <w:tc>
          <w:tcPr>
            <w:tcW w:type="dxa" w:w="2268"/>
            <w:shd w:fill="FFFFFF" w:val="clear"/>
          </w:tcPr>
          <w:p>
            <w:pPr>
              <w:spacing w:after="40" w:before="40"/>
            </w:pPr>
            <w:r/>
            <w:r>
              <w:rPr>
                <w:rFonts w:ascii="Calibri" w:hAnsi="Calibri" w:eastAsia="Calibri"/>
                <w:b w:val="0"/>
                <w:i w:val="0"/>
                <w:color w:val="1B2118"/>
                <w:sz w:val="20"/>
              </w:rPr>
              <w:t>Contexto normativo</w:t>
            </w:r>
          </w:p>
        </w:tc>
        <w:tc>
          <w:tcPr>
            <w:tcW w:type="dxa" w:w="3572"/>
            <w:shd w:fill="FFFFFF" w:val="clear"/>
          </w:tcPr>
          <w:p>
            <w:pPr>
              <w:spacing w:after="40" w:before="40"/>
            </w:pPr>
            <w:r/>
            <w:r>
              <w:rPr>
                <w:rFonts w:ascii="Calibri" w:hAnsi="Calibri" w:eastAsia="Calibri"/>
                <w:b w:val="0"/>
                <w:i w:val="0"/>
                <w:color w:val="1B2118"/>
                <w:sz w:val="20"/>
              </w:rPr>
              <w:t>Anota las normas que el negocio cree aplicables (GDPR, Reglamento de IA, HIPAA…).</w:t>
            </w:r>
          </w:p>
        </w:tc>
        <w:tc>
          <w:tcPr>
            <w:tcW w:type="dxa" w:w="3515"/>
            <w:shd w:fill="FFFFFF" w:val="clear"/>
          </w:tcPr>
          <w:p>
            <w:pPr>
              <w:spacing w:after="40" w:before="40"/>
            </w:pPr>
            <w:r/>
            <w:r>
              <w:rPr>
                <w:rFonts w:ascii="Calibri" w:hAnsi="Calibri" w:eastAsia="Calibri"/>
                <w:b w:val="0"/>
                <w:i w:val="0"/>
                <w:color w:val="1B2118"/>
                <w:sz w:val="20"/>
              </w:rPr>
              <w:t>El sistema no certifica esas normas; las usa como pista de aplicabilidad. La decisión jurídica sigue siendo de Legal.</w:t>
            </w:r>
          </w:p>
        </w:tc>
      </w:tr>
    </w:tbl>
    <w:p/>
    <w:p>
      <w:pPr>
        <w:pStyle w:val="Heading2"/>
        <w:spacing w:before="240" w:after="160"/>
      </w:pPr>
      <w:r>
        <w:rPr>
          <w:rFonts w:ascii="Calibri" w:hAnsi="Calibri"/>
          <w:color w:val="1B2118"/>
        </w:rPr>
        <w:t>5.6 Zona izquierda — botones «Evaluar proveedor» y «Vaciar ejemplo»</w:t>
      </w:r>
    </w:p>
    <w:p>
      <w:pPr>
        <w:spacing w:after="160" w:before="0" w:line="240" w:lineRule="auto"/>
      </w:pPr>
      <w:r>
        <w:rPr>
          <w:rFonts w:ascii="Calibri" w:hAnsi="Calibri" w:eastAsia="Calibri"/>
          <w:b w:val="0"/>
          <w:i w:val="0"/>
          <w:color w:val="1B2118"/>
          <w:sz w:val="22"/>
        </w:rPr>
        <w:t>Evaluar proveedor — Qué hace: envía el formulario, lanza la evaluación, borra el chat anterior de esa sesión y rellena la derecha (franja, tres columnas, sugerencias). Mientras corre, el botón se desactiva para no lanzar dos veces.</w:t>
      </w:r>
    </w:p>
    <w:p>
      <w:pPr>
        <w:spacing w:after="160" w:before="0" w:line="240" w:lineRule="auto"/>
      </w:pPr>
      <w:r>
        <w:rPr>
          <w:rFonts w:ascii="Calibri" w:hAnsi="Calibri" w:eastAsia="Calibri"/>
          <w:b w:val="0"/>
          <w:i w:val="0"/>
          <w:color w:val="1B2118"/>
          <w:sz w:val="22"/>
        </w:rPr>
        <w:t>Evaluar proveedor — Para qué vale: es el único disparo que produce una decisión. Sin este clic no hay informe, no hay tareas y el chat permanece cerrado.</w:t>
      </w:r>
    </w:p>
    <w:p>
      <w:pPr>
        <w:spacing w:after="160" w:before="0" w:line="240" w:lineRule="auto"/>
      </w:pPr>
      <w:r>
        <w:rPr>
          <w:rFonts w:ascii="Calibri" w:hAnsi="Calibri" w:eastAsia="Calibri"/>
          <w:b w:val="0"/>
          <w:i w:val="0"/>
          <w:color w:val="1B2118"/>
          <w:sz w:val="22"/>
        </w:rPr>
        <w:t>Vaciar ejemplo — Qué hace: limpia el formulario, incluido el caso de demostración, y pone el cursor en el nombre del proveedor. No borra el informe que ya esté a la derecha.</w:t>
      </w:r>
    </w:p>
    <w:p>
      <w:pPr>
        <w:spacing w:after="160" w:before="0" w:line="240" w:lineRule="auto"/>
      </w:pPr>
      <w:r>
        <w:rPr>
          <w:rFonts w:ascii="Calibri" w:hAnsi="Calibri" w:eastAsia="Calibri"/>
          <w:b w:val="0"/>
          <w:i w:val="0"/>
          <w:color w:val="1B2118"/>
          <w:sz w:val="22"/>
        </w:rPr>
        <w:t>Vaciar ejemplo — Para qué vale: pasar de la demo a un expediente real sin arrastrar el texto de ejemplo.</w:t>
      </w:r>
    </w:p>
    <w:p>
      <w:pPr>
        <w:pStyle w:val="Heading2"/>
        <w:spacing w:before="240" w:after="160"/>
      </w:pPr>
      <w:r>
        <w:rPr>
          <w:rFonts w:ascii="Calibri" w:hAnsi="Calibri"/>
          <w:color w:val="1B2118"/>
        </w:rPr>
        <w:t>5.7 Zona izquierda — indicador de modo (completo o simulador)</w:t>
      </w:r>
    </w:p>
    <w:p>
      <w:pPr>
        <w:spacing w:after="160" w:before="0" w:line="240" w:lineRule="auto"/>
      </w:pPr>
      <w:r>
        <w:rPr>
          <w:rFonts w:ascii="Calibri" w:hAnsi="Calibri" w:eastAsia="Calibri"/>
          <w:b w:val="0"/>
          <w:i w:val="0"/>
          <w:color w:val="1B2118"/>
          <w:sz w:val="22"/>
        </w:rPr>
        <w:t>Qué hace: al cargar la página comprueba si la consola tiene configurado un modelo de lenguaje. Muestra una frase en castellano, sin jerga de claves ni archivos técnicos.</w:t>
      </w:r>
    </w:p>
    <w:p>
      <w:pPr>
        <w:pStyle w:val="ListBullet"/>
        <w:spacing w:after="80"/>
      </w:pPr>
      <w:r>
        <w:rPr>
          <w:rFonts w:ascii="Calibri" w:hAnsi="Calibri" w:eastAsia="Calibri"/>
          <w:b/>
          <w:i w:val="0"/>
          <w:color w:val="1B2118"/>
          <w:sz w:val="22"/>
        </w:rPr>
        <w:t>Modo completo:</w:t>
      </w:r>
      <w:r>
        <w:rPr>
          <w:rFonts w:ascii="Calibri" w:hAnsi="Calibri" w:eastAsia="Calibri"/>
          <w:b w:val="0"/>
          <w:i w:val="0"/>
          <w:color w:val="1B2118"/>
          <w:sz w:val="22"/>
        </w:rPr>
        <w:t xml:space="preserve"> la evaluación y el chat usan un modelo; las respuestas pueden ser más flexibles, siempre ancladas al informe de la sesión.</w:t>
      </w:r>
    </w:p>
    <w:p>
      <w:pPr>
        <w:pStyle w:val="ListBullet"/>
        <w:spacing w:after="80"/>
      </w:pPr>
      <w:r>
        <w:rPr>
          <w:rFonts w:ascii="Calibri" w:hAnsi="Calibri" w:eastAsia="Calibri"/>
          <w:b/>
          <w:i w:val="0"/>
          <w:color w:val="1B2118"/>
          <w:sz w:val="22"/>
        </w:rPr>
        <w:t>Modo simulador:</w:t>
      </w:r>
      <w:r>
        <w:rPr>
          <w:rFonts w:ascii="Calibri" w:hAnsi="Calibri" w:eastAsia="Calibri"/>
          <w:b w:val="0"/>
          <w:i w:val="0"/>
          <w:color w:val="1B2118"/>
          <w:sz w:val="22"/>
        </w:rPr>
        <w:t xml:space="preserve"> la evaluación usa reglas de negocio fijas (p. ej. datos personales + sin DPA → escalar). El chat responde por temas (decisión, DPA, Jira, huecos).</w:t>
      </w:r>
    </w:p>
    <w:p>
      <w:pPr>
        <w:spacing w:after="160" w:before="0" w:line="240" w:lineRule="auto"/>
      </w:pPr>
      <w:r>
        <w:rPr>
          <w:rFonts w:ascii="Calibri" w:hAnsi="Calibri" w:eastAsia="Calibri"/>
          <w:b w:val="0"/>
          <w:i w:val="0"/>
          <w:color w:val="1B2118"/>
          <w:sz w:val="22"/>
        </w:rPr>
        <w:t>Para qué vale: que Dirección y Legal sepan si están ante una demo de triaje o ante un análisis más elaborado. En ambos casos el resultado debe revisarse por un humano; el simulador no es un atajo para saltarse a Legal.</w:t>
      </w:r>
    </w:p>
    <w:p>
      <w:pPr>
        <w:pStyle w:val="Heading2"/>
        <w:spacing w:before="240" w:after="160"/>
      </w:pPr>
      <w:r>
        <w:rPr>
          <w:rFonts w:ascii="Calibri" w:hAnsi="Calibri"/>
          <w:color w:val="1B2118"/>
        </w:rPr>
        <w:t>5.8 Zona derecha — franja de veredicto (Decisión, Riesgo, Proveedor, Copiar)</w:t>
      </w:r>
    </w:p>
    <w:p>
      <w:pPr>
        <w:spacing w:after="160" w:before="0" w:line="240" w:lineRule="auto"/>
      </w:pPr>
      <w:r>
        <w:rPr>
          <w:rFonts w:ascii="Calibri" w:hAnsi="Calibri" w:eastAsia="Calibri"/>
          <w:b w:val="0"/>
          <w:i w:val="0"/>
          <w:color w:val="1B2118"/>
          <w:sz w:val="22"/>
        </w:rPr>
        <w:t>Esta franja aparece solo después de evaluar. Es la «portada» del informe. Dirección puede quedarse aquí; Legal debe bajar a las tres columnas.</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1814"/>
            <w:shd w:fill="1B2118" w:val="clear"/>
          </w:tcPr>
          <w:p>
            <w:pPr>
              <w:spacing w:after="40" w:before="40"/>
            </w:pPr>
            <w:r/>
            <w:r>
              <w:rPr>
                <w:rFonts w:ascii="Calibri" w:hAnsi="Calibri" w:eastAsia="Calibri"/>
                <w:b/>
                <w:i w:val="0"/>
                <w:color w:val="FFFFFF"/>
                <w:sz w:val="20"/>
              </w:rPr>
              <w:t>Elemento</w:t>
            </w:r>
          </w:p>
        </w:tc>
        <w:tc>
          <w:tcPr>
            <w:tcW w:type="dxa" w:w="2721"/>
            <w:shd w:fill="1B2118" w:val="clear"/>
          </w:tcPr>
          <w:p>
            <w:pPr>
              <w:spacing w:after="40" w:before="40"/>
            </w:pPr>
            <w:r/>
            <w:r>
              <w:rPr>
                <w:rFonts w:ascii="Calibri" w:hAnsi="Calibri" w:eastAsia="Calibri"/>
                <w:b/>
                <w:i w:val="0"/>
                <w:color w:val="FFFFFF"/>
                <w:sz w:val="20"/>
              </w:rPr>
              <w:t>Qué hace</w:t>
            </w:r>
          </w:p>
        </w:tc>
        <w:tc>
          <w:tcPr>
            <w:tcW w:type="dxa" w:w="2494"/>
            <w:shd w:fill="1B2118" w:val="clear"/>
          </w:tcPr>
          <w:p>
            <w:pPr>
              <w:spacing w:after="40" w:before="40"/>
            </w:pPr>
            <w:r/>
            <w:r>
              <w:rPr>
                <w:rFonts w:ascii="Calibri" w:hAnsi="Calibri" w:eastAsia="Calibri"/>
                <w:b/>
                <w:i w:val="0"/>
                <w:color w:val="FFFFFF"/>
                <w:sz w:val="20"/>
              </w:rPr>
              <w:t>Para qué vale</w:t>
            </w:r>
          </w:p>
        </w:tc>
        <w:tc>
          <w:tcPr>
            <w:tcW w:type="dxa" w:w="2268"/>
            <w:shd w:fill="1B2118" w:val="clear"/>
          </w:tcPr>
          <w:p>
            <w:pPr>
              <w:spacing w:after="40" w:before="40"/>
            </w:pPr>
            <w:r/>
            <w:r>
              <w:rPr>
                <w:rFonts w:ascii="Calibri" w:hAnsi="Calibri" w:eastAsia="Calibri"/>
                <w:b/>
                <w:i w:val="0"/>
                <w:color w:val="FFFFFF"/>
                <w:sz w:val="20"/>
              </w:rPr>
              <w:t>Qué no hace</w:t>
            </w:r>
          </w:p>
        </w:tc>
      </w:tr>
      <w:tr>
        <w:tc>
          <w:tcPr>
            <w:tcW w:type="dxa" w:w="1814"/>
            <w:shd w:fill="FFFFFF" w:val="clear"/>
          </w:tcPr>
          <w:p>
            <w:pPr>
              <w:spacing w:after="40" w:before="40"/>
            </w:pPr>
            <w:r/>
            <w:r>
              <w:rPr>
                <w:rFonts w:ascii="Calibri" w:hAnsi="Calibri" w:eastAsia="Calibri"/>
                <w:b w:val="0"/>
                <w:i w:val="0"/>
                <w:color w:val="1B2118"/>
                <w:sz w:val="20"/>
              </w:rPr>
              <w:t>Decisión (texto grande en castellano)</w:t>
            </w:r>
          </w:p>
        </w:tc>
        <w:tc>
          <w:tcPr>
            <w:tcW w:type="dxa" w:w="2721"/>
            <w:shd w:fill="FFFFFF" w:val="clear"/>
          </w:tcPr>
          <w:p>
            <w:pPr>
              <w:spacing w:after="40" w:before="40"/>
            </w:pPr>
            <w:r/>
            <w:r>
              <w:rPr>
                <w:rFonts w:ascii="Calibri" w:hAnsi="Calibri" w:eastAsia="Calibri"/>
                <w:b w:val="0"/>
                <w:i w:val="0"/>
                <w:color w:val="1B2118"/>
                <w:sz w:val="20"/>
              </w:rPr>
              <w:t>Traduce el veredicto: Aprobar, Aprobar con condiciones, Requiere corrección, Escalar a gobernanza / legal / seguridad, Rechazar. El color acompaña al texto (verde, ámbar o rojo).</w:t>
            </w:r>
          </w:p>
        </w:tc>
        <w:tc>
          <w:tcPr>
            <w:tcW w:type="dxa" w:w="2494"/>
            <w:shd w:fill="FFFFFF" w:val="clear"/>
          </w:tcPr>
          <w:p>
            <w:pPr>
              <w:spacing w:after="40" w:before="40"/>
            </w:pPr>
            <w:r/>
            <w:r>
              <w:rPr>
                <w:rFonts w:ascii="Calibri" w:hAnsi="Calibri" w:eastAsia="Calibri"/>
                <w:b w:val="0"/>
                <w:i w:val="0"/>
                <w:color w:val="1B2118"/>
                <w:sz w:val="20"/>
              </w:rPr>
              <w:t>Saber en un vistazo si se puede seguir, si hay deberes o si hay que parar y elevar.</w:t>
            </w:r>
          </w:p>
        </w:tc>
        <w:tc>
          <w:tcPr>
            <w:tcW w:type="dxa" w:w="2268"/>
            <w:shd w:fill="FFFFFF" w:val="clear"/>
          </w:tcPr>
          <w:p>
            <w:pPr>
              <w:spacing w:after="40" w:before="40"/>
            </w:pPr>
            <w:r/>
            <w:r>
              <w:rPr>
                <w:rFonts w:ascii="Calibri" w:hAnsi="Calibri" w:eastAsia="Calibri"/>
                <w:b w:val="0"/>
                <w:i w:val="0"/>
                <w:color w:val="1B2118"/>
                <w:sz w:val="20"/>
              </w:rPr>
              <w:t>No es una autorización de compra ni un dictamen del DPD. Escalar no es un rechazo definitivo.</w:t>
            </w:r>
          </w:p>
        </w:tc>
      </w:tr>
      <w:tr>
        <w:tc>
          <w:tcPr>
            <w:tcW w:type="dxa" w:w="1814"/>
            <w:shd w:fill="F3F5EE" w:val="clear"/>
          </w:tcPr>
          <w:p>
            <w:pPr>
              <w:spacing w:after="40" w:before="40"/>
            </w:pPr>
            <w:r/>
            <w:r>
              <w:rPr>
                <w:rFonts w:ascii="Calibri" w:hAnsi="Calibri" w:eastAsia="Calibri"/>
                <w:b w:val="0"/>
                <w:i w:val="0"/>
                <w:color w:val="1B2118"/>
                <w:sz w:val="20"/>
              </w:rPr>
              <w:t>Código del sistema (letra pequeña)</w:t>
            </w:r>
          </w:p>
        </w:tc>
        <w:tc>
          <w:tcPr>
            <w:tcW w:type="dxa" w:w="2721"/>
            <w:shd w:fill="F3F5EE" w:val="clear"/>
          </w:tcPr>
          <w:p>
            <w:pPr>
              <w:spacing w:after="40" w:before="40"/>
            </w:pPr>
            <w:r/>
            <w:r>
              <w:rPr>
                <w:rFonts w:ascii="Calibri" w:hAnsi="Calibri" w:eastAsia="Calibri"/>
                <w:b w:val="0"/>
                <w:i w:val="0"/>
                <w:color w:val="1B2118"/>
                <w:sz w:val="20"/>
              </w:rPr>
              <w:t>Repite la etiqueta interna en inglés (p. ej. REQUIRES REMEDIATION), la misma que irá a Jira y al JSON de auditoría.</w:t>
            </w:r>
          </w:p>
        </w:tc>
        <w:tc>
          <w:tcPr>
            <w:tcW w:type="dxa" w:w="2494"/>
            <w:shd w:fill="F3F5EE" w:val="clear"/>
          </w:tcPr>
          <w:p>
            <w:pPr>
              <w:spacing w:after="40" w:before="40"/>
            </w:pPr>
            <w:r/>
            <w:r>
              <w:rPr>
                <w:rFonts w:ascii="Calibri" w:hAnsi="Calibri" w:eastAsia="Calibri"/>
                <w:b w:val="0"/>
                <w:i w:val="0"/>
                <w:color w:val="1B2118"/>
                <w:sz w:val="20"/>
              </w:rPr>
              <w:t>Que GRC y TI no discutan dos nombres distintos para la misma decisión.</w:t>
            </w:r>
          </w:p>
        </w:tc>
        <w:tc>
          <w:tcPr>
            <w:tcW w:type="dxa" w:w="2268"/>
            <w:shd w:fill="F3F5EE" w:val="clear"/>
          </w:tcPr>
          <w:p>
            <w:pPr>
              <w:spacing w:after="40" w:before="40"/>
            </w:pPr>
            <w:r/>
            <w:r>
              <w:rPr>
                <w:rFonts w:ascii="Calibri" w:hAnsi="Calibri" w:eastAsia="Calibri"/>
                <w:b w:val="0"/>
                <w:i w:val="0"/>
                <w:color w:val="1B2118"/>
                <w:sz w:val="20"/>
              </w:rPr>
              <w:t>No hay que usarlo en un correo a Dirección; para eso está el texto en castellano.</w:t>
            </w:r>
          </w:p>
        </w:tc>
      </w:tr>
      <w:tr>
        <w:tc>
          <w:tcPr>
            <w:tcW w:type="dxa" w:w="1814"/>
            <w:shd w:fill="FFFFFF" w:val="clear"/>
          </w:tcPr>
          <w:p>
            <w:pPr>
              <w:spacing w:after="40" w:before="40"/>
            </w:pPr>
            <w:r/>
            <w:r>
              <w:rPr>
                <w:rFonts w:ascii="Calibri" w:hAnsi="Calibri" w:eastAsia="Calibri"/>
                <w:b w:val="0"/>
                <w:i w:val="0"/>
                <w:color w:val="1B2118"/>
                <w:sz w:val="20"/>
              </w:rPr>
              <w:t>Riesgo residual</w:t>
            </w:r>
          </w:p>
        </w:tc>
        <w:tc>
          <w:tcPr>
            <w:tcW w:type="dxa" w:w="2721"/>
            <w:shd w:fill="FFFFFF" w:val="clear"/>
          </w:tcPr>
          <w:p>
            <w:pPr>
              <w:spacing w:after="40" w:before="40"/>
            </w:pPr>
            <w:r/>
            <w:r>
              <w:rPr>
                <w:rFonts w:ascii="Calibri" w:hAnsi="Calibri" w:eastAsia="Calibri"/>
                <w:b w:val="0"/>
                <w:i w:val="0"/>
                <w:color w:val="1B2118"/>
                <w:sz w:val="20"/>
              </w:rPr>
              <w:t>Muestra el nivel (Muy bajo, Bajo, Moderado, Alto, Crítico), también con color y palabra.</w:t>
            </w:r>
          </w:p>
        </w:tc>
        <w:tc>
          <w:tcPr>
            <w:tcW w:type="dxa" w:w="2494"/>
            <w:shd w:fill="FFFFFF" w:val="clear"/>
          </w:tcPr>
          <w:p>
            <w:pPr>
              <w:spacing w:after="40" w:before="40"/>
            </w:pPr>
            <w:r/>
            <w:r>
              <w:rPr>
                <w:rFonts w:ascii="Calibri" w:hAnsi="Calibri" w:eastAsia="Calibri"/>
                <w:b w:val="0"/>
                <w:i w:val="0"/>
                <w:color w:val="1B2118"/>
                <w:sz w:val="20"/>
              </w:rPr>
              <w:t>Priorizar: Alto o Crítico implica no ir a producción sin plan.</w:t>
            </w:r>
          </w:p>
        </w:tc>
        <w:tc>
          <w:tcPr>
            <w:tcW w:type="dxa" w:w="2268"/>
            <w:shd w:fill="FFFFFF" w:val="clear"/>
          </w:tcPr>
          <w:p>
            <w:pPr>
              <w:spacing w:after="40" w:before="40"/>
            </w:pPr>
            <w:r/>
            <w:r>
              <w:rPr>
                <w:rFonts w:ascii="Calibri" w:hAnsi="Calibri" w:eastAsia="Calibri"/>
                <w:b w:val="0"/>
                <w:i w:val="0"/>
                <w:color w:val="1B2118"/>
                <w:sz w:val="20"/>
              </w:rPr>
              <w:t>No es una nota numérica de 1 a 10 del proveedor en abstracto; es el riesgo de este uso con esta evidencia.</w:t>
            </w:r>
          </w:p>
        </w:tc>
      </w:tr>
      <w:tr>
        <w:tc>
          <w:tcPr>
            <w:tcW w:type="dxa" w:w="1814"/>
            <w:shd w:fill="F3F5EE" w:val="clear"/>
          </w:tcPr>
          <w:p>
            <w:pPr>
              <w:spacing w:after="40" w:before="40"/>
            </w:pPr>
            <w:r/>
            <w:r>
              <w:rPr>
                <w:rFonts w:ascii="Calibri" w:hAnsi="Calibri" w:eastAsia="Calibri"/>
                <w:b w:val="0"/>
                <w:i w:val="0"/>
                <w:color w:val="1B2118"/>
                <w:sz w:val="20"/>
              </w:rPr>
              <w:t>Proveedor</w:t>
            </w:r>
          </w:p>
        </w:tc>
        <w:tc>
          <w:tcPr>
            <w:tcW w:type="dxa" w:w="2721"/>
            <w:shd w:fill="F3F5EE" w:val="clear"/>
          </w:tcPr>
          <w:p>
            <w:pPr>
              <w:spacing w:after="40" w:before="40"/>
            </w:pPr>
            <w:r/>
            <w:r>
              <w:rPr>
                <w:rFonts w:ascii="Calibri" w:hAnsi="Calibri" w:eastAsia="Calibri"/>
                <w:b w:val="0"/>
                <w:i w:val="0"/>
                <w:color w:val="1B2118"/>
                <w:sz w:val="20"/>
              </w:rPr>
              <w:t>Repite el nombre que usted escribió.</w:t>
            </w:r>
          </w:p>
        </w:tc>
        <w:tc>
          <w:tcPr>
            <w:tcW w:type="dxa" w:w="2494"/>
            <w:shd w:fill="F3F5EE" w:val="clear"/>
          </w:tcPr>
          <w:p>
            <w:pPr>
              <w:spacing w:after="40" w:before="40"/>
            </w:pPr>
            <w:r/>
            <w:r>
              <w:rPr>
                <w:rFonts w:ascii="Calibri" w:hAnsi="Calibri" w:eastAsia="Calibri"/>
                <w:b w:val="0"/>
                <w:i w:val="0"/>
                <w:color w:val="1B2118"/>
                <w:sz w:val="20"/>
              </w:rPr>
              <w:t>Confirmar que el informe es del tercero correcto si hay varias evaluaciones en el día.</w:t>
            </w:r>
          </w:p>
        </w:tc>
        <w:tc>
          <w:tcPr>
            <w:tcW w:type="dxa" w:w="2268"/>
            <w:shd w:fill="F3F5EE" w:val="clear"/>
          </w:tcPr>
          <w:p>
            <w:pPr>
              <w:spacing w:after="40" w:before="40"/>
            </w:pPr>
            <w:r/>
            <w:r>
              <w:rPr>
                <w:rFonts w:ascii="Calibri" w:hAnsi="Calibri" w:eastAsia="Calibri"/>
                <w:b w:val="0"/>
                <w:i w:val="0"/>
                <w:color w:val="1B2118"/>
                <w:sz w:val="20"/>
              </w:rPr>
              <w:t>No busca el proveedor en un registro oficial.</w:t>
            </w:r>
          </w:p>
        </w:tc>
      </w:tr>
      <w:tr>
        <w:tc>
          <w:tcPr>
            <w:tcW w:type="dxa" w:w="1814"/>
            <w:shd w:fill="FFFFFF" w:val="clear"/>
          </w:tcPr>
          <w:p>
            <w:pPr>
              <w:spacing w:after="40" w:before="40"/>
            </w:pPr>
            <w:r/>
            <w:r>
              <w:rPr>
                <w:rFonts w:ascii="Calibri" w:hAnsi="Calibri" w:eastAsia="Calibri"/>
                <w:b w:val="0"/>
                <w:i w:val="0"/>
                <w:color w:val="1B2118"/>
                <w:sz w:val="20"/>
              </w:rPr>
              <w:t>Copiar informe</w:t>
            </w:r>
          </w:p>
        </w:tc>
        <w:tc>
          <w:tcPr>
            <w:tcW w:type="dxa" w:w="2721"/>
            <w:shd w:fill="FFFFFF" w:val="clear"/>
          </w:tcPr>
          <w:p>
            <w:pPr>
              <w:spacing w:after="40" w:before="40"/>
            </w:pPr>
            <w:r/>
            <w:r>
              <w:rPr>
                <w:rFonts w:ascii="Calibri" w:hAnsi="Calibri" w:eastAsia="Calibri"/>
                <w:b w:val="0"/>
                <w:i w:val="0"/>
                <w:color w:val="1B2118"/>
                <w:sz w:val="20"/>
              </w:rPr>
              <w:t>Copia el informe al portapapeles. En direcciones seguras (https o localhost) usa la API moderna del navegador. Si se abre por http sin certificado, o el navegador deniega el permiso, usa un método alternativo (selección oculta) para que Legal no se quede sin texto. El botón confirma «Informe copiado» o avisa si falló.</w:t>
            </w:r>
          </w:p>
        </w:tc>
        <w:tc>
          <w:tcPr>
            <w:tcW w:type="dxa" w:w="2494"/>
            <w:shd w:fill="FFFFFF" w:val="clear"/>
          </w:tcPr>
          <w:p>
            <w:pPr>
              <w:spacing w:after="40" w:before="40"/>
            </w:pPr>
            <w:r/>
            <w:r>
              <w:rPr>
                <w:rFonts w:ascii="Calibri" w:hAnsi="Calibri" w:eastAsia="Calibri"/>
                <w:b w:val="0"/>
                <w:i w:val="0"/>
                <w:color w:val="1B2118"/>
                <w:sz w:val="20"/>
              </w:rPr>
              <w:t>Pegar en el expediente, un correo a Legal o un ticket. Evita capturas de pantalla ilegibles.</w:t>
            </w:r>
          </w:p>
        </w:tc>
        <w:tc>
          <w:tcPr>
            <w:tcW w:type="dxa" w:w="2268"/>
            <w:shd w:fill="FFFFFF" w:val="clear"/>
          </w:tcPr>
          <w:p>
            <w:pPr>
              <w:spacing w:after="40" w:before="40"/>
            </w:pPr>
            <w:r/>
            <w:r>
              <w:rPr>
                <w:rFonts w:ascii="Calibri" w:hAnsi="Calibri" w:eastAsia="Calibri"/>
                <w:b w:val="0"/>
                <w:i w:val="0"/>
                <w:color w:val="1B2118"/>
                <w:sz w:val="20"/>
              </w:rPr>
              <w:t>No envía el correo, no crea el ticket en Jira y no guarda un archivo en un repositorio.</w:t>
            </w:r>
          </w:p>
        </w:tc>
      </w:tr>
    </w:tbl>
    <w:p/>
    <w:p>
      <w:pPr>
        <w:pStyle w:val="Heading2"/>
        <w:spacing w:before="240" w:after="160"/>
      </w:pPr>
      <w:r>
        <w:rPr>
          <w:rFonts w:ascii="Calibri" w:hAnsi="Calibri"/>
          <w:color w:val="1B2118"/>
        </w:rPr>
        <w:t>5.9 Las tres pestañas del informe (columnas de la derecha)</w:t>
      </w:r>
    </w:p>
    <w:p>
      <w:pPr>
        <w:spacing w:after="160" w:before="0" w:line="240" w:lineRule="auto"/>
      </w:pPr>
      <w:r>
        <w:rPr>
          <w:rFonts w:ascii="Calibri" w:hAnsi="Calibri" w:eastAsia="Calibri"/>
          <w:b w:val="0"/>
          <w:i w:val="0"/>
          <w:color w:val="1B2118"/>
          <w:sz w:val="22"/>
        </w:rPr>
        <w:t>Tras evaluar aparecen tres bloques uno al lado del otro (en una pantalla estrecha, uno debajo de otro). Funcionan como las tres pestañas del expediente. No se «pinchan» para cambiar de vista: se leen en paralelo. Eso es deliberado: Legal debe ver a la vez el problema, la prueba que falta y la tarea.</w:t>
      </w:r>
    </w:p>
    <w:p>
      <w:pPr>
        <w:pStyle w:val="Heading3"/>
        <w:spacing w:before="240" w:after="160"/>
      </w:pPr>
      <w:r>
        <w:rPr>
          <w:rFonts w:ascii="Calibri" w:hAnsi="Calibri"/>
          <w:color w:val="1B2118"/>
        </w:rPr>
        <w:t>Pestaña 1 — Hallazgos</w:t>
      </w:r>
    </w:p>
    <w:p>
      <w:pPr>
        <w:spacing w:after="160" w:before="0" w:line="240" w:lineRule="auto"/>
      </w:pPr>
      <w:r>
        <w:rPr>
          <w:rFonts w:ascii="Calibri" w:hAnsi="Calibri" w:eastAsia="Calibri"/>
          <w:b w:val="0"/>
          <w:i w:val="0"/>
          <w:color w:val="1B2118"/>
          <w:sz w:val="22"/>
        </w:rPr>
        <w:t>Qué hace: lista las alertas que el sistema ha extraído de su declaración. Ejemplos típicos: no hay DPA ejecutado; hay indicios de datos personales sin DPIA; no se aportó pack de seguridad; no se indicó el país.</w:t>
      </w:r>
    </w:p>
    <w:p>
      <w:pPr>
        <w:spacing w:after="160" w:before="0" w:line="240" w:lineRule="auto"/>
      </w:pPr>
      <w:r>
        <w:rPr>
          <w:rFonts w:ascii="Calibri" w:hAnsi="Calibri" w:eastAsia="Calibri"/>
          <w:b w:val="0"/>
          <w:i w:val="0"/>
          <w:color w:val="1B2118"/>
          <w:sz w:val="22"/>
        </w:rPr>
        <w:t>Para qué vale: es el «porqué» de la decisión. Si Dirección pregunta «¿por qué no aprobamos?», esta columna es la respuesta. Cada hallazgo alto o crítico debería tener eco en la pestaña de tareas.</w:t>
      </w:r>
    </w:p>
    <w:p>
      <w:pPr>
        <w:spacing w:after="160" w:before="0" w:line="240" w:lineRule="auto"/>
      </w:pPr>
      <w:r>
        <w:rPr>
          <w:rFonts w:ascii="Calibri" w:hAnsi="Calibri" w:eastAsia="Calibri"/>
          <w:b w:val="0"/>
          <w:i/>
          <w:color w:val="1B2118"/>
          <w:sz w:val="22"/>
        </w:rPr>
        <w:t>Qué no hace: no es una lista de infracciones judiciales. No cita artículos de una ley como si hubiera habido inspección. No sustituye el análisis de un abogado.</w:t>
      </w:r>
    </w:p>
    <w:p>
      <w:pPr>
        <w:spacing w:after="160" w:before="0" w:line="240" w:lineRule="auto"/>
      </w:pPr>
      <w:r>
        <w:rPr>
          <w:rFonts w:ascii="Calibri" w:hAnsi="Calibri" w:eastAsia="Calibri"/>
          <w:b w:val="0"/>
          <w:i w:val="0"/>
          <w:color w:val="1B2118"/>
          <w:sz w:val="22"/>
        </w:rPr>
        <w:t>Cómo usarla: léala completa antes de discutir con el proveedor. Si un hallazgo es falso de hecho (p. ej. sí existe DPA y olvidó marcar la casilla), corrija el formulario y vuelva a evaluar; no discuta con el chat para que «cambie de opinión» sin nueva evidencia.</w:t>
      </w:r>
    </w:p>
    <w:p>
      <w:pPr>
        <w:pStyle w:val="Heading3"/>
        <w:spacing w:before="240" w:after="160"/>
      </w:pPr>
      <w:r>
        <w:rPr>
          <w:rFonts w:ascii="Calibri" w:hAnsi="Calibri"/>
          <w:color w:val="1B2118"/>
        </w:rPr>
        <w:t>Pestaña 2 — Evidencia que falta</w:t>
      </w:r>
    </w:p>
    <w:p>
      <w:pPr>
        <w:spacing w:after="160" w:before="0" w:line="240" w:lineRule="auto"/>
      </w:pPr>
      <w:r>
        <w:rPr>
          <w:rFonts w:ascii="Calibri" w:hAnsi="Calibri" w:eastAsia="Calibri"/>
          <w:b w:val="0"/>
          <w:i w:val="0"/>
          <w:color w:val="1B2118"/>
          <w:sz w:val="22"/>
        </w:rPr>
        <w:t>Qué hace: lista documentos o hechos que no se aportaron en esta sesión. El sistema no afirma que el proveedor no los tenga; afirma que nosotros no los hemos documentado aquí. En el chat, la misma idea se dice «EVIDENCE NOT FOUND».</w:t>
      </w:r>
    </w:p>
    <w:p>
      <w:pPr>
        <w:spacing w:after="160" w:before="0" w:line="240" w:lineRule="auto"/>
      </w:pPr>
      <w:r>
        <w:rPr>
          <w:rFonts w:ascii="Calibri" w:hAnsi="Calibri" w:eastAsia="Calibri"/>
          <w:b w:val="0"/>
          <w:i w:val="0"/>
          <w:color w:val="1B2118"/>
          <w:sz w:val="22"/>
        </w:rPr>
        <w:t>Para qué vale: es la lista de la compra para el dueño del caso de uso. Típicamente: DPA firmado, informe SOC 2 vigente, certificados ISO, ficha o evaluación del modelo, lista de subencargados, país de residencia de los datos, mapa de flujo / DPIA.</w:t>
      </w:r>
    </w:p>
    <w:p>
      <w:pPr>
        <w:spacing w:after="160" w:before="0" w:line="240" w:lineRule="auto"/>
      </w:pPr>
      <w:r>
        <w:rPr>
          <w:rFonts w:ascii="Calibri" w:hAnsi="Calibri" w:eastAsia="Calibri"/>
          <w:b w:val="0"/>
          <w:i/>
          <w:color w:val="1B2118"/>
          <w:sz w:val="22"/>
        </w:rPr>
        <w:t>Qué no hace: no descarga esos documentos del proveedor. No abre el archivo interno de contratos. Si el DPA está en un cajón y no lo han marcado, seguirá apareciendo como falta.</w:t>
      </w:r>
    </w:p>
    <w:p>
      <w:pPr>
        <w:spacing w:after="160" w:before="0" w:line="240" w:lineRule="auto"/>
      </w:pPr>
      <w:r>
        <w:rPr>
          <w:rFonts w:ascii="Calibri" w:hAnsi="Calibri" w:eastAsia="Calibri"/>
          <w:b w:val="0"/>
          <w:i w:val="0"/>
          <w:color w:val="1B2118"/>
          <w:sz w:val="22"/>
        </w:rPr>
        <w:t>Cómo usarla: convierta cada línea en un encargo («Pedir a Compras el DPA firmado», «Pedir a Seguridad el SOC 2»). Cuando tenga la prueba, no la «pegue en el chat»: incorpórela al expediente y lance otra evaluación.</w:t>
      </w:r>
    </w:p>
    <w:p>
      <w:pPr>
        <w:pStyle w:val="Heading3"/>
        <w:spacing w:before="240" w:after="160"/>
      </w:pPr>
      <w:r>
        <w:rPr>
          <w:rFonts w:ascii="Calibri" w:hAnsi="Calibri"/>
          <w:color w:val="1B2118"/>
        </w:rPr>
        <w:t>Pestaña 3 — Tareas propuestas (Jira)</w:t>
      </w:r>
    </w:p>
    <w:p>
      <w:pPr>
        <w:spacing w:after="160" w:before="0" w:line="240" w:lineRule="auto"/>
      </w:pPr>
      <w:r>
        <w:rPr>
          <w:rFonts w:ascii="Calibri" w:hAnsi="Calibri" w:eastAsia="Calibri"/>
          <w:b w:val="0"/>
          <w:i w:val="0"/>
          <w:color w:val="1B2118"/>
          <w:sz w:val="22"/>
        </w:rPr>
        <w:t>Qué hace: convierte los hallazgos graves en tareas con título, prioridad (Highest, High, Medium, Low) y el formato que espera el tablero AIGOV (gobernanza de IA). En pantalla verá el título y la prioridad; el texto largo (riesgo, evidencia, remediación) viaja en el informe copiado y en el JSON técnico.</w:t>
      </w:r>
    </w:p>
    <w:p>
      <w:pPr>
        <w:spacing w:after="160" w:before="0" w:line="240" w:lineRule="auto"/>
      </w:pPr>
      <w:r>
        <w:rPr>
          <w:rFonts w:ascii="Calibri" w:hAnsi="Calibri" w:eastAsia="Calibri"/>
          <w:b w:val="0"/>
          <w:i w:val="0"/>
          <w:color w:val="1B2118"/>
          <w:sz w:val="22"/>
        </w:rPr>
        <w:t>Para qué vale: que Ingeniería, Seguridad o Privacidad sepan qué hay que hacer antes de usar el servicio: firmar DPA, hacer triaje DPIA, pedir SOC 2, etc. Evita un correo vago del tipo «revisad lo de la IA».</w:t>
      </w:r>
    </w:p>
    <w:p>
      <w:pPr>
        <w:spacing w:after="160" w:before="0" w:line="240" w:lineRule="auto"/>
      </w:pPr>
      <w:r>
        <w:rPr>
          <w:rFonts w:ascii="Calibri" w:hAnsi="Calibri" w:eastAsia="Calibri"/>
          <w:b w:val="0"/>
          <w:i/>
          <w:color w:val="1B2118"/>
          <w:sz w:val="22"/>
        </w:rPr>
        <w:t>Qué no hace: no crea el ticket en Jira por sí sola en la versión actual. No asigna persona, no pone fecha límite en el tablero y no avisa al proveedor. TI puede conectar después el envío automático.</w:t>
      </w:r>
    </w:p>
    <w:p>
      <w:pPr>
        <w:spacing w:after="160" w:before="0" w:line="240" w:lineRule="auto"/>
      </w:pPr>
      <w:r>
        <w:rPr>
          <w:rFonts w:ascii="Calibri" w:hAnsi="Calibri" w:eastAsia="Calibri"/>
          <w:b w:val="0"/>
          <w:i w:val="0"/>
          <w:color w:val="1B2118"/>
          <w:sz w:val="22"/>
        </w:rPr>
        <w:t>Cómo usarla: Copiar informe y pegar en un epic, o pedir a TI el volcado. No dé por cerrado un hallazgo solo porque la tarea «está escrita» en la columna.</w:t>
      </w:r>
    </w:p>
    <w:p>
      <w:pPr>
        <w:pStyle w:val="Heading3"/>
        <w:spacing w:before="240" w:after="160"/>
      </w:pPr>
      <w:r>
        <w:rPr>
          <w:rFonts w:ascii="Calibri" w:hAnsi="Calibri"/>
          <w:color w:val="1B2118"/>
        </w:rPr>
        <w:t>Cómo se relacionan las tres pestañas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118"/>
            <w:shd w:fill="1B2118" w:val="clear"/>
          </w:tcPr>
          <w:p>
            <w:pPr>
              <w:spacing w:after="40" w:before="40"/>
            </w:pPr>
            <w:r/>
            <w:r>
              <w:rPr>
                <w:rFonts w:ascii="Calibri" w:hAnsi="Calibri" w:eastAsia="Calibri"/>
                <w:b/>
                <w:i w:val="0"/>
                <w:color w:val="FFFFFF"/>
                <w:sz w:val="20"/>
              </w:rPr>
              <w:t>Si en Hallazgos ve…</w:t>
            </w:r>
          </w:p>
        </w:tc>
        <w:tc>
          <w:tcPr>
            <w:tcW w:type="dxa" w:w="3118"/>
            <w:shd w:fill="1B2118" w:val="clear"/>
          </w:tcPr>
          <w:p>
            <w:pPr>
              <w:spacing w:after="40" w:before="40"/>
            </w:pPr>
            <w:r/>
            <w:r>
              <w:rPr>
                <w:rFonts w:ascii="Calibri" w:hAnsi="Calibri" w:eastAsia="Calibri"/>
                <w:b/>
                <w:i w:val="0"/>
                <w:color w:val="FFFFFF"/>
                <w:sz w:val="20"/>
              </w:rPr>
              <w:t>En Evidencia que falta suele verse…</w:t>
            </w:r>
          </w:p>
        </w:tc>
        <w:tc>
          <w:tcPr>
            <w:tcW w:type="dxa" w:w="3118"/>
            <w:shd w:fill="1B2118" w:val="clear"/>
          </w:tcPr>
          <w:p>
            <w:pPr>
              <w:spacing w:after="40" w:before="40"/>
            </w:pPr>
            <w:r/>
            <w:r>
              <w:rPr>
                <w:rFonts w:ascii="Calibri" w:hAnsi="Calibri" w:eastAsia="Calibri"/>
                <w:b/>
                <w:i w:val="0"/>
                <w:color w:val="FFFFFF"/>
                <w:sz w:val="20"/>
              </w:rPr>
              <w:t>En Tareas propuestas suele verse…</w:t>
            </w:r>
          </w:p>
        </w:tc>
      </w:tr>
      <w:tr>
        <w:tc>
          <w:tcPr>
            <w:tcW w:type="dxa" w:w="3118"/>
            <w:shd w:fill="FFFFFF" w:val="clear"/>
          </w:tcPr>
          <w:p>
            <w:pPr>
              <w:spacing w:after="40" w:before="40"/>
            </w:pPr>
            <w:r/>
            <w:r>
              <w:rPr>
                <w:rFonts w:ascii="Calibri" w:hAnsi="Calibri" w:eastAsia="Calibri"/>
                <w:b w:val="0"/>
                <w:i w:val="0"/>
                <w:color w:val="1B2118"/>
                <w:sz w:val="20"/>
              </w:rPr>
              <w:t>No hay DPA y hay datos personales</w:t>
            </w:r>
          </w:p>
        </w:tc>
        <w:tc>
          <w:tcPr>
            <w:tcW w:type="dxa" w:w="3118"/>
            <w:shd w:fill="FFFFFF" w:val="clear"/>
          </w:tcPr>
          <w:p>
            <w:pPr>
              <w:spacing w:after="40" w:before="40"/>
            </w:pPr>
            <w:r/>
            <w:r>
              <w:rPr>
                <w:rFonts w:ascii="Calibri" w:hAnsi="Calibri" w:eastAsia="Calibri"/>
                <w:b w:val="0"/>
                <w:i w:val="0"/>
                <w:color w:val="1B2118"/>
                <w:sz w:val="20"/>
              </w:rPr>
              <w:t>Acuerdo de encargo ejecutado</w:t>
            </w:r>
          </w:p>
        </w:tc>
        <w:tc>
          <w:tcPr>
            <w:tcW w:type="dxa" w:w="3118"/>
            <w:shd w:fill="FFFFFF" w:val="clear"/>
          </w:tcPr>
          <w:p>
            <w:pPr>
              <w:spacing w:after="40" w:before="40"/>
            </w:pPr>
            <w:r/>
            <w:r>
              <w:rPr>
                <w:rFonts w:ascii="Calibri" w:hAnsi="Calibri" w:eastAsia="Calibri"/>
                <w:b w:val="0"/>
                <w:i w:val="0"/>
                <w:color w:val="1B2118"/>
                <w:sz w:val="20"/>
              </w:rPr>
              <w:t>Tarea de máxima prioridad para firmar y archivar el DPA</w:t>
            </w:r>
          </w:p>
        </w:tc>
      </w:tr>
      <w:tr>
        <w:tc>
          <w:tcPr>
            <w:tcW w:type="dxa" w:w="3118"/>
            <w:shd w:fill="F3F5EE" w:val="clear"/>
          </w:tcPr>
          <w:p>
            <w:pPr>
              <w:spacing w:after="40" w:before="40"/>
            </w:pPr>
            <w:r/>
            <w:r>
              <w:rPr>
                <w:rFonts w:ascii="Calibri" w:hAnsi="Calibri" w:eastAsia="Calibri"/>
                <w:b w:val="0"/>
                <w:i w:val="0"/>
                <w:color w:val="1B2118"/>
                <w:sz w:val="20"/>
              </w:rPr>
              <w:t>Datos personales o sensibles</w:t>
            </w:r>
          </w:p>
        </w:tc>
        <w:tc>
          <w:tcPr>
            <w:tcW w:type="dxa" w:w="3118"/>
            <w:shd w:fill="F3F5EE" w:val="clear"/>
          </w:tcPr>
          <w:p>
            <w:pPr>
              <w:spacing w:after="40" w:before="40"/>
            </w:pPr>
            <w:r/>
            <w:r>
              <w:rPr>
                <w:rFonts w:ascii="Calibri" w:hAnsi="Calibri" w:eastAsia="Calibri"/>
                <w:b w:val="0"/>
                <w:i w:val="0"/>
                <w:color w:val="1B2118"/>
                <w:sz w:val="20"/>
              </w:rPr>
              <w:t>DPIA / mapa de flujo de datos</w:t>
            </w:r>
          </w:p>
        </w:tc>
        <w:tc>
          <w:tcPr>
            <w:tcW w:type="dxa" w:w="3118"/>
            <w:shd w:fill="F3F5EE" w:val="clear"/>
          </w:tcPr>
          <w:p>
            <w:pPr>
              <w:spacing w:after="40" w:before="40"/>
            </w:pPr>
            <w:r/>
            <w:r>
              <w:rPr>
                <w:rFonts w:ascii="Calibri" w:hAnsi="Calibri" w:eastAsia="Calibri"/>
                <w:b w:val="0"/>
                <w:i w:val="0"/>
                <w:color w:val="1B2118"/>
                <w:sz w:val="20"/>
              </w:rPr>
              <w:t>Tarea de triaje de privacidad</w:t>
            </w:r>
          </w:p>
        </w:tc>
      </w:tr>
      <w:tr>
        <w:tc>
          <w:tcPr>
            <w:tcW w:type="dxa" w:w="3118"/>
            <w:shd w:fill="FFFFFF" w:val="clear"/>
          </w:tcPr>
          <w:p>
            <w:pPr>
              <w:spacing w:after="40" w:before="40"/>
            </w:pPr>
            <w:r/>
            <w:r>
              <w:rPr>
                <w:rFonts w:ascii="Calibri" w:hAnsi="Calibri" w:eastAsia="Calibri"/>
                <w:b w:val="0"/>
                <w:i w:val="0"/>
                <w:color w:val="1B2118"/>
                <w:sz w:val="20"/>
              </w:rPr>
              <w:t>Controles de seguridad no demostrados</w:t>
            </w:r>
          </w:p>
        </w:tc>
        <w:tc>
          <w:tcPr>
            <w:tcW w:type="dxa" w:w="3118"/>
            <w:shd w:fill="FFFFFF" w:val="clear"/>
          </w:tcPr>
          <w:p>
            <w:pPr>
              <w:spacing w:after="40" w:before="40"/>
            </w:pPr>
            <w:r/>
            <w:r>
              <w:rPr>
                <w:rFonts w:ascii="Calibri" w:hAnsi="Calibri" w:eastAsia="Calibri"/>
                <w:b w:val="0"/>
                <w:i w:val="0"/>
                <w:color w:val="1B2118"/>
                <w:sz w:val="20"/>
              </w:rPr>
              <w:t>SOC 2, ISO, contacto de incidentes</w:t>
            </w:r>
          </w:p>
        </w:tc>
        <w:tc>
          <w:tcPr>
            <w:tcW w:type="dxa" w:w="3118"/>
            <w:shd w:fill="FFFFFF" w:val="clear"/>
          </w:tcPr>
          <w:p>
            <w:pPr>
              <w:spacing w:after="40" w:before="40"/>
            </w:pPr>
            <w:r/>
            <w:r>
              <w:rPr>
                <w:rFonts w:ascii="Calibri" w:hAnsi="Calibri" w:eastAsia="Calibri"/>
                <w:b w:val="0"/>
                <w:i w:val="0"/>
                <w:color w:val="1B2118"/>
                <w:sz w:val="20"/>
              </w:rPr>
              <w:t>Tarea para pedir el pack de seguridad vigente</w:t>
            </w:r>
          </w:p>
        </w:tc>
      </w:tr>
    </w:tbl>
    <w:p/>
    <w:p>
      <w:pPr>
        <w:spacing w:after="160" w:before="0" w:line="240" w:lineRule="auto"/>
      </w:pPr>
      <w:r>
        <w:rPr>
          <w:rFonts w:ascii="Calibri" w:hAnsi="Calibri" w:eastAsia="Calibri"/>
          <w:b w:val="0"/>
          <w:i/>
          <w:color w:val="1B2118"/>
          <w:sz w:val="22"/>
        </w:rPr>
        <w:t>Regla práctica: Hallazgos = diagnóstico. Evidencia que falta = pruebas a reunir. Tareas = quién debe moverse. Si las tres no cuadran, hay un error de uso (formulario incompleto o informe de una evaluación anterior).</w:t>
      </w:r>
    </w:p>
    <w:p>
      <w:pPr>
        <w:pStyle w:val="Heading2"/>
        <w:spacing w:before="240" w:after="160"/>
      </w:pPr>
      <w:r>
        <w:rPr>
          <w:rFonts w:ascii="Calibri" w:hAnsi="Calibri"/>
          <w:color w:val="1B2118"/>
        </w:rPr>
        <w:t>5.10 Zona derecha — estado vacío («Aún no hay evaluación»)</w:t>
      </w:r>
    </w:p>
    <w:p>
      <w:pPr>
        <w:spacing w:after="160" w:before="0" w:line="240" w:lineRule="auto"/>
      </w:pPr>
      <w:r>
        <w:rPr>
          <w:rFonts w:ascii="Calibri" w:hAnsi="Calibri" w:eastAsia="Calibri"/>
          <w:b w:val="0"/>
          <w:i w:val="0"/>
          <w:color w:val="1B2118"/>
          <w:sz w:val="22"/>
        </w:rPr>
        <w:t>Qué hace: se muestra al entrar, antes del primer «Evaluar proveedor». El recuadro de preguntas está desactivado y el texto indica el siguiente paso.</w:t>
      </w:r>
    </w:p>
    <w:p>
      <w:pPr>
        <w:spacing w:after="160" w:before="0" w:line="240" w:lineRule="auto"/>
      </w:pPr>
      <w:r>
        <w:rPr>
          <w:rFonts w:ascii="Calibri" w:hAnsi="Calibri" w:eastAsia="Calibri"/>
          <w:b w:val="0"/>
          <w:i w:val="0"/>
          <w:color w:val="1B2118"/>
          <w:sz w:val="22"/>
        </w:rPr>
        <w:t>Para qué vale: impide un chat genérico del tipo «¿OpenAI es legal?» sin haber declarado uso ni datos. Esa pregunta, sin intake, no es gobernanza: es opinión.</w:t>
      </w:r>
    </w:p>
    <w:p>
      <w:pPr>
        <w:spacing w:after="160" w:before="0" w:line="240" w:lineRule="auto"/>
      </w:pPr>
      <w:r>
        <w:rPr>
          <w:rFonts w:ascii="Calibri" w:hAnsi="Calibri" w:eastAsia="Calibri"/>
          <w:b w:val="0"/>
          <w:i/>
          <w:color w:val="1B2118"/>
          <w:sz w:val="22"/>
        </w:rPr>
        <w:t>Qué no hace: no carga evaluaciones de otros usuarios. Si recarga la página (F5) y el servidor aún tiene la última evaluación de esa sesión, reaparecen la franja, las tres pestañas y, en el chat, el mismo resumen inicial del informe. No se reconstruyen las preguntas y respuestas posteriores de aquella conversación: esas no se guardan en el servidor.</w:t>
      </w:r>
    </w:p>
    <w:p>
      <w:pPr>
        <w:pStyle w:val="Heading2"/>
        <w:spacing w:before="240" w:after="160"/>
      </w:pPr>
      <w:r>
        <w:rPr>
          <w:rFonts w:ascii="Calibri" w:hAnsi="Calibri"/>
          <w:color w:val="1B2118"/>
        </w:rPr>
        <w:t>5.11 Zona derecha — conversación (globos del asistente y de usted)</w:t>
      </w:r>
    </w:p>
    <w:p>
      <w:pPr>
        <w:spacing w:after="160" w:before="0" w:line="240" w:lineRule="auto"/>
      </w:pPr>
      <w:r>
        <w:rPr>
          <w:rFonts w:ascii="Calibri" w:hAnsi="Calibri" w:eastAsia="Calibri"/>
          <w:b w:val="0"/>
          <w:i w:val="0"/>
          <w:color w:val="1B2118"/>
          <w:sz w:val="22"/>
        </w:rPr>
        <w:t>Qué hace: muestra el diálogo. Tras evaluar —y también al recargar si hay una evaluación en sesión—, el asistente publica un resumen. Usted pregunta; el asistente responde solo con el intake y el informe de esa sesión. Si pregunta algo que no está en esos datos, dirá que la evidencia no se encontró y qué documento la cerraría.</w:t>
      </w:r>
    </w:p>
    <w:p>
      <w:pPr>
        <w:spacing w:after="160" w:before="0" w:line="240" w:lineRule="auto"/>
      </w:pPr>
      <w:r>
        <w:rPr>
          <w:rFonts w:ascii="Calibri" w:hAnsi="Calibri" w:eastAsia="Calibri"/>
          <w:b w:val="0"/>
          <w:i w:val="0"/>
          <w:color w:val="1B2118"/>
          <w:sz w:val="22"/>
        </w:rPr>
        <w:t>Para qué vale: aclarar la decisión a quien no quiera leer las tres columnas. También sirve en una reunión («pregunta en voz alta: ¿qué tickets hay?»).</w:t>
      </w:r>
    </w:p>
    <w:p>
      <w:pPr>
        <w:spacing w:after="160" w:before="0" w:line="240" w:lineRule="auto"/>
      </w:pPr>
      <w:r>
        <w:rPr>
          <w:rFonts w:ascii="Calibri" w:hAnsi="Calibri" w:eastAsia="Calibri"/>
          <w:b w:val="0"/>
          <w:i/>
          <w:color w:val="1B2118"/>
          <w:sz w:val="22"/>
        </w:rPr>
        <w:t>Qué no hace: no modifica la decisión. No es un abogado. No busca en internet ni en el archivo de contratos. Una nueva evaluación borra esta conversación para no mezclar dos proveedores.</w:t>
      </w:r>
    </w:p>
    <w:p>
      <w:pPr>
        <w:pStyle w:val="Heading2"/>
        <w:spacing w:before="240" w:after="160"/>
      </w:pPr>
      <w:r>
        <w:rPr>
          <w:rFonts w:ascii="Calibri" w:hAnsi="Calibri"/>
          <w:color w:val="1B2118"/>
        </w:rPr>
        <w:t>5.12 Zona derecha — pestaña de sugerencias (botones de pregunta)</w:t>
      </w:r>
    </w:p>
    <w:p>
      <w:pPr>
        <w:spacing w:after="160" w:before="0" w:line="240" w:lineRule="auto"/>
      </w:pPr>
      <w:r>
        <w:rPr>
          <w:rFonts w:ascii="Calibri" w:hAnsi="Calibri" w:eastAsia="Calibri"/>
          <w:b w:val="0"/>
          <w:i w:val="0"/>
          <w:color w:val="1B2118"/>
          <w:sz w:val="22"/>
        </w:rPr>
        <w:t>Qué hace: después de evaluar aparecen botones con preguntas frecuentes. Al pulsar uno, se envía esa pregunta al chat, igual que si la hubiera escrito.</w:t>
      </w:r>
    </w:p>
    <w:tbl>
      <w:tblPr>
        <w:tblStyle w:val="TableGrid"/>
        <w:tblW w:type="auto" w:w="0"/>
        <w:tblLayout w:type="autofit"/>
        <w:tblLook w:firstColumn="1" w:firstRow="1" w:lastColumn="0" w:lastRow="0" w:noHBand="0" w:noVBand="1" w:val="04A0"/>
      </w:tblPr>
      <w:tblGrid>
        <w:gridCol w:w="3249"/>
        <w:gridCol w:w="3249"/>
        <w:gridCol w:w="3249"/>
      </w:tblGrid>
      <w:tr>
        <w:tc>
          <w:tcPr>
            <w:tcW w:type="dxa" w:w="2551"/>
            <w:shd w:fill="1B2118" w:val="clear"/>
          </w:tcPr>
          <w:p>
            <w:pPr>
              <w:spacing w:after="40" w:before="40"/>
            </w:pPr>
            <w:r/>
            <w:r>
              <w:rPr>
                <w:rFonts w:ascii="Calibri" w:hAnsi="Calibri" w:eastAsia="Calibri"/>
                <w:b/>
                <w:i w:val="0"/>
                <w:color w:val="FFFFFF"/>
                <w:sz w:val="20"/>
              </w:rPr>
              <w:t>Botón</w:t>
            </w:r>
          </w:p>
        </w:tc>
        <w:tc>
          <w:tcPr>
            <w:tcW w:type="dxa" w:w="3402"/>
            <w:shd w:fill="1B2118" w:val="clear"/>
          </w:tcPr>
          <w:p>
            <w:pPr>
              <w:spacing w:after="40" w:before="40"/>
            </w:pPr>
            <w:r/>
            <w:r>
              <w:rPr>
                <w:rFonts w:ascii="Calibri" w:hAnsi="Calibri" w:eastAsia="Calibri"/>
                <w:b/>
                <w:i w:val="0"/>
                <w:color w:val="FFFFFF"/>
                <w:sz w:val="20"/>
              </w:rPr>
              <w:t>Qué hace internamente</w:t>
            </w:r>
          </w:p>
        </w:tc>
        <w:tc>
          <w:tcPr>
            <w:tcW w:type="dxa" w:w="3402"/>
            <w:shd w:fill="1B2118" w:val="clear"/>
          </w:tcPr>
          <w:p>
            <w:pPr>
              <w:spacing w:after="40" w:before="40"/>
            </w:pPr>
            <w:r/>
            <w:r>
              <w:rPr>
                <w:rFonts w:ascii="Calibri" w:hAnsi="Calibri" w:eastAsia="Calibri"/>
                <w:b/>
                <w:i w:val="0"/>
                <w:color w:val="FFFFFF"/>
                <w:sz w:val="20"/>
              </w:rPr>
              <w:t>Para qué vale</w:t>
            </w:r>
          </w:p>
        </w:tc>
      </w:tr>
      <w:tr>
        <w:tc>
          <w:tcPr>
            <w:tcW w:type="dxa" w:w="2551"/>
            <w:shd w:fill="FFFFFF" w:val="clear"/>
          </w:tcPr>
          <w:p>
            <w:pPr>
              <w:spacing w:after="40" w:before="40"/>
            </w:pPr>
            <w:r/>
            <w:r>
              <w:rPr>
                <w:rFonts w:ascii="Calibri" w:hAnsi="Calibri" w:eastAsia="Calibri"/>
                <w:b w:val="0"/>
                <w:i w:val="0"/>
                <w:color w:val="1B2118"/>
                <w:sz w:val="20"/>
              </w:rPr>
              <w:t>¿Por qué el riesgo es alto?</w:t>
            </w:r>
          </w:p>
        </w:tc>
        <w:tc>
          <w:tcPr>
            <w:tcW w:type="dxa" w:w="3402"/>
            <w:shd w:fill="FFFFFF" w:val="clear"/>
          </w:tcPr>
          <w:p>
            <w:pPr>
              <w:spacing w:after="40" w:before="40"/>
            </w:pPr>
            <w:r/>
            <w:r>
              <w:rPr>
                <w:rFonts w:ascii="Calibri" w:hAnsi="Calibri" w:eastAsia="Calibri"/>
                <w:b w:val="0"/>
                <w:i w:val="0"/>
                <w:color w:val="1B2118"/>
                <w:sz w:val="20"/>
              </w:rPr>
              <w:t>Pide la justificación del riesgo residual y el recuento de hallazgos y huecos.</w:t>
            </w:r>
          </w:p>
        </w:tc>
        <w:tc>
          <w:tcPr>
            <w:tcW w:type="dxa" w:w="3402"/>
            <w:shd w:fill="FFFFFF" w:val="clear"/>
          </w:tcPr>
          <w:p>
            <w:pPr>
              <w:spacing w:after="40" w:before="40"/>
            </w:pPr>
            <w:r/>
            <w:r>
              <w:rPr>
                <w:rFonts w:ascii="Calibri" w:hAnsi="Calibri" w:eastAsia="Calibri"/>
                <w:b w:val="0"/>
                <w:i w:val="0"/>
                <w:color w:val="1B2118"/>
                <w:sz w:val="20"/>
              </w:rPr>
              <w:t>Dirección o el dueño del caso de uso, en una frase.</w:t>
            </w:r>
          </w:p>
        </w:tc>
      </w:tr>
      <w:tr>
        <w:tc>
          <w:tcPr>
            <w:tcW w:type="dxa" w:w="2551"/>
            <w:shd w:fill="F3F5EE" w:val="clear"/>
          </w:tcPr>
          <w:p>
            <w:pPr>
              <w:spacing w:after="40" w:before="40"/>
            </w:pPr>
            <w:r/>
            <w:r>
              <w:rPr>
                <w:rFonts w:ascii="Calibri" w:hAnsi="Calibri" w:eastAsia="Calibri"/>
                <w:b w:val="0"/>
                <w:i w:val="0"/>
                <w:color w:val="1B2118"/>
                <w:sz w:val="20"/>
              </w:rPr>
              <w:t>¿Qué documentos faltan para aprobar?</w:t>
            </w:r>
          </w:p>
        </w:tc>
        <w:tc>
          <w:tcPr>
            <w:tcW w:type="dxa" w:w="3402"/>
            <w:shd w:fill="F3F5EE" w:val="clear"/>
          </w:tcPr>
          <w:p>
            <w:pPr>
              <w:spacing w:after="40" w:before="40"/>
            </w:pPr>
            <w:r/>
            <w:r>
              <w:rPr>
                <w:rFonts w:ascii="Calibri" w:hAnsi="Calibri" w:eastAsia="Calibri"/>
                <w:b w:val="0"/>
                <w:i w:val="0"/>
                <w:color w:val="1B2118"/>
                <w:sz w:val="20"/>
              </w:rPr>
              <w:t>Dirige la respuesta a la lista de evidencia que falta.</w:t>
            </w:r>
          </w:p>
        </w:tc>
        <w:tc>
          <w:tcPr>
            <w:tcW w:type="dxa" w:w="3402"/>
            <w:shd w:fill="F3F5EE" w:val="clear"/>
          </w:tcPr>
          <w:p>
            <w:pPr>
              <w:spacing w:after="40" w:before="40"/>
            </w:pPr>
            <w:r/>
            <w:r>
              <w:rPr>
                <w:rFonts w:ascii="Calibri" w:hAnsi="Calibri" w:eastAsia="Calibri"/>
                <w:b w:val="0"/>
                <w:i w:val="0"/>
                <w:color w:val="1B2118"/>
                <w:sz w:val="20"/>
              </w:rPr>
              <w:t>Preparar la petición a Compras, al proveedor o a Seguridad.</w:t>
            </w:r>
          </w:p>
        </w:tc>
      </w:tr>
      <w:tr>
        <w:tc>
          <w:tcPr>
            <w:tcW w:type="dxa" w:w="2551"/>
            <w:shd w:fill="FFFFFF" w:val="clear"/>
          </w:tcPr>
          <w:p>
            <w:pPr>
              <w:spacing w:after="40" w:before="40"/>
            </w:pPr>
            <w:r/>
            <w:r>
              <w:rPr>
                <w:rFonts w:ascii="Calibri" w:hAnsi="Calibri" w:eastAsia="Calibri"/>
                <w:b w:val="0"/>
                <w:i w:val="0"/>
                <w:color w:val="1B2118"/>
                <w:sz w:val="20"/>
              </w:rPr>
              <w:t>¿Hay un DPA?</w:t>
            </w:r>
          </w:p>
        </w:tc>
        <w:tc>
          <w:tcPr>
            <w:tcW w:type="dxa" w:w="3402"/>
            <w:shd w:fill="FFFFFF" w:val="clear"/>
          </w:tcPr>
          <w:p>
            <w:pPr>
              <w:spacing w:after="40" w:before="40"/>
            </w:pPr>
            <w:r/>
            <w:r>
              <w:rPr>
                <w:rFonts w:ascii="Calibri" w:hAnsi="Calibri" w:eastAsia="Calibri"/>
                <w:b w:val="0"/>
                <w:i w:val="0"/>
                <w:color w:val="1B2118"/>
                <w:sz w:val="20"/>
              </w:rPr>
              <w:t>Lee si usted marcó la casilla, y recuerda que marcarla no equivale a tener el PDF en el chat.</w:t>
            </w:r>
          </w:p>
        </w:tc>
        <w:tc>
          <w:tcPr>
            <w:tcW w:type="dxa" w:w="3402"/>
            <w:shd w:fill="FFFFFF" w:val="clear"/>
          </w:tcPr>
          <w:p>
            <w:pPr>
              <w:spacing w:after="40" w:before="40"/>
            </w:pPr>
            <w:r/>
            <w:r>
              <w:rPr>
                <w:rFonts w:ascii="Calibri" w:hAnsi="Calibri" w:eastAsia="Calibri"/>
                <w:b w:val="0"/>
                <w:i w:val="0"/>
                <w:color w:val="1B2118"/>
                <w:sz w:val="20"/>
              </w:rPr>
              <w:t>Comprobar el error más caro del formulario (casilla mal marcada o no marcada).</w:t>
            </w:r>
          </w:p>
        </w:tc>
      </w:tr>
      <w:tr>
        <w:tc>
          <w:tcPr>
            <w:tcW w:type="dxa" w:w="2551"/>
            <w:shd w:fill="F3F5EE" w:val="clear"/>
          </w:tcPr>
          <w:p>
            <w:pPr>
              <w:spacing w:after="40" w:before="40"/>
            </w:pPr>
            <w:r/>
            <w:r>
              <w:rPr>
                <w:rFonts w:ascii="Calibri" w:hAnsi="Calibri" w:eastAsia="Calibri"/>
                <w:b w:val="0"/>
                <w:i w:val="0"/>
                <w:color w:val="1B2118"/>
                <w:sz w:val="20"/>
              </w:rPr>
              <w:t>¿Qué tareas de Jira se han generado?</w:t>
            </w:r>
          </w:p>
        </w:tc>
        <w:tc>
          <w:tcPr>
            <w:tcW w:type="dxa" w:w="3402"/>
            <w:shd w:fill="F3F5EE" w:val="clear"/>
          </w:tcPr>
          <w:p>
            <w:pPr>
              <w:spacing w:after="40" w:before="40"/>
            </w:pPr>
            <w:r/>
            <w:r>
              <w:rPr>
                <w:rFonts w:ascii="Calibri" w:hAnsi="Calibri" w:eastAsia="Calibri"/>
                <w:b w:val="0"/>
                <w:i w:val="0"/>
                <w:color w:val="1B2118"/>
                <w:sz w:val="20"/>
              </w:rPr>
              <w:t>Enumera las tareas de la tercera pestaña, con prioridad.</w:t>
            </w:r>
          </w:p>
        </w:tc>
        <w:tc>
          <w:tcPr>
            <w:tcW w:type="dxa" w:w="3402"/>
            <w:shd w:fill="F3F5EE" w:val="clear"/>
          </w:tcPr>
          <w:p>
            <w:pPr>
              <w:spacing w:after="40" w:before="40"/>
            </w:pPr>
            <w:r/>
            <w:r>
              <w:rPr>
                <w:rFonts w:ascii="Calibri" w:hAnsi="Calibri" w:eastAsia="Calibri"/>
                <w:b w:val="0"/>
                <w:i w:val="0"/>
                <w:color w:val="1B2118"/>
                <w:sz w:val="20"/>
              </w:rPr>
              <w:t>Pasar el plan de acción a los equipos sin abrir Jira todavía.</w:t>
            </w:r>
          </w:p>
        </w:tc>
      </w:tr>
    </w:tbl>
    <w:p/>
    <w:p>
      <w:pPr>
        <w:spacing w:after="160" w:before="0" w:line="240" w:lineRule="auto"/>
      </w:pPr>
      <w:r>
        <w:rPr>
          <w:rFonts w:ascii="Calibri" w:hAnsi="Calibri" w:eastAsia="Calibri"/>
          <w:b w:val="0"/>
          <w:i w:val="0"/>
          <w:color w:val="1B2118"/>
          <w:sz w:val="22"/>
        </w:rPr>
        <w:t>Puede escribir otras preguntas (NIST, ISO 42001, entrenamiento de modelos con nuestros datos). Si el dato no estaba en el formulario, la respuesta honesta es que falta evidencia.</w:t>
      </w:r>
    </w:p>
    <w:p>
      <w:pPr>
        <w:pStyle w:val="Heading2"/>
        <w:spacing w:before="240" w:after="160"/>
      </w:pPr>
      <w:r>
        <w:rPr>
          <w:rFonts w:ascii="Calibri" w:hAnsi="Calibri"/>
          <w:color w:val="1B2118"/>
        </w:rPr>
        <w:t>5.13 Zona derecha — cuadro de texto y botón «Enviar»</w:t>
      </w:r>
    </w:p>
    <w:p>
      <w:pPr>
        <w:spacing w:after="160" w:before="0" w:line="240" w:lineRule="auto"/>
      </w:pPr>
      <w:r>
        <w:rPr>
          <w:rFonts w:ascii="Calibri" w:hAnsi="Calibri" w:eastAsia="Calibri"/>
          <w:b w:val="0"/>
          <w:i w:val="0"/>
          <w:color w:val="1B2118"/>
          <w:sz w:val="22"/>
        </w:rPr>
        <w:t>Qué hace: es el canal libre. Está inactivo hasta que hay evaluación. «Enviar» lanza la pregunta; mientras responde, se desactiva para no duplicar envíos.</w:t>
      </w:r>
    </w:p>
    <w:p>
      <w:pPr>
        <w:spacing w:after="160" w:before="0" w:line="240" w:lineRule="auto"/>
      </w:pPr>
      <w:r>
        <w:rPr>
          <w:rFonts w:ascii="Calibri" w:hAnsi="Calibri" w:eastAsia="Calibri"/>
          <w:b w:val="0"/>
          <w:i w:val="0"/>
          <w:color w:val="1B2118"/>
          <w:sz w:val="22"/>
        </w:rPr>
        <w:t>Para qué vale: dudas que no cubren los botones, o el lenguaje de un área concreta («¿podemos usarlo con datos de RR. HH.?» — el sistema contestará según lo que usted puso en «Datos que se procesarán», no según el convenio de la empresa).</w:t>
      </w:r>
    </w:p>
    <w:p>
      <w:pPr>
        <w:spacing w:after="160" w:before="0" w:line="240" w:lineRule="auto"/>
      </w:pPr>
      <w:r>
        <w:rPr>
          <w:rFonts w:ascii="Calibri" w:hAnsi="Calibri" w:eastAsia="Calibri"/>
          <w:b w:val="0"/>
          <w:i/>
          <w:color w:val="1B2118"/>
          <w:sz w:val="22"/>
        </w:rPr>
        <w:t>Qué no hace: no adjunta archivos. No hay botón de «subir el DPA en PDF» en esta versión: el DPA se declara con la casilla y se archiva fuera de la consola.</w:t>
      </w:r>
    </w:p>
    <w:p>
      <w:pPr>
        <w:pStyle w:val="Heading2"/>
        <w:spacing w:before="240" w:after="160"/>
      </w:pPr>
      <w:r>
        <w:rPr>
          <w:rFonts w:ascii="Calibri" w:hAnsi="Calibri"/>
          <w:color w:val="1B2118"/>
        </w:rPr>
        <w:t>5.14 Colores (siempre con texto)</w:t>
      </w:r>
    </w:p>
    <w:tbl>
      <w:tblPr>
        <w:tblStyle w:val="TableGrid"/>
        <w:tblW w:type="auto" w:w="0"/>
        <w:tblLayout w:type="autofit"/>
        <w:tblLook w:firstColumn="1" w:firstRow="1" w:lastColumn="0" w:lastRow="0" w:noHBand="0" w:noVBand="1" w:val="04A0"/>
      </w:tblPr>
      <w:tblGrid>
        <w:gridCol w:w="3249"/>
        <w:gridCol w:w="3249"/>
        <w:gridCol w:w="3249"/>
      </w:tblGrid>
      <w:tr>
        <w:tc>
          <w:tcPr>
            <w:tcW w:type="dxa" w:w="2154"/>
            <w:shd w:fill="1B2118" w:val="clear"/>
          </w:tcPr>
          <w:p>
            <w:pPr>
              <w:spacing w:after="40" w:before="40"/>
            </w:pPr>
            <w:r/>
            <w:r>
              <w:rPr>
                <w:rFonts w:ascii="Calibri" w:hAnsi="Calibri" w:eastAsia="Calibri"/>
                <w:b/>
                <w:i w:val="0"/>
                <w:color w:val="FFFFFF"/>
                <w:sz w:val="20"/>
              </w:rPr>
              <w:t>Color en pantalla</w:t>
            </w:r>
          </w:p>
        </w:tc>
        <w:tc>
          <w:tcPr>
            <w:tcW w:type="dxa" w:w="3685"/>
            <w:shd w:fill="1B2118" w:val="clear"/>
          </w:tcPr>
          <w:p>
            <w:pPr>
              <w:spacing w:after="40" w:before="40"/>
            </w:pPr>
            <w:r/>
            <w:r>
              <w:rPr>
                <w:rFonts w:ascii="Calibri" w:hAnsi="Calibri" w:eastAsia="Calibri"/>
                <w:b/>
                <w:i w:val="0"/>
                <w:color w:val="FFFFFF"/>
                <w:sz w:val="20"/>
              </w:rPr>
              <w:t>Significado</w:t>
            </w:r>
          </w:p>
        </w:tc>
        <w:tc>
          <w:tcPr>
            <w:tcW w:type="dxa" w:w="3515"/>
            <w:shd w:fill="1B2118" w:val="clear"/>
          </w:tcPr>
          <w:p>
            <w:pPr>
              <w:spacing w:after="40" w:before="40"/>
            </w:pPr>
            <w:r/>
            <w:r>
              <w:rPr>
                <w:rFonts w:ascii="Calibri" w:hAnsi="Calibri" w:eastAsia="Calibri"/>
                <w:b/>
                <w:i w:val="0"/>
                <w:color w:val="FFFFFF"/>
                <w:sz w:val="20"/>
              </w:rPr>
              <w:t>No interprete solo el color</w:t>
            </w:r>
          </w:p>
        </w:tc>
      </w:tr>
      <w:tr>
        <w:tc>
          <w:tcPr>
            <w:tcW w:type="dxa" w:w="2154"/>
            <w:shd w:fill="FFFFFF" w:val="clear"/>
          </w:tcPr>
          <w:p>
            <w:pPr>
              <w:spacing w:after="40" w:before="40"/>
            </w:pPr>
            <w:r/>
            <w:r>
              <w:rPr>
                <w:rFonts w:ascii="Calibri" w:hAnsi="Calibri" w:eastAsia="Calibri"/>
                <w:b w:val="0"/>
                <w:i w:val="0"/>
                <w:color w:val="1B2118"/>
                <w:sz w:val="20"/>
              </w:rPr>
              <w:t>Verde</w:t>
            </w:r>
          </w:p>
        </w:tc>
        <w:tc>
          <w:tcPr>
            <w:tcW w:type="dxa" w:w="3685"/>
            <w:shd w:fill="FFFFFF" w:val="clear"/>
          </w:tcPr>
          <w:p>
            <w:pPr>
              <w:spacing w:after="40" w:before="40"/>
            </w:pPr>
            <w:r/>
            <w:r>
              <w:rPr>
                <w:rFonts w:ascii="Calibri" w:hAnsi="Calibri" w:eastAsia="Calibri"/>
                <w:b w:val="0"/>
                <w:i w:val="0"/>
                <w:color w:val="1B2118"/>
                <w:sz w:val="20"/>
              </w:rPr>
              <w:t>Aprobar, o riesgo bajo / muy bajo.</w:t>
            </w:r>
          </w:p>
        </w:tc>
        <w:tc>
          <w:tcPr>
            <w:tcW w:type="dxa" w:w="3515"/>
            <w:shd w:fill="FFFFFF" w:val="clear"/>
          </w:tcPr>
          <w:p>
            <w:pPr>
              <w:spacing w:after="40" w:before="40"/>
            </w:pPr>
            <w:r/>
            <w:r>
              <w:rPr>
                <w:rFonts w:ascii="Calibri" w:hAnsi="Calibri" w:eastAsia="Calibri"/>
                <w:b w:val="0"/>
                <w:i w:val="0"/>
                <w:color w:val="1B2118"/>
                <w:sz w:val="20"/>
              </w:rPr>
              <w:t>Lea también la palabra: Aprobar / Bajo.</w:t>
            </w:r>
          </w:p>
        </w:tc>
      </w:tr>
      <w:tr>
        <w:tc>
          <w:tcPr>
            <w:tcW w:type="dxa" w:w="2154"/>
            <w:shd w:fill="F3F5EE" w:val="clear"/>
          </w:tcPr>
          <w:p>
            <w:pPr>
              <w:spacing w:after="40" w:before="40"/>
            </w:pPr>
            <w:r/>
            <w:r>
              <w:rPr>
                <w:rFonts w:ascii="Calibri" w:hAnsi="Calibri" w:eastAsia="Calibri"/>
                <w:b w:val="0"/>
                <w:i w:val="0"/>
                <w:color w:val="1B2118"/>
                <w:sz w:val="20"/>
              </w:rPr>
              <w:t>Ámbar</w:t>
            </w:r>
          </w:p>
        </w:tc>
        <w:tc>
          <w:tcPr>
            <w:tcW w:type="dxa" w:w="3685"/>
            <w:shd w:fill="F3F5EE" w:val="clear"/>
          </w:tcPr>
          <w:p>
            <w:pPr>
              <w:spacing w:after="40" w:before="40"/>
            </w:pPr>
            <w:r/>
            <w:r>
              <w:rPr>
                <w:rFonts w:ascii="Calibri" w:hAnsi="Calibri" w:eastAsia="Calibri"/>
                <w:b w:val="0"/>
                <w:i w:val="0"/>
                <w:color w:val="1B2118"/>
                <w:sz w:val="20"/>
              </w:rPr>
              <w:t>Aprobar con condiciones, requiere corrección, o riesgo moderado.</w:t>
            </w:r>
          </w:p>
        </w:tc>
        <w:tc>
          <w:tcPr>
            <w:tcW w:type="dxa" w:w="3515"/>
            <w:shd w:fill="F3F5EE" w:val="clear"/>
          </w:tcPr>
          <w:p>
            <w:pPr>
              <w:spacing w:after="40" w:before="40"/>
            </w:pPr>
            <w:r/>
            <w:r>
              <w:rPr>
                <w:rFonts w:ascii="Calibri" w:hAnsi="Calibri" w:eastAsia="Calibri"/>
                <w:b w:val="0"/>
                <w:i w:val="0"/>
                <w:color w:val="1B2118"/>
                <w:sz w:val="20"/>
              </w:rPr>
              <w:t>Hay trabajo pendiente; no es un aprobado limpio.</w:t>
            </w:r>
          </w:p>
        </w:tc>
      </w:tr>
      <w:tr>
        <w:tc>
          <w:tcPr>
            <w:tcW w:type="dxa" w:w="2154"/>
            <w:shd w:fill="FFFFFF" w:val="clear"/>
          </w:tcPr>
          <w:p>
            <w:pPr>
              <w:spacing w:after="40" w:before="40"/>
            </w:pPr>
            <w:r/>
            <w:r>
              <w:rPr>
                <w:rFonts w:ascii="Calibri" w:hAnsi="Calibri" w:eastAsia="Calibri"/>
                <w:b w:val="0"/>
                <w:i w:val="0"/>
                <w:color w:val="1B2118"/>
                <w:sz w:val="20"/>
              </w:rPr>
              <w:t>Rojo</w:t>
            </w:r>
          </w:p>
        </w:tc>
        <w:tc>
          <w:tcPr>
            <w:tcW w:type="dxa" w:w="3685"/>
            <w:shd w:fill="FFFFFF" w:val="clear"/>
          </w:tcPr>
          <w:p>
            <w:pPr>
              <w:spacing w:after="40" w:before="40"/>
            </w:pPr>
            <w:r/>
            <w:r>
              <w:rPr>
                <w:rFonts w:ascii="Calibri" w:hAnsi="Calibri" w:eastAsia="Calibri"/>
                <w:b w:val="0"/>
                <w:i w:val="0"/>
                <w:color w:val="1B2118"/>
                <w:sz w:val="20"/>
              </w:rPr>
              <w:t>Escalar, rechazar, o riesgo alto / crítico.</w:t>
            </w:r>
          </w:p>
        </w:tc>
        <w:tc>
          <w:tcPr>
            <w:tcW w:type="dxa" w:w="3515"/>
            <w:shd w:fill="FFFFFF" w:val="clear"/>
          </w:tcPr>
          <w:p>
            <w:pPr>
              <w:spacing w:after="40" w:before="40"/>
            </w:pPr>
            <w:r/>
            <w:r>
              <w:rPr>
                <w:rFonts w:ascii="Calibri" w:hAnsi="Calibri" w:eastAsia="Calibri"/>
                <w:b w:val="0"/>
                <w:i w:val="0"/>
                <w:color w:val="1B2118"/>
                <w:sz w:val="20"/>
              </w:rPr>
              <w:t>Pare y eleve. No es un semáforo de «el proveedor es malo», es «no hay base para seguir».</w:t>
            </w:r>
          </w:p>
        </w:tc>
      </w:tr>
    </w:tbl>
    <w:p/>
    <w:p>
      <w:pPr>
        <w:pStyle w:val="Heading2"/>
        <w:spacing w:before="240" w:after="160"/>
      </w:pPr>
      <w:r>
        <w:rPr>
          <w:rFonts w:ascii="Calibri" w:hAnsi="Calibri"/>
          <w:color w:val="1B2118"/>
        </w:rPr>
        <w:t>5.15 Qué se evitó a propósito (no son fallos)</w:t>
      </w:r>
    </w:p>
    <w:p>
      <w:pPr>
        <w:pStyle w:val="ListBullet"/>
        <w:spacing w:after="80"/>
      </w:pPr>
      <w:r>
        <w:rPr>
          <w:rFonts w:ascii="Calibri" w:hAnsi="Calibri" w:eastAsia="Calibri"/>
          <w:b w:val="0"/>
          <w:i w:val="0"/>
          <w:color w:val="1B2118"/>
          <w:sz w:val="22"/>
        </w:rPr>
        <w:t>No hay una pestaña «Aprobar» ni un clic verde que cierre el expediente: la gobernanza exige leer hallazgos y evidencia.</w:t>
      </w:r>
    </w:p>
    <w:p>
      <w:pPr>
        <w:pStyle w:val="ListBullet"/>
        <w:spacing w:after="80"/>
      </w:pPr>
      <w:r>
        <w:rPr>
          <w:rFonts w:ascii="Calibri" w:hAnsi="Calibri" w:eastAsia="Calibri"/>
          <w:b w:val="0"/>
          <w:i w:val="0"/>
          <w:color w:val="1B2118"/>
          <w:sz w:val="22"/>
        </w:rPr>
        <w:t>Las tres pestañas del informe se ven a la vez, no como solapas que ocultan las otras: así no se aprueba mirando solo las tareas.</w:t>
      </w:r>
    </w:p>
    <w:p>
      <w:pPr>
        <w:pStyle w:val="ListBullet"/>
        <w:spacing w:after="80"/>
      </w:pPr>
      <w:r>
        <w:rPr>
          <w:rFonts w:ascii="Calibri" w:hAnsi="Calibri" w:eastAsia="Calibri"/>
          <w:b w:val="0"/>
          <w:i w:val="0"/>
          <w:color w:val="1B2118"/>
          <w:sz w:val="22"/>
        </w:rPr>
        <w:t>No se oculta el código inglés de la decisión: auditoría y Jira lo necesitan; la etiqueta en castellano es para lectura humana.</w:t>
      </w:r>
    </w:p>
    <w:p>
      <w:pPr>
        <w:pStyle w:val="ListBullet"/>
        <w:spacing w:after="80"/>
      </w:pPr>
      <w:r>
        <w:rPr>
          <w:rFonts w:ascii="Calibri" w:hAnsi="Calibri" w:eastAsia="Calibri"/>
          <w:b w:val="0"/>
          <w:i w:val="0"/>
          <w:color w:val="1B2118"/>
          <w:sz w:val="22"/>
        </w:rPr>
        <w:t>No se pide al usuario que sepa qué es un «LLM» o un archivo de configuración.</w:t>
      </w:r>
    </w:p>
    <w:p>
      <w:pPr>
        <w:pStyle w:val="ListBullet"/>
        <w:spacing w:after="80"/>
      </w:pPr>
      <w:r>
        <w:rPr>
          <w:rFonts w:ascii="Calibri" w:hAnsi="Calibri" w:eastAsia="Calibri"/>
          <w:b w:val="0"/>
          <w:i w:val="0"/>
          <w:color w:val="1B2118"/>
          <w:sz w:val="22"/>
        </w:rPr>
        <w:t>El chat no está disponible al entrar: evita respuestas genéricas sin intake.</w:t>
      </w:r>
    </w:p>
    <w:p>
      <w:pPr>
        <w:pStyle w:val="Heading1"/>
        <w:spacing w:before="320" w:after="160"/>
      </w:pPr>
      <w:r>
        <w:rPr>
          <w:rFonts w:ascii="Calibri" w:hAnsi="Calibri"/>
          <w:color w:val="3D5A1F"/>
        </w:rPr>
        <w:t>6. El proceso, en tres pasos</w:t>
      </w:r>
    </w:p>
    <w:p>
      <w:pPr>
        <w:pStyle w:val="Heading2"/>
        <w:spacing w:before="240" w:after="160"/>
      </w:pPr>
      <w:r>
        <w:rPr>
          <w:rFonts w:ascii="Calibri" w:hAnsi="Calibri"/>
          <w:color w:val="1B2118"/>
        </w:rPr>
        <w:t>Paso 1. Introducir la información del proveedor (intake)</w:t>
      </w:r>
    </w:p>
    <w:p>
      <w:pPr>
        <w:spacing w:after="160" w:before="0" w:line="240" w:lineRule="auto"/>
      </w:pPr>
      <w:r>
        <w:rPr>
          <w:rFonts w:ascii="Calibri" w:hAnsi="Calibri" w:eastAsia="Calibri"/>
          <w:b w:val="0"/>
          <w:i w:val="0"/>
          <w:color w:val="1B2118"/>
          <w:sz w:val="22"/>
        </w:rPr>
        <w:t>Rellene el formulario de la izquierda. Cuanto más precisa sea la información, más útil será el informe. Los campos obligatorios bastan para una primera triaje; los opcionales evitan falsos huecos.</w:t>
      </w:r>
    </w:p>
    <w:tbl>
      <w:tblPr>
        <w:tblStyle w:val="TableGrid"/>
        <w:tblW w:type="auto" w:w="0"/>
        <w:tblLayout w:type="autofit"/>
        <w:tblLook w:firstColumn="1" w:firstRow="1" w:lastColumn="0" w:lastRow="0" w:noHBand="0" w:noVBand="1" w:val="04A0"/>
      </w:tblPr>
      <w:tblGrid>
        <w:gridCol w:w="3249"/>
        <w:gridCol w:w="3249"/>
        <w:gridCol w:w="3249"/>
      </w:tblGrid>
      <w:tr>
        <w:tc>
          <w:tcPr>
            <w:tcW w:type="dxa" w:w="2381"/>
            <w:shd w:fill="1B2118" w:val="clear"/>
          </w:tcPr>
          <w:p>
            <w:pPr>
              <w:spacing w:after="40" w:before="40"/>
            </w:pPr>
            <w:r/>
            <w:r>
              <w:rPr>
                <w:rFonts w:ascii="Calibri" w:hAnsi="Calibri" w:eastAsia="Calibri"/>
                <w:b/>
                <w:i w:val="0"/>
                <w:color w:val="FFFFFF"/>
                <w:sz w:val="20"/>
              </w:rPr>
              <w:t>Campo en pantalla</w:t>
            </w:r>
          </w:p>
        </w:tc>
        <w:tc>
          <w:tcPr>
            <w:tcW w:type="dxa" w:w="5386"/>
            <w:shd w:fill="1B2118" w:val="clear"/>
          </w:tcPr>
          <w:p>
            <w:pPr>
              <w:spacing w:after="40" w:before="40"/>
            </w:pPr>
            <w:r/>
            <w:r>
              <w:rPr>
                <w:rFonts w:ascii="Calibri" w:hAnsi="Calibri" w:eastAsia="Calibri"/>
                <w:b/>
                <w:i w:val="0"/>
                <w:color w:val="FFFFFF"/>
                <w:sz w:val="20"/>
              </w:rPr>
              <w:t>Qué poner</w:t>
            </w:r>
          </w:p>
        </w:tc>
        <w:tc>
          <w:tcPr>
            <w:tcW w:type="dxa" w:w="1587"/>
            <w:shd w:fill="1B2118" w:val="clear"/>
          </w:tcPr>
          <w:p>
            <w:pPr>
              <w:spacing w:after="40" w:before="40"/>
            </w:pPr>
            <w:r/>
            <w:r>
              <w:rPr>
                <w:rFonts w:ascii="Calibri" w:hAnsi="Calibri" w:eastAsia="Calibri"/>
                <w:b/>
                <w:i w:val="0"/>
                <w:color w:val="FFFFFF"/>
                <w:sz w:val="20"/>
              </w:rPr>
              <w:t>Obligatorio</w:t>
            </w:r>
          </w:p>
        </w:tc>
      </w:tr>
      <w:tr>
        <w:tc>
          <w:tcPr>
            <w:tcW w:type="dxa" w:w="2381"/>
            <w:shd w:fill="FFFFFF" w:val="clear"/>
          </w:tcPr>
          <w:p>
            <w:pPr>
              <w:spacing w:after="40" w:before="40"/>
            </w:pPr>
            <w:r/>
            <w:r>
              <w:rPr>
                <w:rFonts w:ascii="Calibri" w:hAnsi="Calibri" w:eastAsia="Calibri"/>
                <w:b w:val="0"/>
                <w:i w:val="0"/>
                <w:color w:val="1B2118"/>
                <w:sz w:val="20"/>
              </w:rPr>
              <w:t>Nombre del proveedor</w:t>
            </w:r>
          </w:p>
        </w:tc>
        <w:tc>
          <w:tcPr>
            <w:tcW w:type="dxa" w:w="5386"/>
            <w:shd w:fill="FFFFFF" w:val="clear"/>
          </w:tcPr>
          <w:p>
            <w:pPr>
              <w:spacing w:after="40" w:before="40"/>
            </w:pPr>
            <w:r/>
            <w:r>
              <w:rPr>
                <w:rFonts w:ascii="Calibri" w:hAnsi="Calibri" w:eastAsia="Calibri"/>
                <w:b w:val="0"/>
                <w:i w:val="0"/>
                <w:color w:val="1B2118"/>
                <w:sz w:val="20"/>
              </w:rPr>
              <w:t>Nombre comercial del proveedor (p. ej. OpenAI).</w:t>
            </w:r>
          </w:p>
        </w:tc>
        <w:tc>
          <w:tcPr>
            <w:tcW w:type="dxa" w:w="1587"/>
            <w:shd w:fill="FFFFFF" w:val="clear"/>
          </w:tcPr>
          <w:p>
            <w:pPr>
              <w:spacing w:after="40" w:before="40"/>
            </w:pPr>
            <w:r/>
            <w:r>
              <w:rPr>
                <w:rFonts w:ascii="Calibri" w:hAnsi="Calibri" w:eastAsia="Calibri"/>
                <w:b w:val="0"/>
                <w:i w:val="0"/>
                <w:color w:val="1B2118"/>
                <w:sz w:val="20"/>
              </w:rPr>
              <w:t>Sí</w:t>
            </w:r>
          </w:p>
        </w:tc>
      </w:tr>
      <w:tr>
        <w:tc>
          <w:tcPr>
            <w:tcW w:type="dxa" w:w="2381"/>
            <w:shd w:fill="F3F5EE" w:val="clear"/>
          </w:tcPr>
          <w:p>
            <w:pPr>
              <w:spacing w:after="40" w:before="40"/>
            </w:pPr>
            <w:r/>
            <w:r>
              <w:rPr>
                <w:rFonts w:ascii="Calibri" w:hAnsi="Calibri" w:eastAsia="Calibri"/>
                <w:b w:val="0"/>
                <w:i w:val="0"/>
                <w:color w:val="1B2118"/>
                <w:sz w:val="20"/>
              </w:rPr>
              <w:t>Descripción del servicio</w:t>
            </w:r>
          </w:p>
        </w:tc>
        <w:tc>
          <w:tcPr>
            <w:tcW w:type="dxa" w:w="5386"/>
            <w:shd w:fill="F3F5EE" w:val="clear"/>
          </w:tcPr>
          <w:p>
            <w:pPr>
              <w:spacing w:after="40" w:before="40"/>
            </w:pPr>
            <w:r/>
            <w:r>
              <w:rPr>
                <w:rFonts w:ascii="Calibri" w:hAnsi="Calibri" w:eastAsia="Calibri"/>
                <w:b w:val="0"/>
                <w:i w:val="0"/>
                <w:color w:val="1B2118"/>
                <w:sz w:val="20"/>
              </w:rPr>
              <w:t>Qué producto o servicio se quiere usar.</w:t>
            </w:r>
          </w:p>
        </w:tc>
        <w:tc>
          <w:tcPr>
            <w:tcW w:type="dxa" w:w="1587"/>
            <w:shd w:fill="F3F5EE" w:val="clear"/>
          </w:tcPr>
          <w:p>
            <w:pPr>
              <w:spacing w:after="40" w:before="40"/>
            </w:pPr>
            <w:r/>
            <w:r>
              <w:rPr>
                <w:rFonts w:ascii="Calibri" w:hAnsi="Calibri" w:eastAsia="Calibri"/>
                <w:b w:val="0"/>
                <w:i w:val="0"/>
                <w:color w:val="1B2118"/>
                <w:sz w:val="20"/>
              </w:rPr>
              <w:t>Sí</w:t>
            </w:r>
          </w:p>
        </w:tc>
      </w:tr>
      <w:tr>
        <w:tc>
          <w:tcPr>
            <w:tcW w:type="dxa" w:w="2381"/>
            <w:shd w:fill="FFFFFF" w:val="clear"/>
          </w:tcPr>
          <w:p>
            <w:pPr>
              <w:spacing w:after="40" w:before="40"/>
            </w:pPr>
            <w:r/>
            <w:r>
              <w:rPr>
                <w:rFonts w:ascii="Calibri" w:hAnsi="Calibri" w:eastAsia="Calibri"/>
                <w:b w:val="0"/>
                <w:i w:val="0"/>
                <w:color w:val="1B2118"/>
                <w:sz w:val="20"/>
              </w:rPr>
              <w:t>Uso previsto en la empresa</w:t>
            </w:r>
          </w:p>
        </w:tc>
        <w:tc>
          <w:tcPr>
            <w:tcW w:type="dxa" w:w="5386"/>
            <w:shd w:fill="FFFFFF" w:val="clear"/>
          </w:tcPr>
          <w:p>
            <w:pPr>
              <w:spacing w:after="40" w:before="40"/>
            </w:pPr>
            <w:r/>
            <w:r>
              <w:rPr>
                <w:rFonts w:ascii="Calibri" w:hAnsi="Calibri" w:eastAsia="Calibri"/>
                <w:b w:val="0"/>
                <w:i w:val="0"/>
                <w:color w:val="1B2118"/>
                <w:sz w:val="20"/>
              </w:rPr>
              <w:t>Para qué lo usará la empresa (copiloto interno, atención al cliente, etc.).</w:t>
            </w:r>
          </w:p>
        </w:tc>
        <w:tc>
          <w:tcPr>
            <w:tcW w:type="dxa" w:w="1587"/>
            <w:shd w:fill="FFFFFF" w:val="clear"/>
          </w:tcPr>
          <w:p>
            <w:pPr>
              <w:spacing w:after="40" w:before="40"/>
            </w:pPr>
            <w:r/>
            <w:r>
              <w:rPr>
                <w:rFonts w:ascii="Calibri" w:hAnsi="Calibri" w:eastAsia="Calibri"/>
                <w:b w:val="0"/>
                <w:i w:val="0"/>
                <w:color w:val="1B2118"/>
                <w:sz w:val="20"/>
              </w:rPr>
              <w:t>Sí</w:t>
            </w:r>
          </w:p>
        </w:tc>
      </w:tr>
      <w:tr>
        <w:tc>
          <w:tcPr>
            <w:tcW w:type="dxa" w:w="2381"/>
            <w:shd w:fill="F3F5EE" w:val="clear"/>
          </w:tcPr>
          <w:p>
            <w:pPr>
              <w:spacing w:after="40" w:before="40"/>
            </w:pPr>
            <w:r/>
            <w:r>
              <w:rPr>
                <w:rFonts w:ascii="Calibri" w:hAnsi="Calibri" w:eastAsia="Calibri"/>
                <w:b w:val="0"/>
                <w:i w:val="0"/>
                <w:color w:val="1B2118"/>
                <w:sz w:val="20"/>
              </w:rPr>
              <w:t>Datos que se procesarán</w:t>
            </w:r>
          </w:p>
        </w:tc>
        <w:tc>
          <w:tcPr>
            <w:tcW w:type="dxa" w:w="5386"/>
            <w:shd w:fill="F3F5EE" w:val="clear"/>
          </w:tcPr>
          <w:p>
            <w:pPr>
              <w:spacing w:after="40" w:before="40"/>
            </w:pPr>
            <w:r/>
            <w:r>
              <w:rPr>
                <w:rFonts w:ascii="Calibri" w:hAnsi="Calibri" w:eastAsia="Calibri"/>
                <w:b w:val="0"/>
                <w:i w:val="0"/>
                <w:color w:val="1B2118"/>
                <w:sz w:val="20"/>
              </w:rPr>
              <w:t>Qué datos viajarán: personales, de clientes, salud, secretos internos, solo datos públicos…</w:t>
            </w:r>
          </w:p>
        </w:tc>
        <w:tc>
          <w:tcPr>
            <w:tcW w:type="dxa" w:w="1587"/>
            <w:shd w:fill="F3F5EE" w:val="clear"/>
          </w:tcPr>
          <w:p>
            <w:pPr>
              <w:spacing w:after="40" w:before="40"/>
            </w:pPr>
            <w:r/>
            <w:r>
              <w:rPr>
                <w:rFonts w:ascii="Calibri" w:hAnsi="Calibri" w:eastAsia="Calibri"/>
                <w:b w:val="0"/>
                <w:i w:val="0"/>
                <w:color w:val="1B2118"/>
                <w:sz w:val="20"/>
              </w:rPr>
              <w:t>Sí</w:t>
            </w:r>
          </w:p>
        </w:tc>
      </w:tr>
      <w:tr>
        <w:tc>
          <w:tcPr>
            <w:tcW w:type="dxa" w:w="2381"/>
            <w:shd w:fill="FFFFFF" w:val="clear"/>
          </w:tcPr>
          <w:p>
            <w:pPr>
              <w:spacing w:after="40" w:before="40"/>
            </w:pPr>
            <w:r/>
            <w:r>
              <w:rPr>
                <w:rFonts w:ascii="Calibri" w:hAnsi="Calibri" w:eastAsia="Calibri"/>
                <w:b w:val="0"/>
                <w:i w:val="0"/>
                <w:color w:val="1B2118"/>
                <w:sz w:val="20"/>
              </w:rPr>
              <w:t>Responsable de negocio</w:t>
            </w:r>
          </w:p>
        </w:tc>
        <w:tc>
          <w:tcPr>
            <w:tcW w:type="dxa" w:w="5386"/>
            <w:shd w:fill="FFFFFF" w:val="clear"/>
          </w:tcPr>
          <w:p>
            <w:pPr>
              <w:spacing w:after="40" w:before="40"/>
            </w:pPr>
            <w:r/>
            <w:r>
              <w:rPr>
                <w:rFonts w:ascii="Calibri" w:hAnsi="Calibri" w:eastAsia="Calibri"/>
                <w:b w:val="0"/>
                <w:i w:val="0"/>
                <w:color w:val="1B2118"/>
                <w:sz w:val="20"/>
              </w:rPr>
              <w:t>Persona o área responsable del caso de uso. Está bajo «Información adicional».</w:t>
            </w:r>
          </w:p>
        </w:tc>
        <w:tc>
          <w:tcPr>
            <w:tcW w:type="dxa" w:w="1587"/>
            <w:shd w:fill="FFFFFF" w:val="clear"/>
          </w:tcPr>
          <w:p>
            <w:pPr>
              <w:spacing w:after="40" w:before="40"/>
            </w:pPr>
            <w:r/>
            <w:r>
              <w:rPr>
                <w:rFonts w:ascii="Calibri" w:hAnsi="Calibri" w:eastAsia="Calibri"/>
                <w:b w:val="0"/>
                <w:i w:val="0"/>
                <w:color w:val="1B2118"/>
                <w:sz w:val="20"/>
              </w:rPr>
              <w:t>Recomendado</w:t>
            </w:r>
          </w:p>
        </w:tc>
      </w:tr>
      <w:tr>
        <w:tc>
          <w:tcPr>
            <w:tcW w:type="dxa" w:w="2381"/>
            <w:shd w:fill="F3F5EE" w:val="clear"/>
          </w:tcPr>
          <w:p>
            <w:pPr>
              <w:spacing w:after="40" w:before="40"/>
            </w:pPr>
            <w:r/>
            <w:r>
              <w:rPr>
                <w:rFonts w:ascii="Calibri" w:hAnsi="Calibri" w:eastAsia="Calibri"/>
                <w:b w:val="0"/>
                <w:i w:val="0"/>
                <w:color w:val="1B2118"/>
                <w:sz w:val="20"/>
              </w:rPr>
              <w:t>Ámbito geográfico</w:t>
            </w:r>
          </w:p>
        </w:tc>
        <w:tc>
          <w:tcPr>
            <w:tcW w:type="dxa" w:w="5386"/>
            <w:shd w:fill="F3F5EE" w:val="clear"/>
          </w:tcPr>
          <w:p>
            <w:pPr>
              <w:spacing w:after="40" w:before="40"/>
            </w:pPr>
            <w:r/>
            <w:r>
              <w:rPr>
                <w:rFonts w:ascii="Calibri" w:hAnsi="Calibri" w:eastAsia="Calibri"/>
                <w:b w:val="0"/>
                <w:i w:val="0"/>
                <w:color w:val="1B2118"/>
                <w:sz w:val="20"/>
              </w:rPr>
              <w:t>Países o regiones de usuarios y de almacenamiento (UE, EE. UU., etc.).</w:t>
            </w:r>
          </w:p>
        </w:tc>
        <w:tc>
          <w:tcPr>
            <w:tcW w:type="dxa" w:w="1587"/>
            <w:shd w:fill="F3F5EE" w:val="clear"/>
          </w:tcPr>
          <w:p>
            <w:pPr>
              <w:spacing w:after="40" w:before="40"/>
            </w:pPr>
            <w:r/>
            <w:r>
              <w:rPr>
                <w:rFonts w:ascii="Calibri" w:hAnsi="Calibri" w:eastAsia="Calibri"/>
                <w:b w:val="0"/>
                <w:i w:val="0"/>
                <w:color w:val="1B2118"/>
                <w:sz w:val="20"/>
              </w:rPr>
              <w:t>Recomendado</w:t>
            </w:r>
          </w:p>
        </w:tc>
      </w:tr>
      <w:tr>
        <w:tc>
          <w:tcPr>
            <w:tcW w:type="dxa" w:w="2381"/>
            <w:shd w:fill="FFFFFF" w:val="clear"/>
          </w:tcPr>
          <w:p>
            <w:pPr>
              <w:spacing w:after="40" w:before="40"/>
            </w:pPr>
            <w:r/>
            <w:r>
              <w:rPr>
                <w:rFonts w:ascii="Calibri" w:hAnsi="Calibri" w:eastAsia="Calibri"/>
                <w:b w:val="0"/>
                <w:i w:val="0"/>
                <w:color w:val="1B2118"/>
                <w:sz w:val="20"/>
              </w:rPr>
              <w:t>Modelo o proveedor de modelo</w:t>
            </w:r>
          </w:p>
        </w:tc>
        <w:tc>
          <w:tcPr>
            <w:tcW w:type="dxa" w:w="5386"/>
            <w:shd w:fill="FFFFFF" w:val="clear"/>
          </w:tcPr>
          <w:p>
            <w:pPr>
              <w:spacing w:after="40" w:before="40"/>
            </w:pPr>
            <w:r/>
            <w:r>
              <w:rPr>
                <w:rFonts w:ascii="Calibri" w:hAnsi="Calibri" w:eastAsia="Calibri"/>
                <w:b w:val="0"/>
                <w:i w:val="0"/>
                <w:color w:val="1B2118"/>
                <w:sz w:val="20"/>
              </w:rPr>
              <w:t>Modelo o API concreta, si se conoce.</w:t>
            </w:r>
          </w:p>
        </w:tc>
        <w:tc>
          <w:tcPr>
            <w:tcW w:type="dxa" w:w="1587"/>
            <w:shd w:fill="FFFFFF" w:val="clear"/>
          </w:tcPr>
          <w:p>
            <w:pPr>
              <w:spacing w:after="40" w:before="40"/>
            </w:pPr>
            <w:r/>
            <w:r>
              <w:rPr>
                <w:rFonts w:ascii="Calibri" w:hAnsi="Calibri" w:eastAsia="Calibri"/>
                <w:b w:val="0"/>
                <w:i w:val="0"/>
                <w:color w:val="1B2118"/>
                <w:sz w:val="20"/>
              </w:rPr>
              <w:t>Recomendado</w:t>
            </w:r>
          </w:p>
        </w:tc>
      </w:tr>
      <w:tr>
        <w:tc>
          <w:tcPr>
            <w:tcW w:type="dxa" w:w="2381"/>
            <w:shd w:fill="F3F5EE" w:val="clear"/>
          </w:tcPr>
          <w:p>
            <w:pPr>
              <w:spacing w:after="40" w:before="40"/>
            </w:pPr>
            <w:r/>
            <w:r>
              <w:rPr>
                <w:rFonts w:ascii="Calibri" w:hAnsi="Calibri" w:eastAsia="Calibri"/>
                <w:b w:val="0"/>
                <w:i w:val="0"/>
                <w:color w:val="1B2118"/>
                <w:sz w:val="20"/>
              </w:rPr>
              <w:t>Cómo se integrará</w:t>
            </w:r>
          </w:p>
        </w:tc>
        <w:tc>
          <w:tcPr>
            <w:tcW w:type="dxa" w:w="5386"/>
            <w:shd w:fill="F3F5EE" w:val="clear"/>
          </w:tcPr>
          <w:p>
            <w:pPr>
              <w:spacing w:after="40" w:before="40"/>
            </w:pPr>
            <w:r/>
            <w:r>
              <w:rPr>
                <w:rFonts w:ascii="Calibri" w:hAnsi="Calibri" w:eastAsia="Calibri"/>
                <w:b w:val="0"/>
                <w:i w:val="0"/>
                <w:color w:val="1B2118"/>
                <w:sz w:val="20"/>
              </w:rPr>
              <w:t>Cómo se conectará (API, web, complemento, etc.).</w:t>
            </w:r>
          </w:p>
        </w:tc>
        <w:tc>
          <w:tcPr>
            <w:tcW w:type="dxa" w:w="1587"/>
            <w:shd w:fill="F3F5EE" w:val="clear"/>
          </w:tcPr>
          <w:p>
            <w:pPr>
              <w:spacing w:after="40" w:before="40"/>
            </w:pPr>
            <w:r/>
            <w:r>
              <w:rPr>
                <w:rFonts w:ascii="Calibri" w:hAnsi="Calibri" w:eastAsia="Calibri"/>
                <w:b w:val="0"/>
                <w:i w:val="0"/>
                <w:color w:val="1B2118"/>
                <w:sz w:val="20"/>
              </w:rPr>
              <w:t>Recomendado</w:t>
            </w:r>
          </w:p>
        </w:tc>
      </w:tr>
      <w:tr>
        <w:tc>
          <w:tcPr>
            <w:tcW w:type="dxa" w:w="2381"/>
            <w:shd w:fill="FFFFFF" w:val="clear"/>
          </w:tcPr>
          <w:p>
            <w:pPr>
              <w:spacing w:after="40" w:before="40"/>
            </w:pPr>
            <w:r/>
            <w:r>
              <w:rPr>
                <w:rFonts w:ascii="Calibri" w:hAnsi="Calibri" w:eastAsia="Calibri"/>
                <w:b w:val="0"/>
                <w:i w:val="0"/>
                <w:color w:val="1B2118"/>
                <w:sz w:val="20"/>
              </w:rPr>
              <w:t>Contexto normativo</w:t>
            </w:r>
          </w:p>
        </w:tc>
        <w:tc>
          <w:tcPr>
            <w:tcW w:type="dxa" w:w="5386"/>
            <w:shd w:fill="FFFFFF" w:val="clear"/>
          </w:tcPr>
          <w:p>
            <w:pPr>
              <w:spacing w:after="40" w:before="40"/>
            </w:pPr>
            <w:r/>
            <w:r>
              <w:rPr>
                <w:rFonts w:ascii="Calibri" w:hAnsi="Calibri" w:eastAsia="Calibri"/>
                <w:b w:val="0"/>
                <w:i w:val="0"/>
                <w:color w:val="1B2118"/>
                <w:sz w:val="20"/>
              </w:rPr>
              <w:t>Normas que el negocio cree aplicables (GDPR, Reglamento de IA, HIPAA…).</w:t>
            </w:r>
          </w:p>
        </w:tc>
        <w:tc>
          <w:tcPr>
            <w:tcW w:type="dxa" w:w="1587"/>
            <w:shd w:fill="FFFFFF" w:val="clear"/>
          </w:tcPr>
          <w:p>
            <w:pPr>
              <w:spacing w:after="40" w:before="40"/>
            </w:pPr>
            <w:r/>
            <w:r>
              <w:rPr>
                <w:rFonts w:ascii="Calibri" w:hAnsi="Calibri" w:eastAsia="Calibri"/>
                <w:b w:val="0"/>
                <w:i w:val="0"/>
                <w:color w:val="1B2118"/>
                <w:sz w:val="20"/>
              </w:rPr>
              <w:t>Recomendado</w:t>
            </w:r>
          </w:p>
        </w:tc>
      </w:tr>
      <w:tr>
        <w:tc>
          <w:tcPr>
            <w:tcW w:type="dxa" w:w="2381"/>
            <w:shd w:fill="F3F5EE" w:val="clear"/>
          </w:tcPr>
          <w:p>
            <w:pPr>
              <w:spacing w:after="40" w:before="40"/>
            </w:pPr>
            <w:r/>
            <w:r>
              <w:rPr>
                <w:rFonts w:ascii="Calibri" w:hAnsi="Calibri" w:eastAsia="Calibri"/>
                <w:b w:val="0"/>
                <w:i w:val="0"/>
                <w:color w:val="1B2118"/>
                <w:sz w:val="20"/>
              </w:rPr>
              <w:t>Hay un DPA firmado y archivado</w:t>
            </w:r>
          </w:p>
        </w:tc>
        <w:tc>
          <w:tcPr>
            <w:tcW w:type="dxa" w:w="5386"/>
            <w:shd w:fill="F3F5EE" w:val="clear"/>
          </w:tcPr>
          <w:p>
            <w:pPr>
              <w:spacing w:after="40" w:before="40"/>
            </w:pPr>
            <w:r/>
            <w:r>
              <w:rPr>
                <w:rFonts w:ascii="Calibri" w:hAnsi="Calibri" w:eastAsia="Calibri"/>
                <w:b w:val="0"/>
                <w:i w:val="0"/>
                <w:color w:val="1B2118"/>
                <w:sz w:val="20"/>
              </w:rPr>
              <w:t>Marque solo si existe un Acuerdo de Encargo / DPA firmado y archivado.</w:t>
            </w:r>
          </w:p>
        </w:tc>
        <w:tc>
          <w:tcPr>
            <w:tcW w:type="dxa" w:w="1587"/>
            <w:shd w:fill="F3F5EE" w:val="clear"/>
          </w:tcPr>
          <w:p>
            <w:pPr>
              <w:spacing w:after="40" w:before="40"/>
            </w:pPr>
            <w:r/>
            <w:r>
              <w:rPr>
                <w:rFonts w:ascii="Calibri" w:hAnsi="Calibri" w:eastAsia="Calibri"/>
                <w:b w:val="0"/>
                <w:i w:val="0"/>
                <w:color w:val="1B2118"/>
                <w:sz w:val="20"/>
              </w:rPr>
              <w:t>Sí / no</w:t>
            </w:r>
          </w:p>
        </w:tc>
      </w:tr>
    </w:tbl>
    <w:p/>
    <w:p>
      <w:pPr>
        <w:spacing w:before="160" w:after="40"/>
      </w:pPr>
      <w:r>
        <w:rPr>
          <w:rFonts w:ascii="Calibri" w:hAnsi="Calibri" w:eastAsia="Calibri"/>
          <w:b/>
          <w:i w:val="0"/>
          <w:color w:val="3D5A1F"/>
          <w:sz w:val="22"/>
        </w:rPr>
        <w:t>Regla de oro del DPA</w:t>
      </w:r>
    </w:p>
    <w:p>
      <w:pPr>
        <w:spacing w:after="200" w:before="0" w:line="240" w:lineRule="auto"/>
      </w:pPr>
      <w:r>
        <w:rPr>
          <w:rFonts w:ascii="Calibri" w:hAnsi="Calibri" w:eastAsia="Calibri"/>
          <w:b w:val="0"/>
          <w:i w:val="0"/>
          <w:color w:val="1B2118"/>
          <w:sz w:val="22"/>
        </w:rPr>
        <w:t>Marque la casilla únicamente si el contrato está firmado y localizable. Una promesa comercial o un DPA público en la web del proveedor no equivale a un acuerdo ejecutado con nuestra entidad.</w:t>
      </w:r>
    </w:p>
    <w:p>
      <w:pPr>
        <w:pStyle w:val="Heading2"/>
        <w:spacing w:before="240" w:after="160"/>
      </w:pPr>
      <w:r>
        <w:rPr>
          <w:rFonts w:ascii="Calibri" w:hAnsi="Calibri"/>
          <w:color w:val="1B2118"/>
        </w:rPr>
        <w:t>Paso 2. Lanzar la evaluación</w:t>
      </w:r>
    </w:p>
    <w:p>
      <w:pPr>
        <w:spacing w:after="160" w:before="0" w:line="240" w:lineRule="auto"/>
      </w:pPr>
      <w:r>
        <w:rPr>
          <w:rFonts w:ascii="Calibri" w:hAnsi="Calibri" w:eastAsia="Calibri"/>
          <w:b w:val="0"/>
          <w:i w:val="0"/>
          <w:color w:val="1B2118"/>
          <w:sz w:val="22"/>
        </w:rPr>
        <w:t>Pulse «Evaluar proveedor». El sistema analiza solo lo que usted ha escrito y lo que el propio intake implica.</w:t>
      </w:r>
    </w:p>
    <w:p>
      <w:pPr>
        <w:pStyle w:val="ListBullet"/>
        <w:spacing w:after="80"/>
      </w:pPr>
      <w:r>
        <w:rPr>
          <w:rFonts w:ascii="Calibri" w:hAnsi="Calibri" w:eastAsia="Calibri"/>
          <w:b w:val="0"/>
          <w:i w:val="0"/>
          <w:color w:val="1B2118"/>
          <w:sz w:val="22"/>
        </w:rPr>
        <w:t xml:space="preserve"> Si no confirma un documento o un control, el sistema asume que no está demostrado y lo marca como evidencia no encontrada (EVIDENCE NOT FOUND).</w:t>
      </w:r>
    </w:p>
    <w:p>
      <w:pPr>
        <w:pStyle w:val="ListBullet"/>
        <w:spacing w:after="80"/>
      </w:pPr>
      <w:r>
        <w:rPr>
          <w:rFonts w:ascii="Calibri" w:hAnsi="Calibri" w:eastAsia="Calibri"/>
          <w:b w:val="0"/>
          <w:i w:val="0"/>
          <w:color w:val="1B2118"/>
          <w:sz w:val="22"/>
        </w:rPr>
        <w:t xml:space="preserve"> Nunca inventa que el proveedor tiene SOC 2, ISO, DPA, DPIA o evaluaciones de modelo si usted no lo ha indicado.</w:t>
      </w:r>
    </w:p>
    <w:p>
      <w:pPr>
        <w:pStyle w:val="ListBullet"/>
        <w:spacing w:after="80"/>
      </w:pPr>
      <w:r>
        <w:rPr>
          <w:rFonts w:ascii="Calibri" w:hAnsi="Calibri" w:eastAsia="Calibri"/>
          <w:b w:val="0"/>
          <w:i w:val="0"/>
          <w:color w:val="1B2118"/>
          <w:sz w:val="22"/>
        </w:rPr>
        <w:t xml:space="preserve"> No reduce el riesgo solo porque el proveedor «dice» que es seguro.</w:t>
      </w:r>
    </w:p>
    <w:p>
      <w:pPr>
        <w:spacing w:after="160" w:before="0" w:line="240" w:lineRule="auto"/>
      </w:pPr>
      <w:r>
        <w:rPr>
          <w:rFonts w:ascii="Calibri" w:hAnsi="Calibri" w:eastAsia="Calibri"/>
          <w:b w:val="0"/>
          <w:i/>
          <w:color w:val="1B2118"/>
          <w:sz w:val="22"/>
        </w:rPr>
        <w:t>Este rigor es deliberado: en gobernanza, un falso «cumple» es más peligroso que un falso «falta evidencia».</w:t>
      </w:r>
    </w:p>
    <w:p>
      <w:pPr>
        <w:pStyle w:val="Heading2"/>
        <w:spacing w:before="240" w:after="160"/>
      </w:pPr>
      <w:r>
        <w:rPr>
          <w:rFonts w:ascii="Calibri" w:hAnsi="Calibri"/>
          <w:color w:val="1B2118"/>
        </w:rPr>
        <w:t>Paso 3. Leer el informe y el plan de acción</w:t>
      </w:r>
    </w:p>
    <w:p>
      <w:pPr>
        <w:spacing w:after="160" w:before="0" w:line="240" w:lineRule="auto"/>
      </w:pPr>
      <w:r>
        <w:rPr>
          <w:rFonts w:ascii="Calibri" w:hAnsi="Calibri" w:eastAsia="Calibri"/>
          <w:b w:val="0"/>
          <w:i w:val="0"/>
          <w:color w:val="1B2118"/>
          <w:sz w:val="22"/>
        </w:rPr>
        <w:t>No hace falta entrar al chat para entender el resultado. En la parte derecha verá:</w:t>
      </w:r>
    </w:p>
    <w:p>
      <w:pPr>
        <w:pStyle w:val="ListBullet"/>
        <w:spacing w:after="80"/>
      </w:pPr>
      <w:r>
        <w:rPr>
          <w:rFonts w:ascii="Calibri" w:hAnsi="Calibri" w:eastAsia="Calibri"/>
          <w:b/>
          <w:i w:val="0"/>
          <w:color w:val="1B2118"/>
          <w:sz w:val="22"/>
        </w:rPr>
        <w:t>Decisión:</w:t>
      </w:r>
      <w:r>
        <w:rPr>
          <w:rFonts w:ascii="Calibri" w:hAnsi="Calibri" w:eastAsia="Calibri"/>
          <w:b w:val="0"/>
          <w:i w:val="0"/>
          <w:color w:val="1B2118"/>
          <w:sz w:val="22"/>
        </w:rPr>
        <w:t xml:space="preserve"> una de las cinco decisiones de la sección 6.</w:t>
      </w:r>
    </w:p>
    <w:p>
      <w:pPr>
        <w:pStyle w:val="ListBullet"/>
        <w:spacing w:after="80"/>
      </w:pPr>
      <w:r>
        <w:rPr>
          <w:rFonts w:ascii="Calibri" w:hAnsi="Calibri" w:eastAsia="Calibri"/>
          <w:b/>
          <w:i w:val="0"/>
          <w:color w:val="1B2118"/>
          <w:sz w:val="22"/>
        </w:rPr>
        <w:t>Riesgo residual:</w:t>
      </w:r>
      <w:r>
        <w:rPr>
          <w:rFonts w:ascii="Calibri" w:hAnsi="Calibri" w:eastAsia="Calibri"/>
          <w:b w:val="0"/>
          <w:i w:val="0"/>
          <w:color w:val="1B2118"/>
          <w:sz w:val="22"/>
        </w:rPr>
        <w:t xml:space="preserve"> de Muy bajo a Crítico (sección 7).</w:t>
      </w:r>
    </w:p>
    <w:p>
      <w:pPr>
        <w:pStyle w:val="ListBullet"/>
        <w:spacing w:after="80"/>
      </w:pPr>
      <w:r>
        <w:rPr>
          <w:rFonts w:ascii="Calibri" w:hAnsi="Calibri" w:eastAsia="Calibri"/>
          <w:b/>
          <w:i w:val="0"/>
          <w:color w:val="1B2118"/>
          <w:sz w:val="22"/>
        </w:rPr>
        <w:t>Hallazgos críticos:</w:t>
      </w:r>
      <w:r>
        <w:rPr>
          <w:rFonts w:ascii="Calibri" w:hAnsi="Calibri" w:eastAsia="Calibri"/>
          <w:b w:val="0"/>
          <w:i w:val="0"/>
          <w:color w:val="1B2118"/>
          <w:sz w:val="22"/>
        </w:rPr>
        <w:t xml:space="preserve"> alertas que impiden una aprobación limpia (p. ej. datos personales sin DPA).</w:t>
      </w:r>
    </w:p>
    <w:p>
      <w:pPr>
        <w:pStyle w:val="ListBullet"/>
        <w:spacing w:after="80"/>
      </w:pPr>
      <w:r>
        <w:rPr>
          <w:rFonts w:ascii="Calibri" w:hAnsi="Calibri" w:eastAsia="Calibri"/>
          <w:b/>
          <w:i w:val="0"/>
          <w:color w:val="1B2118"/>
          <w:sz w:val="22"/>
        </w:rPr>
        <w:t>Huecos de evidencia:</w:t>
      </w:r>
      <w:r>
        <w:rPr>
          <w:rFonts w:ascii="Calibri" w:hAnsi="Calibri" w:eastAsia="Calibri"/>
          <w:b w:val="0"/>
          <w:i w:val="0"/>
          <w:color w:val="1B2118"/>
          <w:sz w:val="22"/>
        </w:rPr>
        <w:t xml:space="preserve"> documentos o hechos que no se aportaron.</w:t>
      </w:r>
    </w:p>
    <w:p>
      <w:pPr>
        <w:pStyle w:val="ListBullet"/>
        <w:spacing w:after="80"/>
      </w:pPr>
      <w:r>
        <w:rPr>
          <w:rFonts w:ascii="Calibri" w:hAnsi="Calibri" w:eastAsia="Calibri"/>
          <w:b/>
          <w:i w:val="0"/>
          <w:color w:val="1B2118"/>
          <w:sz w:val="22"/>
        </w:rPr>
        <w:t>Alineación de marcos:</w:t>
      </w:r>
      <w:r>
        <w:rPr>
          <w:rFonts w:ascii="Calibri" w:hAnsi="Calibri" w:eastAsia="Calibri"/>
          <w:b w:val="0"/>
          <w:i w:val="0"/>
          <w:color w:val="1B2118"/>
          <w:sz w:val="22"/>
        </w:rPr>
        <w:t xml:space="preserve"> funciones NIST AI RMF e ISO/IEC 42001 asociadas a esos huecos.</w:t>
      </w:r>
    </w:p>
    <w:p>
      <w:pPr>
        <w:pStyle w:val="ListBullet"/>
        <w:spacing w:after="80"/>
      </w:pPr>
      <w:r>
        <w:rPr>
          <w:rFonts w:ascii="Calibri" w:hAnsi="Calibri" w:eastAsia="Calibri"/>
          <w:b/>
          <w:i w:val="0"/>
          <w:color w:val="1B2118"/>
          <w:sz w:val="22"/>
        </w:rPr>
        <w:t>Tickets de remediación:</w:t>
      </w:r>
      <w:r>
        <w:rPr>
          <w:rFonts w:ascii="Calibri" w:hAnsi="Calibri" w:eastAsia="Calibri"/>
          <w:b w:val="0"/>
          <w:i w:val="0"/>
          <w:color w:val="1B2118"/>
          <w:sz w:val="22"/>
        </w:rPr>
        <w:t xml:space="preserve"> tareas concretas, una por hallazgo alto o crítico, listas para el proyecto Jira AIGOV.</w:t>
      </w:r>
    </w:p>
    <w:p>
      <w:pPr>
        <w:pStyle w:val="Heading1"/>
        <w:spacing w:before="320" w:after="160"/>
      </w:pPr>
      <w:r>
        <w:rPr>
          <w:rFonts w:ascii="Calibri" w:hAnsi="Calibri"/>
          <w:color w:val="3D5A1F"/>
        </w:rPr>
        <w:t>7. Qué significa cada decisión</w:t>
      </w:r>
    </w:p>
    <w:p>
      <w:pPr>
        <w:spacing w:after="160" w:before="0" w:line="240" w:lineRule="auto"/>
      </w:pPr>
      <w:r>
        <w:rPr>
          <w:rFonts w:ascii="Calibri" w:hAnsi="Calibri" w:eastAsia="Calibri"/>
          <w:b w:val="0"/>
          <w:i w:val="0"/>
          <w:color w:val="1B2118"/>
          <w:sz w:val="22"/>
        </w:rPr>
        <w:t>El sistema solo puede emitir una de estas cinco decisiones. No hay estados intermedios inventados.</w:t>
      </w:r>
    </w:p>
    <w:tbl>
      <w:tblPr>
        <w:tblStyle w:val="TableGrid"/>
        <w:tblW w:type="auto" w:w="0"/>
        <w:tblLayout w:type="autofit"/>
        <w:tblLook w:firstColumn="1" w:firstRow="1" w:lastColumn="0" w:lastRow="0" w:noHBand="0" w:noVBand="1" w:val="04A0"/>
      </w:tblPr>
      <w:tblGrid>
        <w:gridCol w:w="3249"/>
        <w:gridCol w:w="3249"/>
        <w:gridCol w:w="3249"/>
      </w:tblGrid>
      <w:tr>
        <w:tc>
          <w:tcPr>
            <w:tcW w:type="dxa" w:w="2381"/>
            <w:shd w:fill="1B2118" w:val="clear"/>
          </w:tcPr>
          <w:p>
            <w:pPr>
              <w:spacing w:after="40" w:before="40"/>
            </w:pPr>
            <w:r/>
            <w:r>
              <w:rPr>
                <w:rFonts w:ascii="Calibri" w:hAnsi="Calibri" w:eastAsia="Calibri"/>
                <w:b/>
                <w:i w:val="0"/>
                <w:color w:val="FFFFFF"/>
                <w:sz w:val="20"/>
              </w:rPr>
              <w:t>Decisión (en el sistema)</w:t>
            </w:r>
          </w:p>
        </w:tc>
        <w:tc>
          <w:tcPr>
            <w:tcW w:type="dxa" w:w="3515"/>
            <w:shd w:fill="1B2118" w:val="clear"/>
          </w:tcPr>
          <w:p>
            <w:pPr>
              <w:spacing w:after="40" w:before="40"/>
            </w:pPr>
            <w:r/>
            <w:r>
              <w:rPr>
                <w:rFonts w:ascii="Calibri" w:hAnsi="Calibri" w:eastAsia="Calibri"/>
                <w:b/>
                <w:i w:val="0"/>
                <w:color w:val="FFFFFF"/>
                <w:sz w:val="20"/>
              </w:rPr>
              <w:t>Significado para el negocio</w:t>
            </w:r>
          </w:p>
        </w:tc>
        <w:tc>
          <w:tcPr>
            <w:tcW w:type="dxa" w:w="3515"/>
            <w:shd w:fill="1B2118" w:val="clear"/>
          </w:tcPr>
          <w:p>
            <w:pPr>
              <w:spacing w:after="40" w:before="40"/>
            </w:pPr>
            <w:r/>
            <w:r>
              <w:rPr>
                <w:rFonts w:ascii="Calibri" w:hAnsi="Calibri" w:eastAsia="Calibri"/>
                <w:b/>
                <w:i w:val="0"/>
                <w:color w:val="FFFFFF"/>
                <w:sz w:val="20"/>
              </w:rPr>
              <w:t>Qué hacer a continuación</w:t>
            </w:r>
          </w:p>
        </w:tc>
      </w:tr>
      <w:tr>
        <w:tc>
          <w:tcPr>
            <w:tcW w:type="dxa" w:w="2381"/>
            <w:shd w:fill="FFFFFF" w:val="clear"/>
          </w:tcPr>
          <w:p>
            <w:pPr>
              <w:spacing w:after="40" w:before="40"/>
            </w:pPr>
            <w:r/>
            <w:r>
              <w:rPr>
                <w:rFonts w:ascii="Calibri" w:hAnsi="Calibri" w:eastAsia="Calibri"/>
                <w:b w:val="0"/>
                <w:i w:val="0"/>
                <w:color w:val="1B2118"/>
                <w:sz w:val="20"/>
              </w:rPr>
              <w:t>APPROVE</w:t>
            </w:r>
          </w:p>
        </w:tc>
        <w:tc>
          <w:tcPr>
            <w:tcW w:type="dxa" w:w="3515"/>
            <w:shd w:fill="FFFFFF" w:val="clear"/>
          </w:tcPr>
          <w:p>
            <w:pPr>
              <w:spacing w:after="40" w:before="40"/>
            </w:pPr>
            <w:r/>
            <w:r>
              <w:rPr>
                <w:rFonts w:ascii="Calibri" w:hAnsi="Calibri" w:eastAsia="Calibri"/>
                <w:b w:val="0"/>
                <w:i w:val="0"/>
                <w:color w:val="1B2118"/>
                <w:sz w:val="20"/>
              </w:rPr>
              <w:t>La evidencia aportada no muestra red flags materiales para el uso descrito.</w:t>
            </w:r>
          </w:p>
        </w:tc>
        <w:tc>
          <w:tcPr>
            <w:tcW w:type="dxa" w:w="3515"/>
            <w:shd w:fill="FFFFFF" w:val="clear"/>
          </w:tcPr>
          <w:p>
            <w:pPr>
              <w:spacing w:after="40" w:before="40"/>
            </w:pPr>
            <w:r/>
            <w:r>
              <w:rPr>
                <w:rFonts w:ascii="Calibri" w:hAnsi="Calibri" w:eastAsia="Calibri"/>
                <w:b w:val="0"/>
                <w:i w:val="0"/>
                <w:color w:val="1B2118"/>
                <w:sz w:val="20"/>
              </w:rPr>
              <w:t>Documentar la aprobación. Seguir controles operativos habituales (acceso, formación).</w:t>
            </w:r>
          </w:p>
        </w:tc>
      </w:tr>
      <w:tr>
        <w:tc>
          <w:tcPr>
            <w:tcW w:type="dxa" w:w="2381"/>
            <w:shd w:fill="F3F5EE" w:val="clear"/>
          </w:tcPr>
          <w:p>
            <w:pPr>
              <w:spacing w:after="40" w:before="40"/>
            </w:pPr>
            <w:r/>
            <w:r>
              <w:rPr>
                <w:rFonts w:ascii="Calibri" w:hAnsi="Calibri" w:eastAsia="Calibri"/>
                <w:b w:val="0"/>
                <w:i w:val="0"/>
                <w:color w:val="1B2118"/>
                <w:sz w:val="20"/>
              </w:rPr>
              <w:t>APPROVE WITH CONDITIONS</w:t>
            </w:r>
          </w:p>
        </w:tc>
        <w:tc>
          <w:tcPr>
            <w:tcW w:type="dxa" w:w="3515"/>
            <w:shd w:fill="F3F5EE" w:val="clear"/>
          </w:tcPr>
          <w:p>
            <w:pPr>
              <w:spacing w:after="40" w:before="40"/>
            </w:pPr>
            <w:r/>
            <w:r>
              <w:rPr>
                <w:rFonts w:ascii="Calibri" w:hAnsi="Calibri" w:eastAsia="Calibri"/>
                <w:b w:val="0"/>
                <w:i w:val="0"/>
                <w:color w:val="1B2118"/>
                <w:sz w:val="20"/>
              </w:rPr>
              <w:t>Se puede avanzar, pero hay condiciones pendientes (p. ej. archivar el pack de seguridad).</w:t>
            </w:r>
          </w:p>
        </w:tc>
        <w:tc>
          <w:tcPr>
            <w:tcW w:type="dxa" w:w="3515"/>
            <w:shd w:fill="F3F5EE" w:val="clear"/>
          </w:tcPr>
          <w:p>
            <w:pPr>
              <w:spacing w:after="40" w:before="40"/>
            </w:pPr>
            <w:r/>
            <w:r>
              <w:rPr>
                <w:rFonts w:ascii="Calibri" w:hAnsi="Calibri" w:eastAsia="Calibri"/>
                <w:b w:val="0"/>
                <w:i w:val="0"/>
                <w:color w:val="1B2118"/>
                <w:sz w:val="20"/>
              </w:rPr>
              <w:t>Asignar las tareas y no ampliar el uso hasta cumplir las condiciones.</w:t>
            </w:r>
          </w:p>
        </w:tc>
      </w:tr>
      <w:tr>
        <w:tc>
          <w:tcPr>
            <w:tcW w:type="dxa" w:w="2381"/>
            <w:shd w:fill="FFFFFF" w:val="clear"/>
          </w:tcPr>
          <w:p>
            <w:pPr>
              <w:spacing w:after="40" w:before="40"/>
            </w:pPr>
            <w:r/>
            <w:r>
              <w:rPr>
                <w:rFonts w:ascii="Calibri" w:hAnsi="Calibri" w:eastAsia="Calibri"/>
                <w:b w:val="0"/>
                <w:i w:val="0"/>
                <w:color w:val="1B2118"/>
                <w:sz w:val="20"/>
              </w:rPr>
              <w:t>REQUIRES REMEDIATION</w:t>
            </w:r>
          </w:p>
        </w:tc>
        <w:tc>
          <w:tcPr>
            <w:tcW w:type="dxa" w:w="3515"/>
            <w:shd w:fill="FFFFFF" w:val="clear"/>
          </w:tcPr>
          <w:p>
            <w:pPr>
              <w:spacing w:after="40" w:before="40"/>
            </w:pPr>
            <w:r/>
            <w:r>
              <w:rPr>
                <w:rFonts w:ascii="Calibri" w:hAnsi="Calibri" w:eastAsia="Calibri"/>
                <w:b w:val="0"/>
                <w:i w:val="0"/>
                <w:color w:val="1B2118"/>
                <w:sz w:val="20"/>
              </w:rPr>
              <w:t>Hay huecos que deben cerrarse antes de un uso en producción.</w:t>
            </w:r>
          </w:p>
        </w:tc>
        <w:tc>
          <w:tcPr>
            <w:tcW w:type="dxa" w:w="3515"/>
            <w:shd w:fill="FFFFFF" w:val="clear"/>
          </w:tcPr>
          <w:p>
            <w:pPr>
              <w:spacing w:after="40" w:before="40"/>
            </w:pPr>
            <w:r/>
            <w:r>
              <w:rPr>
                <w:rFonts w:ascii="Calibri" w:hAnsi="Calibri" w:eastAsia="Calibri"/>
                <w:b w:val="0"/>
                <w:i w:val="0"/>
                <w:color w:val="1B2118"/>
                <w:sz w:val="20"/>
              </w:rPr>
              <w:t>No ir a producción. Completar DPA, DPIA u otra evidencia y repetir la evaluación.</w:t>
            </w:r>
          </w:p>
        </w:tc>
      </w:tr>
      <w:tr>
        <w:tc>
          <w:tcPr>
            <w:tcW w:type="dxa" w:w="2381"/>
            <w:shd w:fill="F3F5EE" w:val="clear"/>
          </w:tcPr>
          <w:p>
            <w:pPr>
              <w:spacing w:after="40" w:before="40"/>
            </w:pPr>
            <w:r/>
            <w:r>
              <w:rPr>
                <w:rFonts w:ascii="Calibri" w:hAnsi="Calibri" w:eastAsia="Calibri"/>
                <w:b w:val="0"/>
                <w:i w:val="0"/>
                <w:color w:val="1B2118"/>
                <w:sz w:val="20"/>
              </w:rPr>
              <w:t>ESCALATE TO AI GOVERNANCE / LEGAL / SECURITY</w:t>
            </w:r>
          </w:p>
        </w:tc>
        <w:tc>
          <w:tcPr>
            <w:tcW w:type="dxa" w:w="3515"/>
            <w:shd w:fill="F3F5EE" w:val="clear"/>
          </w:tcPr>
          <w:p>
            <w:pPr>
              <w:spacing w:after="40" w:before="40"/>
            </w:pPr>
            <w:r/>
            <w:r>
              <w:rPr>
                <w:rFonts w:ascii="Calibri" w:hAnsi="Calibri" w:eastAsia="Calibri"/>
                <w:b w:val="0"/>
                <w:i w:val="0"/>
                <w:color w:val="1B2118"/>
                <w:sz w:val="20"/>
              </w:rPr>
              <w:t>El riesgo residual es alto o hay una combinación grave (p. ej. datos personales y sin DPA).</w:t>
            </w:r>
          </w:p>
        </w:tc>
        <w:tc>
          <w:tcPr>
            <w:tcW w:type="dxa" w:w="3515"/>
            <w:shd w:fill="F3F5EE" w:val="clear"/>
          </w:tcPr>
          <w:p>
            <w:pPr>
              <w:spacing w:after="40" w:before="40"/>
            </w:pPr>
            <w:r/>
            <w:r>
              <w:rPr>
                <w:rFonts w:ascii="Calibri" w:hAnsi="Calibri" w:eastAsia="Calibri"/>
                <w:b w:val="0"/>
                <w:i w:val="0"/>
                <w:color w:val="1B2118"/>
                <w:sz w:val="20"/>
              </w:rPr>
              <w:t>Elevar a Legal, Privacidad y Seguridad. No tratarlo como un trámite de negocio solo.</w:t>
            </w:r>
          </w:p>
        </w:tc>
      </w:tr>
      <w:tr>
        <w:tc>
          <w:tcPr>
            <w:tcW w:type="dxa" w:w="2381"/>
            <w:shd w:fill="FFFFFF" w:val="clear"/>
          </w:tcPr>
          <w:p>
            <w:pPr>
              <w:spacing w:after="40" w:before="40"/>
            </w:pPr>
            <w:r/>
            <w:r>
              <w:rPr>
                <w:rFonts w:ascii="Calibri" w:hAnsi="Calibri" w:eastAsia="Calibri"/>
                <w:b w:val="0"/>
                <w:i w:val="0"/>
                <w:color w:val="1B2118"/>
                <w:sz w:val="20"/>
              </w:rPr>
              <w:t>REJECT</w:t>
            </w:r>
          </w:p>
        </w:tc>
        <w:tc>
          <w:tcPr>
            <w:tcW w:type="dxa" w:w="3515"/>
            <w:shd w:fill="FFFFFF" w:val="clear"/>
          </w:tcPr>
          <w:p>
            <w:pPr>
              <w:spacing w:after="40" w:before="40"/>
            </w:pPr>
            <w:r/>
            <w:r>
              <w:rPr>
                <w:rFonts w:ascii="Calibri" w:hAnsi="Calibri" w:eastAsia="Calibri"/>
                <w:b w:val="0"/>
                <w:i w:val="0"/>
                <w:color w:val="1B2118"/>
                <w:sz w:val="20"/>
              </w:rPr>
              <w:t>El uso, con la evidencia disponible, no es aceptable.</w:t>
            </w:r>
          </w:p>
        </w:tc>
        <w:tc>
          <w:tcPr>
            <w:tcW w:type="dxa" w:w="3515"/>
            <w:shd w:fill="FFFFFF" w:val="clear"/>
          </w:tcPr>
          <w:p>
            <w:pPr>
              <w:spacing w:after="40" w:before="40"/>
            </w:pPr>
            <w:r/>
            <w:r>
              <w:rPr>
                <w:rFonts w:ascii="Calibri" w:hAnsi="Calibri" w:eastAsia="Calibri"/>
                <w:b w:val="0"/>
                <w:i w:val="0"/>
                <w:color w:val="1B2118"/>
                <w:sz w:val="20"/>
              </w:rPr>
              <w:t>Buscar alternativa, restringir datos o abandonar el caso de uso.</w:t>
            </w:r>
          </w:p>
        </w:tc>
      </w:tr>
    </w:tbl>
    <w:p/>
    <w:p>
      <w:pPr>
        <w:spacing w:before="160" w:after="40"/>
      </w:pPr>
      <w:r>
        <w:rPr>
          <w:rFonts w:ascii="Calibri" w:hAnsi="Calibri" w:eastAsia="Calibri"/>
          <w:b/>
          <w:i w:val="0"/>
          <w:color w:val="3D5A1F"/>
          <w:sz w:val="22"/>
        </w:rPr>
        <w:t>Importante para Dirección</w:t>
      </w:r>
    </w:p>
    <w:p>
      <w:pPr>
        <w:spacing w:after="200" w:before="0" w:line="240" w:lineRule="auto"/>
      </w:pPr>
      <w:r>
        <w:rPr>
          <w:rFonts w:ascii="Calibri" w:hAnsi="Calibri" w:eastAsia="Calibri"/>
          <w:b w:val="0"/>
          <w:i w:val="0"/>
          <w:color w:val="1B2118"/>
          <w:sz w:val="22"/>
        </w:rPr>
        <w:t>«Escalar» no es un rechazo definitivo. Significa que la herramienta no tiene base para aprobar y que un humano con mandato (Legal / Seguridad / Comité de IA) debe decidir.</w:t>
      </w:r>
    </w:p>
    <w:p>
      <w:pPr>
        <w:pStyle w:val="Heading1"/>
        <w:spacing w:before="320" w:after="160"/>
      </w:pPr>
      <w:r>
        <w:rPr>
          <w:rFonts w:ascii="Calibri" w:hAnsi="Calibri"/>
          <w:color w:val="3D5A1F"/>
        </w:rPr>
        <w:t>8. Escala de riesgo residual</w:t>
      </w:r>
    </w:p>
    <w:tbl>
      <w:tblPr>
        <w:tblStyle w:val="TableGrid"/>
        <w:tblW w:type="auto" w:w="0"/>
        <w:tblLayout w:type="autofit"/>
        <w:tblLook w:firstColumn="1" w:firstRow="1" w:lastColumn="0" w:lastRow="0" w:noHBand="0" w:noVBand="1" w:val="04A0"/>
      </w:tblPr>
      <w:tblGrid>
        <w:gridCol w:w="4873"/>
        <w:gridCol w:w="4873"/>
      </w:tblGrid>
      <w:tr>
        <w:tc>
          <w:tcPr>
            <w:tcW w:type="dxa" w:w="2551"/>
            <w:shd w:fill="1B2118" w:val="clear"/>
          </w:tcPr>
          <w:p>
            <w:pPr>
              <w:spacing w:after="40" w:before="40"/>
            </w:pPr>
            <w:r/>
            <w:r>
              <w:rPr>
                <w:rFonts w:ascii="Calibri" w:hAnsi="Calibri" w:eastAsia="Calibri"/>
                <w:b/>
                <w:i w:val="0"/>
                <w:color w:val="FFFFFF"/>
                <w:sz w:val="20"/>
              </w:rPr>
              <w:t>Nivel</w:t>
            </w:r>
          </w:p>
        </w:tc>
        <w:tc>
          <w:tcPr>
            <w:tcW w:type="dxa" w:w="6803"/>
            <w:shd w:fill="1B2118" w:val="clear"/>
          </w:tcPr>
          <w:p>
            <w:pPr>
              <w:spacing w:after="40" w:before="40"/>
            </w:pPr>
            <w:r/>
            <w:r>
              <w:rPr>
                <w:rFonts w:ascii="Calibri" w:hAnsi="Calibri" w:eastAsia="Calibri"/>
                <w:b/>
                <w:i w:val="0"/>
                <w:color w:val="FFFFFF"/>
                <w:sz w:val="20"/>
              </w:rPr>
              <w:t>Lectura práctica</w:t>
            </w:r>
          </w:p>
        </w:tc>
      </w:tr>
      <w:tr>
        <w:tc>
          <w:tcPr>
            <w:tcW w:type="dxa" w:w="2551"/>
            <w:shd w:fill="FFFFFF" w:val="clear"/>
          </w:tcPr>
          <w:p>
            <w:pPr>
              <w:spacing w:after="40" w:before="40"/>
            </w:pPr>
            <w:r/>
            <w:r>
              <w:rPr>
                <w:rFonts w:ascii="Calibri" w:hAnsi="Calibri" w:eastAsia="Calibri"/>
                <w:b w:val="0"/>
                <w:i w:val="0"/>
                <w:color w:val="1B2118"/>
                <w:sz w:val="20"/>
              </w:rPr>
              <w:t>Very Low / Muy bajo</w:t>
            </w:r>
          </w:p>
        </w:tc>
        <w:tc>
          <w:tcPr>
            <w:tcW w:type="dxa" w:w="6803"/>
            <w:shd w:fill="FFFFFF" w:val="clear"/>
          </w:tcPr>
          <w:p>
            <w:pPr>
              <w:spacing w:after="40" w:before="40"/>
            </w:pPr>
            <w:r/>
            <w:r>
              <w:rPr>
                <w:rFonts w:ascii="Calibri" w:hAnsi="Calibri" w:eastAsia="Calibri"/>
                <w:b w:val="0"/>
                <w:i w:val="0"/>
                <w:color w:val="1B2118"/>
                <w:sz w:val="20"/>
              </w:rPr>
              <w:t>Impacto y exposición mínimos con evidencia sólida. Poco habitual en IA generativa.</w:t>
            </w:r>
          </w:p>
        </w:tc>
      </w:tr>
      <w:tr>
        <w:tc>
          <w:tcPr>
            <w:tcW w:type="dxa" w:w="2551"/>
            <w:shd w:fill="F3F5EE" w:val="clear"/>
          </w:tcPr>
          <w:p>
            <w:pPr>
              <w:spacing w:after="40" w:before="40"/>
            </w:pPr>
            <w:r/>
            <w:r>
              <w:rPr>
                <w:rFonts w:ascii="Calibri" w:hAnsi="Calibri" w:eastAsia="Calibri"/>
                <w:b w:val="0"/>
                <w:i w:val="0"/>
                <w:color w:val="1B2118"/>
                <w:sz w:val="20"/>
              </w:rPr>
              <w:t>Low / Bajo</w:t>
            </w:r>
          </w:p>
        </w:tc>
        <w:tc>
          <w:tcPr>
            <w:tcW w:type="dxa" w:w="6803"/>
            <w:shd w:fill="F3F5EE" w:val="clear"/>
          </w:tcPr>
          <w:p>
            <w:pPr>
              <w:spacing w:after="40" w:before="40"/>
            </w:pPr>
            <w:r/>
            <w:r>
              <w:rPr>
                <w:rFonts w:ascii="Calibri" w:hAnsi="Calibri" w:eastAsia="Calibri"/>
                <w:b w:val="0"/>
                <w:i w:val="0"/>
                <w:color w:val="1B2118"/>
                <w:sz w:val="20"/>
              </w:rPr>
              <w:t>Riesgo contenido; controles evidentes para el uso previsto.</w:t>
            </w:r>
          </w:p>
        </w:tc>
      </w:tr>
      <w:tr>
        <w:tc>
          <w:tcPr>
            <w:tcW w:type="dxa" w:w="2551"/>
            <w:shd w:fill="FFFFFF" w:val="clear"/>
          </w:tcPr>
          <w:p>
            <w:pPr>
              <w:spacing w:after="40" w:before="40"/>
            </w:pPr>
            <w:r/>
            <w:r>
              <w:rPr>
                <w:rFonts w:ascii="Calibri" w:hAnsi="Calibri" w:eastAsia="Calibri"/>
                <w:b w:val="0"/>
                <w:i w:val="0"/>
                <w:color w:val="1B2118"/>
                <w:sz w:val="20"/>
              </w:rPr>
              <w:t>Moderate / Moderado</w:t>
            </w:r>
          </w:p>
        </w:tc>
        <w:tc>
          <w:tcPr>
            <w:tcW w:type="dxa" w:w="6803"/>
            <w:shd w:fill="FFFFFF" w:val="clear"/>
          </w:tcPr>
          <w:p>
            <w:pPr>
              <w:spacing w:after="40" w:before="40"/>
            </w:pPr>
            <w:r/>
            <w:r>
              <w:rPr>
                <w:rFonts w:ascii="Calibri" w:hAnsi="Calibri" w:eastAsia="Calibri"/>
                <w:b w:val="0"/>
                <w:i w:val="0"/>
                <w:color w:val="1B2118"/>
                <w:sz w:val="20"/>
              </w:rPr>
              <w:t>Aceptable con condiciones y seguimiento.</w:t>
            </w:r>
          </w:p>
        </w:tc>
      </w:tr>
      <w:tr>
        <w:tc>
          <w:tcPr>
            <w:tcW w:type="dxa" w:w="2551"/>
            <w:shd w:fill="F3F5EE" w:val="clear"/>
          </w:tcPr>
          <w:p>
            <w:pPr>
              <w:spacing w:after="40" w:before="40"/>
            </w:pPr>
            <w:r/>
            <w:r>
              <w:rPr>
                <w:rFonts w:ascii="Calibri" w:hAnsi="Calibri" w:eastAsia="Calibri"/>
                <w:b w:val="0"/>
                <w:i w:val="0"/>
                <w:color w:val="1B2118"/>
                <w:sz w:val="20"/>
              </w:rPr>
              <w:t>High / Alto</w:t>
            </w:r>
          </w:p>
        </w:tc>
        <w:tc>
          <w:tcPr>
            <w:tcW w:type="dxa" w:w="6803"/>
            <w:shd w:fill="F3F5EE" w:val="clear"/>
          </w:tcPr>
          <w:p>
            <w:pPr>
              <w:spacing w:after="40" w:before="40"/>
            </w:pPr>
            <w:r/>
            <w:r>
              <w:rPr>
                <w:rFonts w:ascii="Calibri" w:hAnsi="Calibri" w:eastAsia="Calibri"/>
                <w:b w:val="0"/>
                <w:i w:val="0"/>
                <w:color w:val="1B2118"/>
                <w:sz w:val="20"/>
              </w:rPr>
              <w:t>No usar en producción sin plan de remediación y visibilidad de Legal/Seguridad.</w:t>
            </w:r>
          </w:p>
        </w:tc>
      </w:tr>
      <w:tr>
        <w:tc>
          <w:tcPr>
            <w:tcW w:type="dxa" w:w="2551"/>
            <w:shd w:fill="FFFFFF" w:val="clear"/>
          </w:tcPr>
          <w:p>
            <w:pPr>
              <w:spacing w:after="40" w:before="40"/>
            </w:pPr>
            <w:r/>
            <w:r>
              <w:rPr>
                <w:rFonts w:ascii="Calibri" w:hAnsi="Calibri" w:eastAsia="Calibri"/>
                <w:b w:val="0"/>
                <w:i w:val="0"/>
                <w:color w:val="1B2118"/>
                <w:sz w:val="20"/>
              </w:rPr>
              <w:t>Critical / Crítico</w:t>
            </w:r>
          </w:p>
        </w:tc>
        <w:tc>
          <w:tcPr>
            <w:tcW w:type="dxa" w:w="6803"/>
            <w:shd w:fill="FFFFFF" w:val="clear"/>
          </w:tcPr>
          <w:p>
            <w:pPr>
              <w:spacing w:after="40" w:before="40"/>
            </w:pPr>
            <w:r/>
            <w:r>
              <w:rPr>
                <w:rFonts w:ascii="Calibri" w:hAnsi="Calibri" w:eastAsia="Calibri"/>
                <w:b w:val="0"/>
                <w:i w:val="0"/>
                <w:color w:val="1B2118"/>
                <w:sz w:val="20"/>
              </w:rPr>
              <w:t>Parar. Posible daño legal, de datos o reputacional inaceptable con la evidencia actual.</w:t>
            </w:r>
          </w:p>
        </w:tc>
      </w:tr>
    </w:tbl>
    <w:p/>
    <w:p>
      <w:pPr>
        <w:spacing w:after="160" w:before="0" w:line="240" w:lineRule="auto"/>
      </w:pPr>
      <w:r>
        <w:rPr>
          <w:rFonts w:ascii="Calibri" w:hAnsi="Calibri" w:eastAsia="Calibri"/>
          <w:b w:val="0"/>
          <w:i w:val="0"/>
          <w:color w:val="1B2118"/>
          <w:sz w:val="22"/>
        </w:rPr>
        <w:t>El riesgo residual no baja porque el proveedor publique una página de «confianza». Solo baja si usted aporta evidencia (DPA firmado, informe SOC 2 vigente, residencia de datos, etc.) y se vuelve a evaluar.</w:t>
      </w:r>
    </w:p>
    <w:p>
      <w:pPr>
        <w:pStyle w:val="Heading1"/>
        <w:spacing w:before="320" w:after="160"/>
      </w:pPr>
      <w:r>
        <w:rPr>
          <w:rFonts w:ascii="Calibri" w:hAnsi="Calibri"/>
          <w:color w:val="3D5A1F"/>
        </w:rPr>
        <w:t>9. El chat interactivo</w:t>
      </w:r>
    </w:p>
    <w:p>
      <w:pPr>
        <w:spacing w:after="160" w:before="0" w:line="240" w:lineRule="auto"/>
      </w:pPr>
      <w:r>
        <w:rPr>
          <w:rFonts w:ascii="Calibri" w:hAnsi="Calibri" w:eastAsia="Calibri"/>
          <w:b w:val="0"/>
          <w:i w:val="0"/>
          <w:color w:val="1B2118"/>
          <w:sz w:val="22"/>
        </w:rPr>
        <w:t>Cuando termine la evaluación, el cuadro de la parte inferior se desbloquea. Hasta entonces permanece inactivo a propósito: así no se responde sobre un proveedor que aún no se ha evaluado. El chat habla solo de ese proveedor y de ese informe. Si pregunta por un contrato que no introdujo, responderá que la evidencia no está en la sesión.</w:t>
      </w:r>
    </w:p>
    <w:p>
      <w:pPr>
        <w:spacing w:after="120" w:before="0" w:line="240" w:lineRule="auto"/>
      </w:pPr>
      <w:r>
        <w:rPr>
          <w:rFonts w:ascii="Calibri" w:hAnsi="Calibri" w:eastAsia="Calibri"/>
          <w:b w:val="0"/>
          <w:i w:val="0"/>
          <w:color w:val="1B2118"/>
          <w:sz w:val="22"/>
        </w:rPr>
        <w:t>Puede escribir o pulsar una de las preguntas sugeridas:</w:t>
      </w:r>
    </w:p>
    <w:p>
      <w:pPr>
        <w:pStyle w:val="ListBullet"/>
        <w:spacing w:after="80"/>
      </w:pPr>
      <w:r>
        <w:rPr>
          <w:rFonts w:ascii="Calibri" w:hAnsi="Calibri" w:eastAsia="Calibri"/>
          <w:b w:val="0"/>
          <w:i w:val="0"/>
          <w:color w:val="1B2118"/>
          <w:sz w:val="22"/>
        </w:rPr>
        <w:t>«¿Por qué el riesgo es alto?»</w:t>
      </w:r>
    </w:p>
    <w:p>
      <w:pPr>
        <w:pStyle w:val="ListBullet"/>
        <w:spacing w:after="80"/>
      </w:pPr>
      <w:r>
        <w:rPr>
          <w:rFonts w:ascii="Calibri" w:hAnsi="Calibri" w:eastAsia="Calibri"/>
          <w:b w:val="0"/>
          <w:i w:val="0"/>
          <w:color w:val="1B2118"/>
          <w:sz w:val="22"/>
        </w:rPr>
        <w:t>«¿Qué documentos faltan para poder aprobar?»</w:t>
      </w:r>
    </w:p>
    <w:p>
      <w:pPr>
        <w:pStyle w:val="ListBullet"/>
        <w:spacing w:after="80"/>
      </w:pPr>
      <w:r>
        <w:rPr>
          <w:rFonts w:ascii="Calibri" w:hAnsi="Calibri" w:eastAsia="Calibri"/>
          <w:b w:val="0"/>
          <w:i w:val="0"/>
          <w:color w:val="1B2118"/>
          <w:sz w:val="22"/>
        </w:rPr>
        <w:t>«¿Hay un DPA?»</w:t>
      </w:r>
    </w:p>
    <w:p>
      <w:pPr>
        <w:pStyle w:val="ListBullet"/>
        <w:spacing w:after="80"/>
      </w:pPr>
      <w:r>
        <w:rPr>
          <w:rFonts w:ascii="Calibri" w:hAnsi="Calibri" w:eastAsia="Calibri"/>
          <w:b w:val="0"/>
          <w:i w:val="0"/>
          <w:color w:val="1B2118"/>
          <w:sz w:val="22"/>
        </w:rPr>
        <w:t>«¿Qué tickets de Jira se han generado?»</w:t>
      </w:r>
    </w:p>
    <w:p>
      <w:pPr>
        <w:pStyle w:val="ListBullet"/>
        <w:spacing w:after="80"/>
      </w:pPr>
      <w:r>
        <w:rPr>
          <w:rFonts w:ascii="Calibri" w:hAnsi="Calibri" w:eastAsia="Calibri"/>
          <w:b w:val="0"/>
          <w:i w:val="0"/>
          <w:color w:val="1B2118"/>
          <w:sz w:val="22"/>
        </w:rPr>
        <w:t>«¿Qué huecos hay respecto a NIST o ISO 42001?»</w:t>
      </w:r>
    </w:p>
    <w:p>
      <w:pPr>
        <w:spacing w:after="120" w:before="160" w:line="240" w:lineRule="auto"/>
      </w:pPr>
      <w:r>
        <w:rPr>
          <w:rFonts w:ascii="Calibri" w:hAnsi="Calibri" w:eastAsia="Calibri"/>
          <w:b w:val="0"/>
          <w:i w:val="0"/>
          <w:color w:val="1B2118"/>
          <w:sz w:val="22"/>
        </w:rPr>
        <w:t>El chat no debe usarse para:</w:t>
      </w:r>
    </w:p>
    <w:p>
      <w:pPr>
        <w:pStyle w:val="ListBullet"/>
        <w:spacing w:after="80"/>
      </w:pPr>
      <w:r>
        <w:rPr>
          <w:rFonts w:ascii="Calibri" w:hAnsi="Calibri" w:eastAsia="Calibri"/>
          <w:b w:val="0"/>
          <w:i w:val="0"/>
          <w:color w:val="1B2118"/>
          <w:sz w:val="22"/>
        </w:rPr>
        <w:t>obtener un dictamen jurídico vinculante;</w:t>
      </w:r>
    </w:p>
    <w:p>
      <w:pPr>
        <w:pStyle w:val="ListBullet"/>
        <w:spacing w:after="80"/>
      </w:pPr>
      <w:r>
        <w:rPr>
          <w:rFonts w:ascii="Calibri" w:hAnsi="Calibri" w:eastAsia="Calibri"/>
          <w:b w:val="0"/>
          <w:i w:val="0"/>
          <w:color w:val="1B2118"/>
          <w:sz w:val="22"/>
        </w:rPr>
        <w:t>cambiar la decisión sin nueva evidencia (si lo pide, explicará qué prueba haría falta);</w:t>
      </w:r>
    </w:p>
    <w:p>
      <w:pPr>
        <w:pStyle w:val="ListBullet"/>
        <w:spacing w:after="80"/>
      </w:pPr>
      <w:r>
        <w:rPr>
          <w:rFonts w:ascii="Calibri" w:hAnsi="Calibri" w:eastAsia="Calibri"/>
          <w:b w:val="0"/>
          <w:i w:val="0"/>
          <w:color w:val="1B2118"/>
          <w:sz w:val="22"/>
        </w:rPr>
        <w:t>evaluar a otro proveedor sin lanzar una nueva evaluación (cada ejecución sustituye la anterior en la sesión).</w:t>
      </w:r>
    </w:p>
    <w:p>
      <w:pPr>
        <w:pStyle w:val="Heading1"/>
        <w:spacing w:before="320" w:after="160"/>
      </w:pPr>
      <w:r>
        <w:rPr>
          <w:rFonts w:ascii="Calibri" w:hAnsi="Calibri"/>
          <w:color w:val="3D5A1F"/>
        </w:rPr>
        <w:t>10. Tareas de Jira: qué son y qué no son</w:t>
      </w:r>
    </w:p>
    <w:p>
      <w:pPr>
        <w:spacing w:after="160" w:before="0" w:line="240" w:lineRule="auto"/>
      </w:pPr>
      <w:r>
        <w:rPr>
          <w:rFonts w:ascii="Calibri" w:hAnsi="Calibri" w:eastAsia="Calibri"/>
          <w:b w:val="0"/>
          <w:i w:val="0"/>
          <w:color w:val="1B2118"/>
          <w:sz w:val="22"/>
        </w:rPr>
        <w:t>Cada hallazgo de prioridad alta o crítica genera un ticket con el formato que Jira espera (proyecto AIGOV, tipo Task, etiquetas ai-governance y vendor-risk). El texto incluye riesgo, evidencia y remediación.</w:t>
      </w:r>
    </w:p>
    <w:p>
      <w:pPr>
        <w:spacing w:after="200" w:before="0" w:line="240" w:lineRule="auto"/>
      </w:pPr>
      <w:r>
        <w:rPr>
          <w:rFonts w:ascii="Calibri" w:hAnsi="Calibri" w:eastAsia="Calibri"/>
          <w:b w:val="0"/>
          <w:i w:val="0"/>
          <w:color w:val="1B2118"/>
          <w:sz w:val="22"/>
        </w:rPr>
        <w:t>En la versión actual de la consola, esas tareas aparecen en el informe y en el chat. No se envían solas a Jira hasta que Tecnología conecte el resultado con la API de Jira (por ejemplo, en un flujo de DevSecOps). Hasta entonces, Legal o GRC pueden copiar el contenido o pedir a TI que active el envío automático.</w:t>
      </w:r>
    </w:p>
    <w:p>
      <w:pPr>
        <w:pStyle w:val="Heading1"/>
        <w:spacing w:before="320" w:after="160"/>
      </w:pPr>
      <w:r>
        <w:rPr>
          <w:rFonts w:ascii="Calibri" w:hAnsi="Calibri"/>
          <w:color w:val="3D5A1F"/>
        </w:rPr>
        <w:t>11. Modo simulador (sin modelo de lenguaje)</w:t>
      </w:r>
    </w:p>
    <w:p>
      <w:pPr>
        <w:spacing w:after="160" w:before="0" w:line="240" w:lineRule="auto"/>
      </w:pPr>
      <w:r>
        <w:rPr>
          <w:rFonts w:ascii="Calibri" w:hAnsi="Calibri" w:eastAsia="Calibri"/>
          <w:b w:val="0"/>
          <w:i w:val="0"/>
          <w:color w:val="1B2118"/>
          <w:sz w:val="22"/>
        </w:rPr>
        <w:t>Si no hay clave de servicio de IA configurada, o se desea una demostración sin coste, la aplicación no se detiene. Aplica reglas de negocio predefinidas, por ejemplo:</w:t>
      </w:r>
    </w:p>
    <w:p>
      <w:pPr>
        <w:pStyle w:val="ListBullet"/>
        <w:spacing w:after="80"/>
      </w:pPr>
      <w:r>
        <w:rPr>
          <w:rFonts w:ascii="Calibri" w:hAnsi="Calibri" w:eastAsia="Calibri"/>
          <w:b w:val="0"/>
          <w:i w:val="0"/>
          <w:color w:val="1B2118"/>
          <w:sz w:val="22"/>
        </w:rPr>
        <w:t>datos personales (o similares) y DPA no marcado → escalar a gobernanza / legal / seguridad;</w:t>
      </w:r>
    </w:p>
    <w:p>
      <w:pPr>
        <w:pStyle w:val="ListBullet"/>
        <w:spacing w:after="80"/>
      </w:pPr>
      <w:r>
        <w:rPr>
          <w:rFonts w:ascii="Calibri" w:hAnsi="Calibri" w:eastAsia="Calibri"/>
          <w:b w:val="0"/>
          <w:i w:val="0"/>
          <w:color w:val="1B2118"/>
          <w:sz w:val="22"/>
        </w:rPr>
        <w:t>falta de DPA o indicios de datos personales → exige remediación;</w:t>
      </w:r>
    </w:p>
    <w:p>
      <w:pPr>
        <w:pStyle w:val="ListBullet"/>
        <w:spacing w:after="80"/>
      </w:pPr>
      <w:r>
        <w:rPr>
          <w:rFonts w:ascii="Calibri" w:hAnsi="Calibri" w:eastAsia="Calibri"/>
          <w:b w:val="0"/>
          <w:i w:val="0"/>
          <w:color w:val="1B2118"/>
          <w:sz w:val="22"/>
        </w:rPr>
        <w:t>siempre señala la ausencia de pack de seguridad (SOC 2, certificados) si no se aportó;</w:t>
      </w:r>
    </w:p>
    <w:p>
      <w:pPr>
        <w:pStyle w:val="ListBullet"/>
        <w:spacing w:after="80"/>
      </w:pPr>
      <w:r>
        <w:rPr>
          <w:rFonts w:ascii="Calibri" w:hAnsi="Calibri" w:eastAsia="Calibri"/>
          <w:b w:val="0"/>
          <w:i w:val="0"/>
          <w:color w:val="1B2118"/>
          <w:sz w:val="22"/>
        </w:rPr>
        <w:t>el chat responde por palabras clave (decisión, DPA, Jira, NIST, hallazgos).</w:t>
      </w:r>
    </w:p>
    <w:p>
      <w:pPr>
        <w:spacing w:after="160" w:before="160" w:line="240" w:lineRule="auto"/>
      </w:pPr>
      <w:r>
        <w:rPr>
          <w:rFonts w:ascii="Calibri" w:hAnsi="Calibri" w:eastAsia="Calibri"/>
          <w:b w:val="0"/>
          <w:i w:val="0"/>
          <w:color w:val="1B2118"/>
          <w:sz w:val="22"/>
        </w:rPr>
        <w:t>El modo simulador es válido para triaje y formación. Para un expediente de producción, conviene el modo completo y, en cualquier caso, la revisión humana de Legal y Seguridad.</w:t>
      </w:r>
    </w:p>
    <w:p>
      <w:pPr>
        <w:pStyle w:val="Heading1"/>
        <w:spacing w:before="320" w:after="160"/>
      </w:pPr>
      <w:r>
        <w:rPr>
          <w:rFonts w:ascii="Calibri" w:hAnsi="Calibri"/>
          <w:color w:val="3D5A1F"/>
        </w:rPr>
        <w:t>12. Ejemplo guiado</w:t>
      </w:r>
    </w:p>
    <w:p>
      <w:pPr>
        <w:spacing w:after="160" w:before="0" w:line="240" w:lineRule="auto"/>
      </w:pPr>
      <w:r>
        <w:rPr>
          <w:rFonts w:ascii="Calibri" w:hAnsi="Calibri" w:eastAsia="Calibri"/>
          <w:b w:val="0"/>
          <w:i w:val="0"/>
          <w:color w:val="1B2118"/>
          <w:sz w:val="22"/>
        </w:rPr>
        <w:t>Caso: el área de Ingeniería quiere un copiloto interno. Los empleados pueden pegar nombres de clientes y documentos internos. No hay DPA firmado en el archivo de la empresa.</w:t>
      </w:r>
    </w:p>
    <w:tbl>
      <w:tblPr>
        <w:tblStyle w:val="TableGrid"/>
        <w:tblW w:type="auto" w:w="0"/>
        <w:tblLayout w:type="autofit"/>
        <w:tblLook w:firstColumn="1" w:firstRow="1" w:lastColumn="0" w:lastRow="0" w:noHBand="0" w:noVBand="1" w:val="04A0"/>
      </w:tblPr>
      <w:tblGrid>
        <w:gridCol w:w="4873"/>
        <w:gridCol w:w="4873"/>
      </w:tblGrid>
      <w:tr>
        <w:tc>
          <w:tcPr>
            <w:tcW w:type="dxa" w:w="2835"/>
            <w:shd w:fill="1B2118" w:val="clear"/>
          </w:tcPr>
          <w:p>
            <w:pPr>
              <w:spacing w:after="40" w:before="40"/>
            </w:pPr>
            <w:r/>
            <w:r>
              <w:rPr>
                <w:rFonts w:ascii="Calibri" w:hAnsi="Calibri" w:eastAsia="Calibri"/>
                <w:b/>
                <w:i w:val="0"/>
                <w:color w:val="FFFFFF"/>
                <w:sz w:val="20"/>
              </w:rPr>
              <w:t>Dato de entrada</w:t>
            </w:r>
          </w:p>
        </w:tc>
        <w:tc>
          <w:tcPr>
            <w:tcW w:type="dxa" w:w="6520"/>
            <w:shd w:fill="1B2118" w:val="clear"/>
          </w:tcPr>
          <w:p>
            <w:pPr>
              <w:spacing w:after="40" w:before="40"/>
            </w:pPr>
            <w:r/>
            <w:r>
              <w:rPr>
                <w:rFonts w:ascii="Calibri" w:hAnsi="Calibri" w:eastAsia="Calibri"/>
                <w:b/>
                <w:i w:val="0"/>
                <w:color w:val="FFFFFF"/>
                <w:sz w:val="20"/>
              </w:rPr>
              <w:t>Valor de ejemplo</w:t>
            </w:r>
          </w:p>
        </w:tc>
      </w:tr>
      <w:tr>
        <w:tc>
          <w:tcPr>
            <w:tcW w:type="dxa" w:w="2835"/>
            <w:shd w:fill="FFFFFF" w:val="clear"/>
          </w:tcPr>
          <w:p>
            <w:pPr>
              <w:spacing w:after="40" w:before="40"/>
            </w:pPr>
            <w:r/>
            <w:r>
              <w:rPr>
                <w:rFonts w:ascii="Calibri" w:hAnsi="Calibri" w:eastAsia="Calibri"/>
                <w:b w:val="0"/>
                <w:i w:val="0"/>
                <w:color w:val="1B2118"/>
                <w:sz w:val="20"/>
              </w:rPr>
              <w:t>Proveedor</w:t>
            </w:r>
          </w:p>
        </w:tc>
        <w:tc>
          <w:tcPr>
            <w:tcW w:type="dxa" w:w="6520"/>
            <w:shd w:fill="FFFFFF" w:val="clear"/>
          </w:tcPr>
          <w:p>
            <w:pPr>
              <w:spacing w:after="40" w:before="40"/>
            </w:pPr>
            <w:r/>
            <w:r>
              <w:rPr>
                <w:rFonts w:ascii="Calibri" w:hAnsi="Calibri" w:eastAsia="Calibri"/>
                <w:b w:val="0"/>
                <w:i w:val="0"/>
                <w:color w:val="1B2118"/>
                <w:sz w:val="20"/>
              </w:rPr>
              <w:t>OpenAI</w:t>
            </w:r>
          </w:p>
        </w:tc>
      </w:tr>
      <w:tr>
        <w:tc>
          <w:tcPr>
            <w:tcW w:type="dxa" w:w="2835"/>
            <w:shd w:fill="F3F5EE" w:val="clear"/>
          </w:tcPr>
          <w:p>
            <w:pPr>
              <w:spacing w:after="40" w:before="40"/>
            </w:pPr>
            <w:r/>
            <w:r>
              <w:rPr>
                <w:rFonts w:ascii="Calibri" w:hAnsi="Calibri" w:eastAsia="Calibri"/>
                <w:b w:val="0"/>
                <w:i w:val="0"/>
                <w:color w:val="1B2118"/>
                <w:sz w:val="20"/>
              </w:rPr>
              <w:t>Uso previsto</w:t>
            </w:r>
          </w:p>
        </w:tc>
        <w:tc>
          <w:tcPr>
            <w:tcW w:type="dxa" w:w="6520"/>
            <w:shd w:fill="F3F5EE" w:val="clear"/>
          </w:tcPr>
          <w:p>
            <w:pPr>
              <w:spacing w:after="40" w:before="40"/>
            </w:pPr>
            <w:r/>
            <w:r>
              <w:rPr>
                <w:rFonts w:ascii="Calibri" w:hAnsi="Calibri" w:eastAsia="Calibri"/>
                <w:b w:val="0"/>
                <w:i w:val="0"/>
                <w:color w:val="1B2118"/>
                <w:sz w:val="20"/>
              </w:rPr>
              <w:t>Copiloto interno para redacción y asistencia en código</w:t>
            </w:r>
          </w:p>
        </w:tc>
      </w:tr>
      <w:tr>
        <w:tc>
          <w:tcPr>
            <w:tcW w:type="dxa" w:w="2835"/>
            <w:shd w:fill="FFFFFF" w:val="clear"/>
          </w:tcPr>
          <w:p>
            <w:pPr>
              <w:spacing w:after="40" w:before="40"/>
            </w:pPr>
            <w:r/>
            <w:r>
              <w:rPr>
                <w:rFonts w:ascii="Calibri" w:hAnsi="Calibri" w:eastAsia="Calibri"/>
                <w:b w:val="0"/>
                <w:i w:val="0"/>
                <w:color w:val="1B2118"/>
                <w:sz w:val="20"/>
              </w:rPr>
              <w:t>Datos</w:t>
            </w:r>
          </w:p>
        </w:tc>
        <w:tc>
          <w:tcPr>
            <w:tcW w:type="dxa" w:w="6520"/>
            <w:shd w:fill="FFFFFF" w:val="clear"/>
          </w:tcPr>
          <w:p>
            <w:pPr>
              <w:spacing w:after="40" w:before="40"/>
            </w:pPr>
            <w:r/>
            <w:r>
              <w:rPr>
                <w:rFonts w:ascii="Calibri" w:hAnsi="Calibri" w:eastAsia="Calibri"/>
                <w:b w:val="0"/>
                <w:i w:val="0"/>
                <w:color w:val="1B2118"/>
                <w:sz w:val="20"/>
              </w:rPr>
              <w:t>Prompts de empleados que pueden incluir nombres de clientes y documentos internos</w:t>
            </w:r>
          </w:p>
        </w:tc>
      </w:tr>
      <w:tr>
        <w:tc>
          <w:tcPr>
            <w:tcW w:type="dxa" w:w="2835"/>
            <w:shd w:fill="F3F5EE" w:val="clear"/>
          </w:tcPr>
          <w:p>
            <w:pPr>
              <w:spacing w:after="40" w:before="40"/>
            </w:pPr>
            <w:r/>
            <w:r>
              <w:rPr>
                <w:rFonts w:ascii="Calibri" w:hAnsi="Calibri" w:eastAsia="Calibri"/>
                <w:b w:val="0"/>
                <w:i w:val="0"/>
                <w:color w:val="1B2118"/>
                <w:sz w:val="20"/>
              </w:rPr>
              <w:t>DPA firmado</w:t>
            </w:r>
          </w:p>
        </w:tc>
        <w:tc>
          <w:tcPr>
            <w:tcW w:type="dxa" w:w="6520"/>
            <w:shd w:fill="F3F5EE" w:val="clear"/>
          </w:tcPr>
          <w:p>
            <w:pPr>
              <w:spacing w:after="40" w:before="40"/>
            </w:pPr>
            <w:r/>
            <w:r>
              <w:rPr>
                <w:rFonts w:ascii="Calibri" w:hAnsi="Calibri" w:eastAsia="Calibri"/>
                <w:b w:val="0"/>
                <w:i w:val="0"/>
                <w:color w:val="1B2118"/>
                <w:sz w:val="20"/>
              </w:rPr>
              <w:t>No (casilla desmarcada)</w:t>
            </w:r>
          </w:p>
        </w:tc>
      </w:tr>
    </w:tbl>
    <w:p/>
    <w:p>
      <w:pPr>
        <w:spacing w:after="160" w:before="0" w:line="240" w:lineRule="auto"/>
      </w:pPr>
      <w:r>
        <w:rPr>
          <w:rFonts w:ascii="Calibri" w:hAnsi="Calibri" w:eastAsia="Calibri"/>
          <w:b w:val="0"/>
          <w:i w:val="0"/>
          <w:color w:val="1B2118"/>
          <w:sz w:val="22"/>
        </w:rPr>
        <w:t>Resultado típico en modo simulador:</w:t>
      </w:r>
    </w:p>
    <w:p>
      <w:pPr>
        <w:pStyle w:val="ListBullet"/>
        <w:spacing w:after="80"/>
      </w:pPr>
      <w:r>
        <w:rPr>
          <w:rFonts w:ascii="Calibri" w:hAnsi="Calibri" w:eastAsia="Calibri"/>
          <w:b/>
          <w:i w:val="0"/>
          <w:color w:val="1B2118"/>
          <w:sz w:val="22"/>
        </w:rPr>
        <w:t xml:space="preserve">Decisión: </w:t>
      </w:r>
      <w:r>
        <w:rPr>
          <w:rFonts w:ascii="Calibri" w:hAnsi="Calibri" w:eastAsia="Calibri"/>
          <w:b w:val="0"/>
          <w:i w:val="0"/>
          <w:color w:val="1B2118"/>
          <w:sz w:val="22"/>
        </w:rPr>
        <w:t>ESCALATE TO AI GOVERNANCE / LEGAL / SECURITY</w:t>
      </w:r>
    </w:p>
    <w:p>
      <w:pPr>
        <w:pStyle w:val="ListBullet"/>
        <w:spacing w:after="80"/>
      </w:pPr>
      <w:r>
        <w:rPr>
          <w:rFonts w:ascii="Calibri" w:hAnsi="Calibri" w:eastAsia="Calibri"/>
          <w:b/>
          <w:i w:val="0"/>
          <w:color w:val="1B2118"/>
          <w:sz w:val="22"/>
        </w:rPr>
        <w:t xml:space="preserve">Riesgo residual: </w:t>
      </w:r>
      <w:r>
        <w:rPr>
          <w:rFonts w:ascii="Calibri" w:hAnsi="Calibri" w:eastAsia="Calibri"/>
          <w:b w:val="0"/>
          <w:i w:val="0"/>
          <w:color w:val="1B2118"/>
          <w:sz w:val="22"/>
        </w:rPr>
        <w:t>High (Alto)</w:t>
      </w:r>
    </w:p>
    <w:p>
      <w:pPr>
        <w:pStyle w:val="ListBullet"/>
        <w:spacing w:after="80"/>
      </w:pPr>
      <w:r>
        <w:rPr>
          <w:rFonts w:ascii="Calibri" w:hAnsi="Calibri" w:eastAsia="Calibri"/>
          <w:b/>
          <w:i w:val="0"/>
          <w:color w:val="1B2118"/>
          <w:sz w:val="22"/>
        </w:rPr>
        <w:t xml:space="preserve">Hallazgos: </w:t>
      </w:r>
      <w:r>
        <w:rPr>
          <w:rFonts w:ascii="Calibri" w:hAnsi="Calibri" w:eastAsia="Calibri"/>
          <w:b w:val="0"/>
          <w:i w:val="0"/>
          <w:color w:val="1B2118"/>
          <w:sz w:val="22"/>
        </w:rPr>
        <w:t>sin DPA ejecutado; datos potencialmente personales sin DPIA; pack de seguridad no aportado.</w:t>
      </w:r>
    </w:p>
    <w:p>
      <w:pPr>
        <w:pStyle w:val="ListBullet"/>
        <w:spacing w:after="80"/>
      </w:pPr>
      <w:r>
        <w:rPr>
          <w:rFonts w:ascii="Calibri" w:hAnsi="Calibri" w:eastAsia="Calibri"/>
          <w:b/>
          <w:i w:val="0"/>
          <w:color w:val="1B2118"/>
          <w:sz w:val="22"/>
        </w:rPr>
        <w:t xml:space="preserve">Tareas: </w:t>
      </w:r>
      <w:r>
        <w:rPr>
          <w:rFonts w:ascii="Calibri" w:hAnsi="Calibri" w:eastAsia="Calibri"/>
          <w:b w:val="0"/>
          <w:i w:val="0"/>
          <w:color w:val="1B2118"/>
          <w:sz w:val="22"/>
        </w:rPr>
        <w:t>firmar DPA; completar triaje DPIA / flujo de datos; solicitar SOC 2 vigente.</w:t>
      </w:r>
    </w:p>
    <w:p>
      <w:pPr>
        <w:spacing w:after="160" w:before="0" w:line="240" w:lineRule="auto"/>
      </w:pPr>
      <w:r>
        <w:rPr>
          <w:rFonts w:ascii="Calibri" w:hAnsi="Calibri" w:eastAsia="Calibri"/>
          <w:b w:val="0"/>
          <w:i/>
          <w:color w:val="1B2118"/>
          <w:sz w:val="22"/>
        </w:rPr>
        <w:t>Interpretación para Dirección: no es «el proveedor es ilegal». Es «no tenemos base documental para usar este servicio con esos datos». El siguiente paso es Legal y Privacidad, no un despliegue amplio.</w:t>
      </w:r>
    </w:p>
    <w:p>
      <w:pPr>
        <w:pStyle w:val="Heading1"/>
        <w:spacing w:before="320" w:after="160"/>
      </w:pPr>
      <w:r>
        <w:rPr>
          <w:rFonts w:ascii="Calibri" w:hAnsi="Calibri"/>
          <w:color w:val="3D5A1F"/>
        </w:rPr>
        <w:t>13. Quién hace qué (RACI simplificado)</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c>
          <w:tcPr>
            <w:tcW w:type="dxa" w:w="2551"/>
            <w:shd w:fill="1B2118" w:val="clear"/>
          </w:tcPr>
          <w:p>
            <w:pPr>
              <w:spacing w:after="40" w:before="40"/>
            </w:pPr>
            <w:r/>
            <w:r>
              <w:rPr>
                <w:rFonts w:ascii="Calibri" w:hAnsi="Calibri" w:eastAsia="Calibri"/>
                <w:b/>
                <w:i w:val="0"/>
                <w:color w:val="FFFFFF"/>
                <w:sz w:val="20"/>
              </w:rPr>
              <w:t>Actividad</w:t>
            </w:r>
          </w:p>
        </w:tc>
        <w:tc>
          <w:tcPr>
            <w:tcW w:type="dxa" w:w="1701"/>
            <w:shd w:fill="1B2118" w:val="clear"/>
          </w:tcPr>
          <w:p>
            <w:pPr>
              <w:spacing w:after="40" w:before="40"/>
            </w:pPr>
            <w:r/>
            <w:r>
              <w:rPr>
                <w:rFonts w:ascii="Calibri" w:hAnsi="Calibri" w:eastAsia="Calibri"/>
                <w:b/>
                <w:i w:val="0"/>
                <w:color w:val="FFFFFF"/>
                <w:sz w:val="20"/>
              </w:rPr>
              <w:t>Negocio</w:t>
            </w:r>
          </w:p>
        </w:tc>
        <w:tc>
          <w:tcPr>
            <w:tcW w:type="dxa" w:w="1984"/>
            <w:shd w:fill="1B2118" w:val="clear"/>
          </w:tcPr>
          <w:p>
            <w:pPr>
              <w:spacing w:after="40" w:before="40"/>
            </w:pPr>
            <w:r/>
            <w:r>
              <w:rPr>
                <w:rFonts w:ascii="Calibri" w:hAnsi="Calibri" w:eastAsia="Calibri"/>
                <w:b/>
                <w:i w:val="0"/>
                <w:color w:val="FFFFFF"/>
                <w:sz w:val="20"/>
              </w:rPr>
              <w:t>Legal / Privacidad</w:t>
            </w:r>
          </w:p>
        </w:tc>
        <w:tc>
          <w:tcPr>
            <w:tcW w:type="dxa" w:w="1984"/>
            <w:shd w:fill="1B2118" w:val="clear"/>
          </w:tcPr>
          <w:p>
            <w:pPr>
              <w:spacing w:after="40" w:before="40"/>
            </w:pPr>
            <w:r/>
            <w:r>
              <w:rPr>
                <w:rFonts w:ascii="Calibri" w:hAnsi="Calibri" w:eastAsia="Calibri"/>
                <w:b/>
                <w:i w:val="0"/>
                <w:color w:val="FFFFFF"/>
                <w:sz w:val="20"/>
              </w:rPr>
              <w:t>Seguridad / GRC</w:t>
            </w:r>
          </w:p>
        </w:tc>
        <w:tc>
          <w:tcPr>
            <w:tcW w:type="dxa" w:w="1134"/>
            <w:shd w:fill="1B2118" w:val="clear"/>
          </w:tcPr>
          <w:p>
            <w:pPr>
              <w:spacing w:after="40" w:before="40"/>
            </w:pPr>
            <w:r/>
            <w:r>
              <w:rPr>
                <w:rFonts w:ascii="Calibri" w:hAnsi="Calibri" w:eastAsia="Calibri"/>
                <w:b/>
                <w:i w:val="0"/>
                <w:color w:val="FFFFFF"/>
                <w:sz w:val="20"/>
              </w:rPr>
              <w:t>TI</w:t>
            </w:r>
          </w:p>
        </w:tc>
      </w:tr>
      <w:tr>
        <w:tc>
          <w:tcPr>
            <w:tcW w:type="dxa" w:w="2551"/>
            <w:shd w:fill="FFFFFF" w:val="clear"/>
          </w:tcPr>
          <w:p>
            <w:pPr>
              <w:spacing w:after="40" w:before="40"/>
            </w:pPr>
            <w:r/>
            <w:r>
              <w:rPr>
                <w:rFonts w:ascii="Calibri" w:hAnsi="Calibri" w:eastAsia="Calibri"/>
                <w:b w:val="0"/>
                <w:i w:val="0"/>
                <w:color w:val="1B2118"/>
                <w:sz w:val="20"/>
              </w:rPr>
              <w:t>Completar el intake</w:t>
            </w:r>
          </w:p>
        </w:tc>
        <w:tc>
          <w:tcPr>
            <w:tcW w:type="dxa" w:w="1701"/>
            <w:shd w:fill="FFFFFF" w:val="clear"/>
          </w:tcPr>
          <w:p>
            <w:pPr>
              <w:spacing w:after="40" w:before="40"/>
            </w:pPr>
            <w:r/>
            <w:r>
              <w:rPr>
                <w:rFonts w:ascii="Calibri" w:hAnsi="Calibri" w:eastAsia="Calibri"/>
                <w:b w:val="0"/>
                <w:i w:val="0"/>
                <w:color w:val="1B2118"/>
                <w:sz w:val="20"/>
              </w:rPr>
              <w:t>R</w:t>
            </w:r>
          </w:p>
        </w:tc>
        <w:tc>
          <w:tcPr>
            <w:tcW w:type="dxa" w:w="1984"/>
            <w:shd w:fill="FFFFFF" w:val="clear"/>
          </w:tcPr>
          <w:p>
            <w:pPr>
              <w:spacing w:after="40" w:before="40"/>
            </w:pPr>
            <w:r/>
            <w:r>
              <w:rPr>
                <w:rFonts w:ascii="Calibri" w:hAnsi="Calibri" w:eastAsia="Calibri"/>
                <w:b w:val="0"/>
                <w:i w:val="0"/>
                <w:color w:val="1B2118"/>
                <w:sz w:val="20"/>
              </w:rPr>
              <w:t>C</w:t>
            </w:r>
          </w:p>
        </w:tc>
        <w:tc>
          <w:tcPr>
            <w:tcW w:type="dxa" w:w="1984"/>
            <w:shd w:fill="FFFFFF" w:val="clear"/>
          </w:tcPr>
          <w:p>
            <w:pPr>
              <w:spacing w:after="40" w:before="40"/>
            </w:pPr>
            <w:r/>
            <w:r>
              <w:rPr>
                <w:rFonts w:ascii="Calibri" w:hAnsi="Calibri" w:eastAsia="Calibri"/>
                <w:b w:val="0"/>
                <w:i w:val="0"/>
                <w:color w:val="1B2118"/>
                <w:sz w:val="20"/>
              </w:rPr>
              <w:t>C</w:t>
            </w:r>
          </w:p>
        </w:tc>
        <w:tc>
          <w:tcPr>
            <w:tcW w:type="dxa" w:w="1134"/>
            <w:shd w:fill="FFFFFF" w:val="clear"/>
          </w:tcPr>
          <w:p>
            <w:pPr>
              <w:spacing w:after="40" w:before="40"/>
            </w:pPr>
            <w:r/>
            <w:r>
              <w:rPr>
                <w:rFonts w:ascii="Calibri" w:hAnsi="Calibri" w:eastAsia="Calibri"/>
                <w:b w:val="0"/>
                <w:i w:val="0"/>
                <w:color w:val="1B2118"/>
                <w:sz w:val="20"/>
              </w:rPr>
              <w:t>I</w:t>
            </w:r>
          </w:p>
        </w:tc>
      </w:tr>
      <w:tr>
        <w:tc>
          <w:tcPr>
            <w:tcW w:type="dxa" w:w="2551"/>
            <w:shd w:fill="F3F5EE" w:val="clear"/>
          </w:tcPr>
          <w:p>
            <w:pPr>
              <w:spacing w:after="40" w:before="40"/>
            </w:pPr>
            <w:r/>
            <w:r>
              <w:rPr>
                <w:rFonts w:ascii="Calibri" w:hAnsi="Calibri" w:eastAsia="Calibri"/>
                <w:b w:val="0"/>
                <w:i w:val="0"/>
                <w:color w:val="1B2118"/>
                <w:sz w:val="20"/>
              </w:rPr>
              <w:t>Lanzar la evaluación</w:t>
            </w:r>
          </w:p>
        </w:tc>
        <w:tc>
          <w:tcPr>
            <w:tcW w:type="dxa" w:w="1701"/>
            <w:shd w:fill="F3F5EE" w:val="clear"/>
          </w:tcPr>
          <w:p>
            <w:pPr>
              <w:spacing w:after="40" w:before="40"/>
            </w:pPr>
            <w:r/>
            <w:r>
              <w:rPr>
                <w:rFonts w:ascii="Calibri" w:hAnsi="Calibri" w:eastAsia="Calibri"/>
                <w:b w:val="0"/>
                <w:i w:val="0"/>
                <w:color w:val="1B2118"/>
                <w:sz w:val="20"/>
              </w:rPr>
              <w:t>R</w:t>
            </w:r>
          </w:p>
        </w:tc>
        <w:tc>
          <w:tcPr>
            <w:tcW w:type="dxa" w:w="1984"/>
            <w:shd w:fill="F3F5EE" w:val="clear"/>
          </w:tcPr>
          <w:p>
            <w:pPr>
              <w:spacing w:after="40" w:before="40"/>
            </w:pPr>
            <w:r/>
            <w:r>
              <w:rPr>
                <w:rFonts w:ascii="Calibri" w:hAnsi="Calibri" w:eastAsia="Calibri"/>
                <w:b w:val="0"/>
                <w:i w:val="0"/>
                <w:color w:val="1B2118"/>
                <w:sz w:val="20"/>
              </w:rPr>
              <w:t>C</w:t>
            </w:r>
          </w:p>
        </w:tc>
        <w:tc>
          <w:tcPr>
            <w:tcW w:type="dxa" w:w="1984"/>
            <w:shd w:fill="F3F5EE" w:val="clear"/>
          </w:tcPr>
          <w:p>
            <w:pPr>
              <w:spacing w:after="40" w:before="40"/>
            </w:pPr>
            <w:r/>
            <w:r>
              <w:rPr>
                <w:rFonts w:ascii="Calibri" w:hAnsi="Calibri" w:eastAsia="Calibri"/>
                <w:b w:val="0"/>
                <w:i w:val="0"/>
                <w:color w:val="1B2118"/>
                <w:sz w:val="20"/>
              </w:rPr>
              <w:t>A</w:t>
            </w:r>
          </w:p>
        </w:tc>
        <w:tc>
          <w:tcPr>
            <w:tcW w:type="dxa" w:w="1134"/>
            <w:shd w:fill="F3F5EE" w:val="clear"/>
          </w:tcPr>
          <w:p>
            <w:pPr>
              <w:spacing w:after="40" w:before="40"/>
            </w:pPr>
            <w:r/>
            <w:r>
              <w:rPr>
                <w:rFonts w:ascii="Calibri" w:hAnsi="Calibri" w:eastAsia="Calibri"/>
                <w:b w:val="0"/>
                <w:i w:val="0"/>
                <w:color w:val="1B2118"/>
                <w:sz w:val="20"/>
              </w:rPr>
              <w:t>I</w:t>
            </w:r>
          </w:p>
        </w:tc>
      </w:tr>
      <w:tr>
        <w:tc>
          <w:tcPr>
            <w:tcW w:type="dxa" w:w="2551"/>
            <w:shd w:fill="FFFFFF" w:val="clear"/>
          </w:tcPr>
          <w:p>
            <w:pPr>
              <w:spacing w:after="40" w:before="40"/>
            </w:pPr>
            <w:r/>
            <w:r>
              <w:rPr>
                <w:rFonts w:ascii="Calibri" w:hAnsi="Calibri" w:eastAsia="Calibri"/>
                <w:b w:val="0"/>
                <w:i w:val="0"/>
                <w:color w:val="1B2118"/>
                <w:sz w:val="20"/>
              </w:rPr>
              <w:t>Interpretar decisión y hallazgos</w:t>
            </w:r>
          </w:p>
        </w:tc>
        <w:tc>
          <w:tcPr>
            <w:tcW w:type="dxa" w:w="1701"/>
            <w:shd w:fill="FFFFFF" w:val="clear"/>
          </w:tcPr>
          <w:p>
            <w:pPr>
              <w:spacing w:after="40" w:before="40"/>
            </w:pPr>
            <w:r/>
            <w:r>
              <w:rPr>
                <w:rFonts w:ascii="Calibri" w:hAnsi="Calibri" w:eastAsia="Calibri"/>
                <w:b w:val="0"/>
                <w:i w:val="0"/>
                <w:color w:val="1B2118"/>
                <w:sz w:val="20"/>
              </w:rPr>
              <w:t>C</w:t>
            </w:r>
          </w:p>
        </w:tc>
        <w:tc>
          <w:tcPr>
            <w:tcW w:type="dxa" w:w="1984"/>
            <w:shd w:fill="FFFFFF" w:val="clear"/>
          </w:tcPr>
          <w:p>
            <w:pPr>
              <w:spacing w:after="40" w:before="40"/>
            </w:pPr>
            <w:r/>
            <w:r>
              <w:rPr>
                <w:rFonts w:ascii="Calibri" w:hAnsi="Calibri" w:eastAsia="Calibri"/>
                <w:b w:val="0"/>
                <w:i w:val="0"/>
                <w:color w:val="1B2118"/>
                <w:sz w:val="20"/>
              </w:rPr>
              <w:t>A</w:t>
            </w:r>
          </w:p>
        </w:tc>
        <w:tc>
          <w:tcPr>
            <w:tcW w:type="dxa" w:w="1984"/>
            <w:shd w:fill="FFFFFF" w:val="clear"/>
          </w:tcPr>
          <w:p>
            <w:pPr>
              <w:spacing w:after="40" w:before="40"/>
            </w:pPr>
            <w:r/>
            <w:r>
              <w:rPr>
                <w:rFonts w:ascii="Calibri" w:hAnsi="Calibri" w:eastAsia="Calibri"/>
                <w:b w:val="0"/>
                <w:i w:val="0"/>
                <w:color w:val="1B2118"/>
                <w:sz w:val="20"/>
              </w:rPr>
              <w:t>A</w:t>
            </w:r>
          </w:p>
        </w:tc>
        <w:tc>
          <w:tcPr>
            <w:tcW w:type="dxa" w:w="1134"/>
            <w:shd w:fill="FFFFFF" w:val="clear"/>
          </w:tcPr>
          <w:p>
            <w:pPr>
              <w:spacing w:after="40" w:before="40"/>
            </w:pPr>
            <w:r/>
            <w:r>
              <w:rPr>
                <w:rFonts w:ascii="Calibri" w:hAnsi="Calibri" w:eastAsia="Calibri"/>
                <w:b w:val="0"/>
                <w:i w:val="0"/>
                <w:color w:val="1B2118"/>
                <w:sz w:val="20"/>
              </w:rPr>
              <w:t>I</w:t>
            </w:r>
          </w:p>
        </w:tc>
      </w:tr>
      <w:tr>
        <w:tc>
          <w:tcPr>
            <w:tcW w:type="dxa" w:w="2551"/>
            <w:shd w:fill="F3F5EE" w:val="clear"/>
          </w:tcPr>
          <w:p>
            <w:pPr>
              <w:spacing w:after="40" w:before="40"/>
            </w:pPr>
            <w:r/>
            <w:r>
              <w:rPr>
                <w:rFonts w:ascii="Calibri" w:hAnsi="Calibri" w:eastAsia="Calibri"/>
                <w:b w:val="0"/>
                <w:i w:val="0"/>
                <w:color w:val="1B2118"/>
                <w:sz w:val="20"/>
              </w:rPr>
              <w:t>Firmar o archivar DPA / contratos</w:t>
            </w:r>
          </w:p>
        </w:tc>
        <w:tc>
          <w:tcPr>
            <w:tcW w:type="dxa" w:w="1701"/>
            <w:shd w:fill="F3F5EE" w:val="clear"/>
          </w:tcPr>
          <w:p>
            <w:pPr>
              <w:spacing w:after="40" w:before="40"/>
            </w:pPr>
            <w:r/>
            <w:r>
              <w:rPr>
                <w:rFonts w:ascii="Calibri" w:hAnsi="Calibri" w:eastAsia="Calibri"/>
                <w:b w:val="0"/>
                <w:i w:val="0"/>
                <w:color w:val="1B2118"/>
                <w:sz w:val="20"/>
              </w:rPr>
              <w:t>C</w:t>
            </w:r>
          </w:p>
        </w:tc>
        <w:tc>
          <w:tcPr>
            <w:tcW w:type="dxa" w:w="1984"/>
            <w:shd w:fill="F3F5EE" w:val="clear"/>
          </w:tcPr>
          <w:p>
            <w:pPr>
              <w:spacing w:after="40" w:before="40"/>
            </w:pPr>
            <w:r/>
            <w:r>
              <w:rPr>
                <w:rFonts w:ascii="Calibri" w:hAnsi="Calibri" w:eastAsia="Calibri"/>
                <w:b w:val="0"/>
                <w:i w:val="0"/>
                <w:color w:val="1B2118"/>
                <w:sz w:val="20"/>
              </w:rPr>
              <w:t>R</w:t>
            </w:r>
          </w:p>
        </w:tc>
        <w:tc>
          <w:tcPr>
            <w:tcW w:type="dxa" w:w="1984"/>
            <w:shd w:fill="F3F5EE" w:val="clear"/>
          </w:tcPr>
          <w:p>
            <w:pPr>
              <w:spacing w:after="40" w:before="40"/>
            </w:pPr>
            <w:r/>
            <w:r>
              <w:rPr>
                <w:rFonts w:ascii="Calibri" w:hAnsi="Calibri" w:eastAsia="Calibri"/>
                <w:b w:val="0"/>
                <w:i w:val="0"/>
                <w:color w:val="1B2118"/>
                <w:sz w:val="20"/>
              </w:rPr>
              <w:t>C</w:t>
            </w:r>
          </w:p>
        </w:tc>
        <w:tc>
          <w:tcPr>
            <w:tcW w:type="dxa" w:w="1134"/>
            <w:shd w:fill="F3F5EE" w:val="clear"/>
          </w:tcPr>
          <w:p>
            <w:pPr>
              <w:spacing w:after="40" w:before="40"/>
            </w:pPr>
            <w:r/>
            <w:r>
              <w:rPr>
                <w:rFonts w:ascii="Calibri" w:hAnsi="Calibri" w:eastAsia="Calibri"/>
                <w:b w:val="0"/>
                <w:i w:val="0"/>
                <w:color w:val="1B2118"/>
                <w:sz w:val="20"/>
              </w:rPr>
              <w:t>I</w:t>
            </w:r>
          </w:p>
        </w:tc>
      </w:tr>
      <w:tr>
        <w:tc>
          <w:tcPr>
            <w:tcW w:type="dxa" w:w="2551"/>
            <w:shd w:fill="FFFFFF" w:val="clear"/>
          </w:tcPr>
          <w:p>
            <w:pPr>
              <w:spacing w:after="40" w:before="40"/>
            </w:pPr>
            <w:r/>
            <w:r>
              <w:rPr>
                <w:rFonts w:ascii="Calibri" w:hAnsi="Calibri" w:eastAsia="Calibri"/>
                <w:b w:val="0"/>
                <w:i w:val="0"/>
                <w:color w:val="1B2118"/>
                <w:sz w:val="20"/>
              </w:rPr>
              <w:t>Validar pack de seguridad</w:t>
            </w:r>
          </w:p>
        </w:tc>
        <w:tc>
          <w:tcPr>
            <w:tcW w:type="dxa" w:w="1701"/>
            <w:shd w:fill="FFFFFF" w:val="clear"/>
          </w:tcPr>
          <w:p>
            <w:pPr>
              <w:spacing w:after="40" w:before="40"/>
            </w:pPr>
            <w:r/>
            <w:r>
              <w:rPr>
                <w:rFonts w:ascii="Calibri" w:hAnsi="Calibri" w:eastAsia="Calibri"/>
                <w:b w:val="0"/>
                <w:i w:val="0"/>
                <w:color w:val="1B2118"/>
                <w:sz w:val="20"/>
              </w:rPr>
              <w:t>I</w:t>
            </w:r>
          </w:p>
        </w:tc>
        <w:tc>
          <w:tcPr>
            <w:tcW w:type="dxa" w:w="1984"/>
            <w:shd w:fill="FFFFFF" w:val="clear"/>
          </w:tcPr>
          <w:p>
            <w:pPr>
              <w:spacing w:after="40" w:before="40"/>
            </w:pPr>
            <w:r/>
            <w:r>
              <w:rPr>
                <w:rFonts w:ascii="Calibri" w:hAnsi="Calibri" w:eastAsia="Calibri"/>
                <w:b w:val="0"/>
                <w:i w:val="0"/>
                <w:color w:val="1B2118"/>
                <w:sz w:val="20"/>
              </w:rPr>
              <w:t>C</w:t>
            </w:r>
          </w:p>
        </w:tc>
        <w:tc>
          <w:tcPr>
            <w:tcW w:type="dxa" w:w="1984"/>
            <w:shd w:fill="FFFFFF" w:val="clear"/>
          </w:tcPr>
          <w:p>
            <w:pPr>
              <w:spacing w:after="40" w:before="40"/>
            </w:pPr>
            <w:r/>
            <w:r>
              <w:rPr>
                <w:rFonts w:ascii="Calibri" w:hAnsi="Calibri" w:eastAsia="Calibri"/>
                <w:b w:val="0"/>
                <w:i w:val="0"/>
                <w:color w:val="1B2118"/>
                <w:sz w:val="20"/>
              </w:rPr>
              <w:t>R</w:t>
            </w:r>
          </w:p>
        </w:tc>
        <w:tc>
          <w:tcPr>
            <w:tcW w:type="dxa" w:w="1134"/>
            <w:shd w:fill="FFFFFF" w:val="clear"/>
          </w:tcPr>
          <w:p>
            <w:pPr>
              <w:spacing w:after="40" w:before="40"/>
            </w:pPr>
            <w:r/>
            <w:r>
              <w:rPr>
                <w:rFonts w:ascii="Calibri" w:hAnsi="Calibri" w:eastAsia="Calibri"/>
                <w:b w:val="0"/>
                <w:i w:val="0"/>
                <w:color w:val="1B2118"/>
                <w:sz w:val="20"/>
              </w:rPr>
              <w:t>C</w:t>
            </w:r>
          </w:p>
        </w:tc>
      </w:tr>
      <w:tr>
        <w:tc>
          <w:tcPr>
            <w:tcW w:type="dxa" w:w="2551"/>
            <w:shd w:fill="F3F5EE" w:val="clear"/>
          </w:tcPr>
          <w:p>
            <w:pPr>
              <w:spacing w:after="40" w:before="40"/>
            </w:pPr>
            <w:r/>
            <w:r>
              <w:rPr>
                <w:rFonts w:ascii="Calibri" w:hAnsi="Calibri" w:eastAsia="Calibri"/>
                <w:b w:val="0"/>
                <w:i w:val="0"/>
                <w:color w:val="1B2118"/>
                <w:sz w:val="20"/>
              </w:rPr>
              <w:t>Conectar tickets con Jira</w:t>
            </w:r>
          </w:p>
        </w:tc>
        <w:tc>
          <w:tcPr>
            <w:tcW w:type="dxa" w:w="1701"/>
            <w:shd w:fill="F3F5EE" w:val="clear"/>
          </w:tcPr>
          <w:p>
            <w:pPr>
              <w:spacing w:after="40" w:before="40"/>
            </w:pPr>
            <w:r/>
            <w:r>
              <w:rPr>
                <w:rFonts w:ascii="Calibri" w:hAnsi="Calibri" w:eastAsia="Calibri"/>
                <w:b w:val="0"/>
                <w:i w:val="0"/>
                <w:color w:val="1B2118"/>
                <w:sz w:val="20"/>
              </w:rPr>
              <w:t>I</w:t>
            </w:r>
          </w:p>
        </w:tc>
        <w:tc>
          <w:tcPr>
            <w:tcW w:type="dxa" w:w="1984"/>
            <w:shd w:fill="F3F5EE" w:val="clear"/>
          </w:tcPr>
          <w:p>
            <w:pPr>
              <w:spacing w:after="40" w:before="40"/>
            </w:pPr>
            <w:r/>
            <w:r>
              <w:rPr>
                <w:rFonts w:ascii="Calibri" w:hAnsi="Calibri" w:eastAsia="Calibri"/>
                <w:b w:val="0"/>
                <w:i w:val="0"/>
                <w:color w:val="1B2118"/>
                <w:sz w:val="20"/>
              </w:rPr>
              <w:t>I</w:t>
            </w:r>
          </w:p>
        </w:tc>
        <w:tc>
          <w:tcPr>
            <w:tcW w:type="dxa" w:w="1984"/>
            <w:shd w:fill="F3F5EE" w:val="clear"/>
          </w:tcPr>
          <w:p>
            <w:pPr>
              <w:spacing w:after="40" w:before="40"/>
            </w:pPr>
            <w:r/>
            <w:r>
              <w:rPr>
                <w:rFonts w:ascii="Calibri" w:hAnsi="Calibri" w:eastAsia="Calibri"/>
                <w:b w:val="0"/>
                <w:i w:val="0"/>
                <w:color w:val="1B2118"/>
                <w:sz w:val="20"/>
              </w:rPr>
              <w:t>C</w:t>
            </w:r>
          </w:p>
        </w:tc>
        <w:tc>
          <w:tcPr>
            <w:tcW w:type="dxa" w:w="1134"/>
            <w:shd w:fill="F3F5EE" w:val="clear"/>
          </w:tcPr>
          <w:p>
            <w:pPr>
              <w:spacing w:after="40" w:before="40"/>
            </w:pPr>
            <w:r/>
            <w:r>
              <w:rPr>
                <w:rFonts w:ascii="Calibri" w:hAnsi="Calibri" w:eastAsia="Calibri"/>
                <w:b w:val="0"/>
                <w:i w:val="0"/>
                <w:color w:val="1B2118"/>
                <w:sz w:val="20"/>
              </w:rPr>
              <w:t>R</w:t>
            </w:r>
          </w:p>
        </w:tc>
      </w:tr>
      <w:tr>
        <w:tc>
          <w:tcPr>
            <w:tcW w:type="dxa" w:w="2551"/>
            <w:shd w:fill="FFFFFF" w:val="clear"/>
          </w:tcPr>
          <w:p>
            <w:pPr>
              <w:spacing w:after="40" w:before="40"/>
            </w:pPr>
            <w:r/>
            <w:r>
              <w:rPr>
                <w:rFonts w:ascii="Calibri" w:hAnsi="Calibri" w:eastAsia="Calibri"/>
                <w:b w:val="0"/>
                <w:i w:val="0"/>
                <w:color w:val="1B2118"/>
                <w:sz w:val="20"/>
              </w:rPr>
              <w:t>Aprobar uso en producción</w:t>
            </w:r>
          </w:p>
        </w:tc>
        <w:tc>
          <w:tcPr>
            <w:tcW w:type="dxa" w:w="1701"/>
            <w:shd w:fill="FFFFFF" w:val="clear"/>
          </w:tcPr>
          <w:p>
            <w:pPr>
              <w:spacing w:after="40" w:before="40"/>
            </w:pPr>
            <w:r/>
            <w:r>
              <w:rPr>
                <w:rFonts w:ascii="Calibri" w:hAnsi="Calibri" w:eastAsia="Calibri"/>
                <w:b w:val="0"/>
                <w:i w:val="0"/>
                <w:color w:val="1B2118"/>
                <w:sz w:val="20"/>
              </w:rPr>
              <w:t>C</w:t>
            </w:r>
          </w:p>
        </w:tc>
        <w:tc>
          <w:tcPr>
            <w:tcW w:type="dxa" w:w="1984"/>
            <w:shd w:fill="FFFFFF" w:val="clear"/>
          </w:tcPr>
          <w:p>
            <w:pPr>
              <w:spacing w:after="40" w:before="40"/>
            </w:pPr>
            <w:r/>
            <w:r>
              <w:rPr>
                <w:rFonts w:ascii="Calibri" w:hAnsi="Calibri" w:eastAsia="Calibri"/>
                <w:b w:val="0"/>
                <w:i w:val="0"/>
                <w:color w:val="1B2118"/>
                <w:sz w:val="20"/>
              </w:rPr>
              <w:t>A</w:t>
            </w:r>
          </w:p>
        </w:tc>
        <w:tc>
          <w:tcPr>
            <w:tcW w:type="dxa" w:w="1984"/>
            <w:shd w:fill="FFFFFF" w:val="clear"/>
          </w:tcPr>
          <w:p>
            <w:pPr>
              <w:spacing w:after="40" w:before="40"/>
            </w:pPr>
            <w:r/>
            <w:r>
              <w:rPr>
                <w:rFonts w:ascii="Calibri" w:hAnsi="Calibri" w:eastAsia="Calibri"/>
                <w:b w:val="0"/>
                <w:i w:val="0"/>
                <w:color w:val="1B2118"/>
                <w:sz w:val="20"/>
              </w:rPr>
              <w:t>A</w:t>
            </w:r>
          </w:p>
        </w:tc>
        <w:tc>
          <w:tcPr>
            <w:tcW w:type="dxa" w:w="1134"/>
            <w:shd w:fill="FFFFFF" w:val="clear"/>
          </w:tcPr>
          <w:p>
            <w:pPr>
              <w:spacing w:after="40" w:before="40"/>
            </w:pPr>
            <w:r/>
            <w:r>
              <w:rPr>
                <w:rFonts w:ascii="Calibri" w:hAnsi="Calibri" w:eastAsia="Calibri"/>
                <w:b w:val="0"/>
                <w:i w:val="0"/>
                <w:color w:val="1B2118"/>
                <w:sz w:val="20"/>
              </w:rPr>
              <w:t>I</w:t>
            </w:r>
          </w:p>
        </w:tc>
      </w:tr>
    </w:tbl>
    <w:p/>
    <w:p>
      <w:pPr>
        <w:spacing w:after="160" w:before="0" w:line="240" w:lineRule="auto"/>
      </w:pPr>
      <w:r>
        <w:rPr>
          <w:rFonts w:ascii="Calibri" w:hAnsi="Calibri" w:eastAsia="Calibri"/>
          <w:b w:val="0"/>
          <w:i/>
          <w:color w:val="4A5245"/>
          <w:sz w:val="20"/>
        </w:rPr>
        <w:t>R = responsable de ejecutar · A = aprueba · C = consultado · I = informado</w:t>
      </w:r>
    </w:p>
    <w:p>
      <w:pPr>
        <w:pStyle w:val="Heading1"/>
        <w:spacing w:before="320" w:after="160"/>
      </w:pPr>
      <w:r>
        <w:rPr>
          <w:rFonts w:ascii="Calibri" w:hAnsi="Calibri"/>
          <w:color w:val="3D5A1F"/>
        </w:rPr>
        <w:t>14. Buenas prácticas y errores frecuentes</w:t>
      </w:r>
    </w:p>
    <w:p>
      <w:pPr>
        <w:pStyle w:val="Heading2"/>
        <w:spacing w:before="240" w:after="160"/>
      </w:pPr>
      <w:r>
        <w:rPr>
          <w:rFonts w:ascii="Calibri" w:hAnsi="Calibri"/>
          <w:color w:val="1B2118"/>
        </w:rPr>
        <w:t>Haga</w:t>
      </w:r>
    </w:p>
    <w:p>
      <w:pPr>
        <w:pStyle w:val="ListBullet"/>
        <w:spacing w:after="80"/>
      </w:pPr>
      <w:r>
        <w:rPr>
          <w:rFonts w:ascii="Calibri" w:hAnsi="Calibri" w:eastAsia="Calibri"/>
          <w:b w:val="0"/>
          <w:i w:val="0"/>
          <w:color w:val="1B2118"/>
          <w:sz w:val="22"/>
        </w:rPr>
        <w:t>Pulse «Vaciar ejemplo» antes de un caso real, o sobrescriba todos los campos de demostración.</w:t>
      </w:r>
    </w:p>
    <w:p>
      <w:pPr>
        <w:pStyle w:val="ListBullet"/>
        <w:spacing w:after="80"/>
      </w:pPr>
      <w:r>
        <w:rPr>
          <w:rFonts w:ascii="Calibri" w:hAnsi="Calibri" w:eastAsia="Calibri"/>
          <w:b w:val="0"/>
          <w:i w:val="0"/>
          <w:color w:val="1B2118"/>
          <w:sz w:val="22"/>
        </w:rPr>
        <w:t>Describa con honestidad los datos reales (si pueden colarse datos de clientes, dígalo).</w:t>
      </w:r>
    </w:p>
    <w:p>
      <w:pPr>
        <w:pStyle w:val="ListBullet"/>
        <w:spacing w:after="80"/>
      </w:pPr>
      <w:r>
        <w:rPr>
          <w:rFonts w:ascii="Calibri" w:hAnsi="Calibri" w:eastAsia="Calibri"/>
          <w:b w:val="0"/>
          <w:i w:val="0"/>
          <w:color w:val="1B2118"/>
          <w:sz w:val="22"/>
        </w:rPr>
        <w:t>Marque el DPA solo con el documento firmado a la vista.</w:t>
      </w:r>
    </w:p>
    <w:p>
      <w:pPr>
        <w:pStyle w:val="ListBullet"/>
        <w:spacing w:after="80"/>
      </w:pPr>
      <w:r>
        <w:rPr>
          <w:rFonts w:ascii="Calibri" w:hAnsi="Calibri" w:eastAsia="Calibri"/>
          <w:b w:val="0"/>
          <w:i w:val="0"/>
          <w:color w:val="1B2118"/>
          <w:sz w:val="22"/>
        </w:rPr>
        <w:t>Use «Copiar informe» para el expediente; no se fíe solo de una captura de pantalla del color.</w:t>
      </w:r>
    </w:p>
    <w:p>
      <w:pPr>
        <w:pStyle w:val="ListBullet"/>
        <w:spacing w:after="80"/>
      </w:pPr>
      <w:r>
        <w:rPr>
          <w:rFonts w:ascii="Calibri" w:hAnsi="Calibri" w:eastAsia="Calibri"/>
          <w:b w:val="0"/>
          <w:i w:val="0"/>
          <w:color w:val="1B2118"/>
          <w:sz w:val="22"/>
        </w:rPr>
        <w:t>Vuelva a evaluar cuando cambie el uso, el país, el modelo o el contrato.</w:t>
      </w:r>
    </w:p>
    <w:p>
      <w:pPr>
        <w:pStyle w:val="Heading2"/>
        <w:spacing w:before="240" w:after="160"/>
      </w:pPr>
      <w:r>
        <w:rPr>
          <w:rFonts w:ascii="Calibri" w:hAnsi="Calibri"/>
          <w:color w:val="1B2118"/>
        </w:rPr>
        <w:t>Evite</w:t>
      </w:r>
    </w:p>
    <w:p>
      <w:pPr>
        <w:pStyle w:val="ListBullet"/>
        <w:spacing w:after="80"/>
      </w:pPr>
      <w:r>
        <w:rPr>
          <w:rFonts w:ascii="Calibri" w:hAnsi="Calibri" w:eastAsia="Calibri"/>
          <w:b w:val="0"/>
          <w:i w:val="0"/>
          <w:color w:val="1B2118"/>
          <w:sz w:val="22"/>
        </w:rPr>
        <w:t>Usar la herramienta como «sello de cumplimiento» para un auditor externo.</w:t>
      </w:r>
    </w:p>
    <w:p>
      <w:pPr>
        <w:pStyle w:val="ListBullet"/>
        <w:spacing w:after="80"/>
      </w:pPr>
      <w:r>
        <w:rPr>
          <w:rFonts w:ascii="Calibri" w:hAnsi="Calibri" w:eastAsia="Calibri"/>
          <w:b w:val="0"/>
          <w:i w:val="0"/>
          <w:color w:val="1B2118"/>
          <w:sz w:val="22"/>
        </w:rPr>
        <w:t>Pegar secretos, contraseñas o historiales médicos reales en el formulario.</w:t>
      </w:r>
    </w:p>
    <w:p>
      <w:pPr>
        <w:pStyle w:val="ListBullet"/>
        <w:spacing w:after="80"/>
      </w:pPr>
      <w:r>
        <w:rPr>
          <w:rFonts w:ascii="Calibri" w:hAnsi="Calibri" w:eastAsia="Calibri"/>
          <w:b w:val="0"/>
          <w:i w:val="0"/>
          <w:color w:val="1B2118"/>
          <w:sz w:val="22"/>
        </w:rPr>
        <w:t>Aprobar un uso de alto impacto (crédito, empleo, salud, decisiones legales) solo con esta consola.</w:t>
      </w:r>
    </w:p>
    <w:p>
      <w:pPr>
        <w:pStyle w:val="ListBullet"/>
        <w:spacing w:after="80"/>
      </w:pPr>
      <w:r>
        <w:rPr>
          <w:rFonts w:ascii="Calibri" w:hAnsi="Calibri" w:eastAsia="Calibri"/>
          <w:b w:val="0"/>
          <w:i w:val="0"/>
          <w:color w:val="1B2118"/>
          <w:sz w:val="22"/>
        </w:rPr>
        <w:t>Confundir el ChatGPT gratuito de un empleado con el producto empresarial evaluado: son tratamientos distintos.</w:t>
      </w:r>
    </w:p>
    <w:p>
      <w:pPr>
        <w:pStyle w:val="ListBullet"/>
        <w:spacing w:after="80"/>
      </w:pPr>
      <w:r>
        <w:rPr>
          <w:rFonts w:ascii="Calibri" w:hAnsi="Calibri" w:eastAsia="Calibri"/>
          <w:b w:val="0"/>
          <w:i w:val="0"/>
          <w:color w:val="1B2118"/>
          <w:sz w:val="22"/>
        </w:rPr>
        <w:t>Interpretar solo el color rojo o verde sin leer la decisión en texto.</w:t>
      </w:r>
    </w:p>
    <w:p>
      <w:pPr>
        <w:pStyle w:val="Heading1"/>
        <w:spacing w:before="320" w:after="160"/>
      </w:pPr>
      <w:r>
        <w:rPr>
          <w:rFonts w:ascii="Calibri" w:hAnsi="Calibri"/>
          <w:color w:val="3D5A1F"/>
        </w:rPr>
        <w:t>15. Límites y avisos</w:t>
      </w:r>
    </w:p>
    <w:p>
      <w:pPr>
        <w:pStyle w:val="ListNumber"/>
        <w:spacing w:after="80"/>
      </w:pPr>
      <w:r>
        <w:rPr>
          <w:rFonts w:ascii="Calibri" w:hAnsi="Calibri" w:eastAsia="Calibri"/>
          <w:b w:val="0"/>
          <w:i w:val="0"/>
          <w:color w:val="1B2118"/>
          <w:sz w:val="22"/>
        </w:rPr>
        <w:t>No es asesoramiento legal ni una decisión del delegado de protección de datos.</w:t>
      </w:r>
    </w:p>
    <w:p>
      <w:pPr>
        <w:pStyle w:val="ListNumber"/>
        <w:spacing w:after="80"/>
      </w:pPr>
      <w:r>
        <w:rPr>
          <w:rFonts w:ascii="Calibri" w:hAnsi="Calibri" w:eastAsia="Calibri"/>
          <w:b w:val="0"/>
          <w:i w:val="0"/>
          <w:color w:val="1B2118"/>
          <w:sz w:val="22"/>
        </w:rPr>
        <w:t>No consulta por sí sola bases de conocimiento internas (contratos archivados) ni registros públicos (multas, CVE) salvo que se conecten más adelante.</w:t>
      </w:r>
    </w:p>
    <w:p>
      <w:pPr>
        <w:pStyle w:val="ListNumber"/>
        <w:spacing w:after="80"/>
      </w:pPr>
      <w:r>
        <w:rPr>
          <w:rFonts w:ascii="Calibri" w:hAnsi="Calibri" w:eastAsia="Calibri"/>
          <w:b w:val="0"/>
          <w:i w:val="0"/>
          <w:color w:val="1B2118"/>
          <w:sz w:val="22"/>
        </w:rPr>
        <w:t>La sesión guarda una evaluación: una nueva ejecución sustituye a la anterior en ese servidor.</w:t>
      </w:r>
    </w:p>
    <w:p>
      <w:pPr>
        <w:pStyle w:val="ListNumber"/>
        <w:spacing w:after="80"/>
      </w:pPr>
      <w:r>
        <w:rPr>
          <w:rFonts w:ascii="Calibri" w:hAnsi="Calibri" w:eastAsia="Calibri"/>
          <w:b w:val="0"/>
          <w:i w:val="0"/>
          <w:color w:val="1B2118"/>
          <w:sz w:val="22"/>
        </w:rPr>
        <w:t>El modo simulador usa reglas fijas; un caso complejo (salud, sector financiero, IA de alto riesgo) exige revisión experta.</w:t>
      </w:r>
    </w:p>
    <w:p>
      <w:pPr>
        <w:pStyle w:val="ListNumber"/>
        <w:spacing w:after="80"/>
      </w:pPr>
      <w:r>
        <w:rPr>
          <w:rFonts w:ascii="Calibri" w:hAnsi="Calibri" w:eastAsia="Calibri"/>
          <w:b w:val="0"/>
          <w:i w:val="0"/>
          <w:color w:val="1B2118"/>
          <w:sz w:val="22"/>
        </w:rPr>
        <w:t>Las menciones a NIST AI RMF e ISO 42001 son etiquetas de hueco de control, no una certificación de la empresa ni del proveedor.</w:t>
      </w:r>
    </w:p>
    <w:p>
      <w:pPr>
        <w:pStyle w:val="Heading1"/>
        <w:spacing w:before="320" w:after="160"/>
      </w:pPr>
      <w:r>
        <w:rPr>
          <w:rFonts w:ascii="Calibri" w:hAnsi="Calibri"/>
          <w:color w:val="3D5A1F"/>
        </w:rPr>
        <w:t>16. Preguntas frecuentes</w:t>
      </w:r>
    </w:p>
    <w:p>
      <w:pPr>
        <w:spacing w:after="80" w:before="0" w:line="240" w:lineRule="auto"/>
      </w:pPr>
      <w:r>
        <w:rPr>
          <w:rFonts w:ascii="Calibri" w:hAnsi="Calibri" w:eastAsia="Calibri"/>
          <w:b/>
          <w:i w:val="0"/>
          <w:color w:val="1B2118"/>
          <w:sz w:val="22"/>
        </w:rPr>
        <w:t>¿Puedo aprobar un proveedor si el sistema dice «escalar»?</w:t>
      </w:r>
    </w:p>
    <w:p>
      <w:pPr>
        <w:spacing w:after="160" w:before="0" w:line="240" w:lineRule="auto"/>
      </w:pPr>
      <w:r>
        <w:rPr>
          <w:rFonts w:ascii="Calibri" w:hAnsi="Calibri" w:eastAsia="Calibri"/>
          <w:b w:val="0"/>
          <w:i w:val="0"/>
          <w:color w:val="1B2118"/>
          <w:sz w:val="22"/>
        </w:rPr>
        <w:t>Solo un rol con mandato (Comité de IA, Legal, CISO) puede hacerlo, por escrito y asumiendo el riesgo residual. La herramienta no lo hará por usted.</w:t>
      </w:r>
    </w:p>
    <w:p>
      <w:pPr>
        <w:spacing w:after="80" w:before="160" w:line="240" w:lineRule="auto"/>
      </w:pPr>
      <w:r>
        <w:rPr>
          <w:rFonts w:ascii="Calibri" w:hAnsi="Calibri" w:eastAsia="Calibri"/>
          <w:b/>
          <w:i w:val="0"/>
          <w:color w:val="1B2118"/>
          <w:sz w:val="22"/>
        </w:rPr>
        <w:t>¿Si marco el DPA, el riesgo pasa a bajo?</w:t>
      </w:r>
    </w:p>
    <w:p>
      <w:pPr>
        <w:spacing w:after="160" w:before="0" w:line="240" w:lineRule="auto"/>
      </w:pPr>
      <w:r>
        <w:rPr>
          <w:rFonts w:ascii="Calibri" w:hAnsi="Calibri" w:eastAsia="Calibri"/>
          <w:b w:val="0"/>
          <w:i w:val="0"/>
          <w:color w:val="1B2118"/>
          <w:sz w:val="22"/>
        </w:rPr>
        <w:t>No necesariamente. Siguen faltando, salvo que los aporte, informes de seguridad, residencia de datos, evaluación del modelo y clasificación del uso (p. ej. Reglamento de IA).</w:t>
      </w:r>
    </w:p>
    <w:p>
      <w:pPr>
        <w:spacing w:after="80" w:before="160" w:line="240" w:lineRule="auto"/>
      </w:pPr>
      <w:r>
        <w:rPr>
          <w:rFonts w:ascii="Calibri" w:hAnsi="Calibri" w:eastAsia="Calibri"/>
          <w:b/>
          <w:i w:val="0"/>
          <w:color w:val="1B2118"/>
          <w:sz w:val="22"/>
        </w:rPr>
        <w:t>¿El sistema envía correos al proveedor?</w:t>
      </w:r>
    </w:p>
    <w:p>
      <w:pPr>
        <w:spacing w:after="160" w:before="0" w:line="240" w:lineRule="auto"/>
      </w:pPr>
      <w:r>
        <w:rPr>
          <w:rFonts w:ascii="Calibri" w:hAnsi="Calibri" w:eastAsia="Calibri"/>
          <w:b w:val="0"/>
          <w:i w:val="0"/>
          <w:color w:val="1B2118"/>
          <w:sz w:val="22"/>
        </w:rPr>
        <w:t>No. Genera el contenido de las tareas; el envío a Jira o al proveedor es un paso posterior de los equipos.</w:t>
      </w:r>
    </w:p>
    <w:p>
      <w:pPr>
        <w:spacing w:after="80" w:before="160" w:line="240" w:lineRule="auto"/>
      </w:pPr>
      <w:r>
        <w:rPr>
          <w:rFonts w:ascii="Calibri" w:hAnsi="Calibri" w:eastAsia="Calibri"/>
          <w:b/>
          <w:i w:val="0"/>
          <w:color w:val="1B2118"/>
          <w:sz w:val="22"/>
        </w:rPr>
        <w:t>¿Qué hago si el chat dice «evidencia no encontrada»?</w:t>
      </w:r>
    </w:p>
    <w:p>
      <w:pPr>
        <w:spacing w:after="160" w:before="0" w:line="240" w:lineRule="auto"/>
      </w:pPr>
      <w:r>
        <w:rPr>
          <w:rFonts w:ascii="Calibri" w:hAnsi="Calibri" w:eastAsia="Calibri"/>
          <w:b w:val="0"/>
          <w:i w:val="0"/>
          <w:color w:val="1B2118"/>
          <w:sz w:val="22"/>
        </w:rPr>
        <w:t>Esa es la respuesta correcta. Aporte el documento en un nuevo intake o adjúntelo al expediente y repita la evaluación.</w:t>
      </w:r>
    </w:p>
    <w:p>
      <w:pPr>
        <w:spacing w:after="80" w:before="160" w:line="240" w:lineRule="auto"/>
      </w:pPr>
      <w:r>
        <w:rPr>
          <w:rFonts w:ascii="Calibri" w:hAnsi="Calibri" w:eastAsia="Calibri"/>
          <w:b/>
          <w:i w:val="0"/>
          <w:color w:val="1B2118"/>
          <w:sz w:val="22"/>
        </w:rPr>
        <w:t>¿Cómo guardo el resultado para Legal?</w:t>
      </w:r>
    </w:p>
    <w:p>
      <w:pPr>
        <w:spacing w:after="160" w:before="0" w:line="240" w:lineRule="auto"/>
      </w:pPr>
      <w:r>
        <w:rPr>
          <w:rFonts w:ascii="Calibri" w:hAnsi="Calibri" w:eastAsia="Calibri"/>
          <w:b w:val="0"/>
          <w:i w:val="0"/>
          <w:color w:val="1B2118"/>
          <w:sz w:val="22"/>
        </w:rPr>
        <w:t>Pulse «Copiar informe» en la franja superior y péguelo en el expediente, un correo o un ticket. El texto incluye la decisión en castellano y el código del sistema, y aclara que no es un dictamen legal. El botón funciona en https y en localhost; si la página se abre por http sin certificado, la consola intenta un método de copia alternativo para no dejar el expediente a medias.</w:t>
      </w:r>
    </w:p>
    <w:p>
      <w:pPr>
        <w:spacing w:after="80" w:before="160" w:line="240" w:lineRule="auto"/>
      </w:pPr>
      <w:r>
        <w:rPr>
          <w:rFonts w:ascii="Calibri" w:hAnsi="Calibri" w:eastAsia="Calibri"/>
          <w:b/>
          <w:i w:val="0"/>
          <w:color w:val="1B2118"/>
          <w:sz w:val="22"/>
        </w:rPr>
        <w:t>¿Por qué no puedo escribir en el chat al entrar?</w:t>
      </w:r>
    </w:p>
    <w:p>
      <w:pPr>
        <w:spacing w:after="160" w:before="0" w:line="240" w:lineRule="auto"/>
      </w:pPr>
      <w:r>
        <w:rPr>
          <w:rFonts w:ascii="Calibri" w:hAnsi="Calibri" w:eastAsia="Calibri"/>
          <w:b w:val="0"/>
          <w:i w:val="0"/>
          <w:color w:val="1B2118"/>
          <w:sz w:val="22"/>
        </w:rPr>
        <w:t>Está bloqueado hasta que exista una evaluación. Así se evita preguntar sobre un proveedor que aún no se ha analizado.</w:t>
      </w:r>
    </w:p>
    <w:p>
      <w:pPr>
        <w:spacing w:after="80" w:before="160" w:line="240" w:lineRule="auto"/>
      </w:pPr>
      <w:r>
        <w:rPr>
          <w:rFonts w:ascii="Calibri" w:hAnsi="Calibri" w:eastAsia="Calibri"/>
          <w:b/>
          <w:i w:val="0"/>
          <w:color w:val="1B2118"/>
          <w:sz w:val="22"/>
        </w:rPr>
        <w:t>¿Sirve para proveedores que no son «de IA»?</w:t>
      </w:r>
    </w:p>
    <w:p>
      <w:pPr>
        <w:spacing w:after="160" w:before="0" w:line="240" w:lineRule="auto"/>
      </w:pPr>
      <w:r>
        <w:rPr>
          <w:rFonts w:ascii="Calibri" w:hAnsi="Calibri" w:eastAsia="Calibri"/>
          <w:b w:val="0"/>
          <w:i w:val="0"/>
          <w:color w:val="1B2118"/>
          <w:sz w:val="22"/>
        </w:rPr>
        <w:t>Está pensada para IA (modelos, API, SaaS con IA). Un SaaS clásico puede usarla si hay componente de IA; si no, siga el proceso de terceros habitual.</w:t>
      </w:r>
    </w:p>
    <w:p>
      <w:pPr>
        <w:pStyle w:val="Heading1"/>
        <w:spacing w:before="320" w:after="160"/>
      </w:pPr>
      <w:r>
        <w:rPr>
          <w:rFonts w:ascii="Calibri" w:hAnsi="Calibri"/>
          <w:color w:val="3D5A1F"/>
        </w:rPr>
        <w:t>17. Glosario breve</w:t>
      </w:r>
    </w:p>
    <w:tbl>
      <w:tblPr>
        <w:tblStyle w:val="TableGrid"/>
        <w:tblW w:type="auto" w:w="0"/>
        <w:tblLayout w:type="autofit"/>
        <w:tblLook w:firstColumn="1" w:firstRow="1" w:lastColumn="0" w:lastRow="0" w:noHBand="0" w:noVBand="1" w:val="04A0"/>
      </w:tblPr>
      <w:tblGrid>
        <w:gridCol w:w="4873"/>
        <w:gridCol w:w="4873"/>
      </w:tblGrid>
      <w:tr>
        <w:tc>
          <w:tcPr>
            <w:tcW w:type="dxa" w:w="2551"/>
            <w:shd w:fill="1B2118" w:val="clear"/>
          </w:tcPr>
          <w:p>
            <w:pPr>
              <w:spacing w:after="40" w:before="40"/>
            </w:pPr>
            <w:r/>
            <w:r>
              <w:rPr>
                <w:rFonts w:ascii="Calibri" w:hAnsi="Calibri" w:eastAsia="Calibri"/>
                <w:b/>
                <w:i w:val="0"/>
                <w:color w:val="FFFFFF"/>
                <w:sz w:val="20"/>
              </w:rPr>
              <w:t>Término</w:t>
            </w:r>
          </w:p>
        </w:tc>
        <w:tc>
          <w:tcPr>
            <w:tcW w:type="dxa" w:w="6803"/>
            <w:shd w:fill="1B2118" w:val="clear"/>
          </w:tcPr>
          <w:p>
            <w:pPr>
              <w:spacing w:after="40" w:before="40"/>
            </w:pPr>
            <w:r/>
            <w:r>
              <w:rPr>
                <w:rFonts w:ascii="Calibri" w:hAnsi="Calibri" w:eastAsia="Calibri"/>
                <w:b/>
                <w:i w:val="0"/>
                <w:color w:val="FFFFFF"/>
                <w:sz w:val="20"/>
              </w:rPr>
              <w:t>Explicación en lenguaje de negocio</w:t>
            </w:r>
          </w:p>
        </w:tc>
      </w:tr>
      <w:tr>
        <w:tc>
          <w:tcPr>
            <w:tcW w:type="dxa" w:w="2551"/>
            <w:shd w:fill="FFFFFF" w:val="clear"/>
          </w:tcPr>
          <w:p>
            <w:pPr>
              <w:spacing w:after="40" w:before="40"/>
            </w:pPr>
            <w:r/>
            <w:r>
              <w:rPr>
                <w:rFonts w:ascii="Calibri" w:hAnsi="Calibri" w:eastAsia="Calibri"/>
                <w:b w:val="0"/>
                <w:i w:val="0"/>
                <w:color w:val="1B2118"/>
                <w:sz w:val="20"/>
              </w:rPr>
              <w:t>DPA / Acuerdo de encargo</w:t>
            </w:r>
          </w:p>
        </w:tc>
        <w:tc>
          <w:tcPr>
            <w:tcW w:type="dxa" w:w="6803"/>
            <w:shd w:fill="FFFFFF" w:val="clear"/>
          </w:tcPr>
          <w:p>
            <w:pPr>
              <w:spacing w:after="40" w:before="40"/>
            </w:pPr>
            <w:r/>
            <w:r>
              <w:rPr>
                <w:rFonts w:ascii="Calibri" w:hAnsi="Calibri" w:eastAsia="Calibri"/>
                <w:b w:val="0"/>
                <w:i w:val="0"/>
                <w:color w:val="1B2118"/>
                <w:sz w:val="20"/>
              </w:rPr>
              <w:t>Contrato que obliga al proveedor a tratar datos personales solo según nuestras instrucciones (imprescindible bajo GDPR si hay datos personales).</w:t>
            </w:r>
          </w:p>
        </w:tc>
      </w:tr>
      <w:tr>
        <w:tc>
          <w:tcPr>
            <w:tcW w:type="dxa" w:w="2551"/>
            <w:shd w:fill="F3F5EE" w:val="clear"/>
          </w:tcPr>
          <w:p>
            <w:pPr>
              <w:spacing w:after="40" w:before="40"/>
            </w:pPr>
            <w:r/>
            <w:r>
              <w:rPr>
                <w:rFonts w:ascii="Calibri" w:hAnsi="Calibri" w:eastAsia="Calibri"/>
                <w:b w:val="0"/>
                <w:i w:val="0"/>
                <w:color w:val="1B2118"/>
                <w:sz w:val="20"/>
              </w:rPr>
              <w:t>DPIA / EIPD</w:t>
            </w:r>
          </w:p>
        </w:tc>
        <w:tc>
          <w:tcPr>
            <w:tcW w:type="dxa" w:w="6803"/>
            <w:shd w:fill="F3F5EE" w:val="clear"/>
          </w:tcPr>
          <w:p>
            <w:pPr>
              <w:spacing w:after="40" w:before="40"/>
            </w:pPr>
            <w:r/>
            <w:r>
              <w:rPr>
                <w:rFonts w:ascii="Calibri" w:hAnsi="Calibri" w:eastAsia="Calibri"/>
                <w:b w:val="0"/>
                <w:i w:val="0"/>
                <w:color w:val="1B2118"/>
                <w:sz w:val="20"/>
              </w:rPr>
              <w:t>Evaluación de impacto en privacidad. Se exige cuando el tratamiento puede afectar de forma significativa a las personas.</w:t>
            </w:r>
          </w:p>
        </w:tc>
      </w:tr>
      <w:tr>
        <w:tc>
          <w:tcPr>
            <w:tcW w:type="dxa" w:w="2551"/>
            <w:shd w:fill="FFFFFF" w:val="clear"/>
          </w:tcPr>
          <w:p>
            <w:pPr>
              <w:spacing w:after="40" w:before="40"/>
            </w:pPr>
            <w:r/>
            <w:r>
              <w:rPr>
                <w:rFonts w:ascii="Calibri" w:hAnsi="Calibri" w:eastAsia="Calibri"/>
                <w:b w:val="0"/>
                <w:i w:val="0"/>
                <w:color w:val="1B2118"/>
                <w:sz w:val="20"/>
              </w:rPr>
              <w:t>Riesgo inherente</w:t>
            </w:r>
          </w:p>
        </w:tc>
        <w:tc>
          <w:tcPr>
            <w:tcW w:type="dxa" w:w="6803"/>
            <w:shd w:fill="FFFFFF" w:val="clear"/>
          </w:tcPr>
          <w:p>
            <w:pPr>
              <w:spacing w:after="40" w:before="40"/>
            </w:pPr>
            <w:r/>
            <w:r>
              <w:rPr>
                <w:rFonts w:ascii="Calibri" w:hAnsi="Calibri" w:eastAsia="Calibri"/>
                <w:b w:val="0"/>
                <w:i w:val="0"/>
                <w:color w:val="1B2118"/>
                <w:sz w:val="20"/>
              </w:rPr>
              <w:t>Riesgo del uso antes de contar controles demostrados.</w:t>
            </w:r>
          </w:p>
        </w:tc>
      </w:tr>
      <w:tr>
        <w:tc>
          <w:tcPr>
            <w:tcW w:type="dxa" w:w="2551"/>
            <w:shd w:fill="F3F5EE" w:val="clear"/>
          </w:tcPr>
          <w:p>
            <w:pPr>
              <w:spacing w:after="40" w:before="40"/>
            </w:pPr>
            <w:r/>
            <w:r>
              <w:rPr>
                <w:rFonts w:ascii="Calibri" w:hAnsi="Calibri" w:eastAsia="Calibri"/>
                <w:b w:val="0"/>
                <w:i w:val="0"/>
                <w:color w:val="1B2118"/>
                <w:sz w:val="20"/>
              </w:rPr>
              <w:t>Riesgo residual</w:t>
            </w:r>
          </w:p>
        </w:tc>
        <w:tc>
          <w:tcPr>
            <w:tcW w:type="dxa" w:w="6803"/>
            <w:shd w:fill="F3F5EE" w:val="clear"/>
          </w:tcPr>
          <w:p>
            <w:pPr>
              <w:spacing w:after="40" w:before="40"/>
            </w:pPr>
            <w:r/>
            <w:r>
              <w:rPr>
                <w:rFonts w:ascii="Calibri" w:hAnsi="Calibri" w:eastAsia="Calibri"/>
                <w:b w:val="0"/>
                <w:i w:val="0"/>
                <w:color w:val="1B2118"/>
                <w:sz w:val="20"/>
              </w:rPr>
              <w:t>Riesgo que queda después de los controles que sí están evidenciados. Si no hay prueba, casi no baja.</w:t>
            </w:r>
          </w:p>
        </w:tc>
      </w:tr>
      <w:tr>
        <w:tc>
          <w:tcPr>
            <w:tcW w:type="dxa" w:w="2551"/>
            <w:shd w:fill="FFFFFF" w:val="clear"/>
          </w:tcPr>
          <w:p>
            <w:pPr>
              <w:spacing w:after="40" w:before="40"/>
            </w:pPr>
            <w:r/>
            <w:r>
              <w:rPr>
                <w:rFonts w:ascii="Calibri" w:hAnsi="Calibri" w:eastAsia="Calibri"/>
                <w:b w:val="0"/>
                <w:i w:val="0"/>
                <w:color w:val="1B2118"/>
                <w:sz w:val="20"/>
              </w:rPr>
              <w:t>EVIDENCE NOT FOUND</w:t>
            </w:r>
          </w:p>
        </w:tc>
        <w:tc>
          <w:tcPr>
            <w:tcW w:type="dxa" w:w="6803"/>
            <w:shd w:fill="FFFFFF" w:val="clear"/>
          </w:tcPr>
          <w:p>
            <w:pPr>
              <w:spacing w:after="40" w:before="40"/>
            </w:pPr>
            <w:r/>
            <w:r>
              <w:rPr>
                <w:rFonts w:ascii="Calibri" w:hAnsi="Calibri" w:eastAsia="Calibri"/>
                <w:b w:val="0"/>
                <w:i w:val="0"/>
                <w:color w:val="1B2118"/>
                <w:sz w:val="20"/>
              </w:rPr>
              <w:t>Nadie ha aportado esa prueba en esta evaluación. No significa que el proveedor no la tenga; significa que nosotros no la hemos documentado.</w:t>
            </w:r>
          </w:p>
        </w:tc>
      </w:tr>
      <w:tr>
        <w:tc>
          <w:tcPr>
            <w:tcW w:type="dxa" w:w="2551"/>
            <w:shd w:fill="F3F5EE" w:val="clear"/>
          </w:tcPr>
          <w:p>
            <w:pPr>
              <w:spacing w:after="40" w:before="40"/>
            </w:pPr>
            <w:r/>
            <w:r>
              <w:rPr>
                <w:rFonts w:ascii="Calibri" w:hAnsi="Calibri" w:eastAsia="Calibri"/>
                <w:b w:val="0"/>
                <w:i w:val="0"/>
                <w:color w:val="1B2118"/>
                <w:sz w:val="20"/>
              </w:rPr>
              <w:t>NIST AI RMF</w:t>
            </w:r>
          </w:p>
        </w:tc>
        <w:tc>
          <w:tcPr>
            <w:tcW w:type="dxa" w:w="6803"/>
            <w:shd w:fill="F3F5EE" w:val="clear"/>
          </w:tcPr>
          <w:p>
            <w:pPr>
              <w:spacing w:after="40" w:before="40"/>
            </w:pPr>
            <w:r/>
            <w:r>
              <w:rPr>
                <w:rFonts w:ascii="Calibri" w:hAnsi="Calibri" w:eastAsia="Calibri"/>
                <w:b w:val="0"/>
                <w:i w:val="0"/>
                <w:color w:val="1B2118"/>
                <w:sz w:val="20"/>
              </w:rPr>
              <w:t>Marco estadounidense de gestión de riesgo de IA (gobernar, mapear, medir, gestionar). Se usa para etiquetar huecos, no como ley europea.</w:t>
            </w:r>
          </w:p>
        </w:tc>
      </w:tr>
      <w:tr>
        <w:tc>
          <w:tcPr>
            <w:tcW w:type="dxa" w:w="2551"/>
            <w:shd w:fill="FFFFFF" w:val="clear"/>
          </w:tcPr>
          <w:p>
            <w:pPr>
              <w:spacing w:after="40" w:before="40"/>
            </w:pPr>
            <w:r/>
            <w:r>
              <w:rPr>
                <w:rFonts w:ascii="Calibri" w:hAnsi="Calibri" w:eastAsia="Calibri"/>
                <w:b w:val="0"/>
                <w:i w:val="0"/>
                <w:color w:val="1B2118"/>
                <w:sz w:val="20"/>
              </w:rPr>
              <w:t>ISO/IEC 42001</w:t>
            </w:r>
          </w:p>
        </w:tc>
        <w:tc>
          <w:tcPr>
            <w:tcW w:type="dxa" w:w="6803"/>
            <w:shd w:fill="FFFFFF" w:val="clear"/>
          </w:tcPr>
          <w:p>
            <w:pPr>
              <w:spacing w:after="40" w:before="40"/>
            </w:pPr>
            <w:r/>
            <w:r>
              <w:rPr>
                <w:rFonts w:ascii="Calibri" w:hAnsi="Calibri" w:eastAsia="Calibri"/>
                <w:b w:val="0"/>
                <w:i w:val="0"/>
                <w:color w:val="1B2118"/>
                <w:sz w:val="20"/>
              </w:rPr>
              <w:t>Norma de sistema de gestión de IA. Un certificado del proveedor ayuda; no transfiere nuestras obligaciones de desplegador.</w:t>
            </w:r>
          </w:p>
        </w:tc>
      </w:tr>
      <w:tr>
        <w:tc>
          <w:tcPr>
            <w:tcW w:type="dxa" w:w="2551"/>
            <w:shd w:fill="F3F5EE" w:val="clear"/>
          </w:tcPr>
          <w:p>
            <w:pPr>
              <w:spacing w:after="40" w:before="40"/>
            </w:pPr>
            <w:r/>
            <w:r>
              <w:rPr>
                <w:rFonts w:ascii="Calibri" w:hAnsi="Calibri" w:eastAsia="Calibri"/>
                <w:b w:val="0"/>
                <w:i w:val="0"/>
                <w:color w:val="1B2118"/>
                <w:sz w:val="20"/>
              </w:rPr>
              <w:t>Reglamento de IA de la UE</w:t>
            </w:r>
          </w:p>
        </w:tc>
        <w:tc>
          <w:tcPr>
            <w:tcW w:type="dxa" w:w="6803"/>
            <w:shd w:fill="F3F5EE" w:val="clear"/>
          </w:tcPr>
          <w:p>
            <w:pPr>
              <w:spacing w:after="40" w:before="40"/>
            </w:pPr>
            <w:r/>
            <w:r>
              <w:rPr>
                <w:rFonts w:ascii="Calibri" w:hAnsi="Calibri" w:eastAsia="Calibri"/>
                <w:b w:val="0"/>
                <w:i w:val="0"/>
                <w:color w:val="1B2118"/>
                <w:sz w:val="20"/>
              </w:rPr>
              <w:t>Norma europea sobre sistemas de IA. El proveedor del modelo y nuestra empresa (como desplegadores) tienen deberes distintos según el uso.</w:t>
            </w:r>
          </w:p>
        </w:tc>
      </w:tr>
      <w:tr>
        <w:tc>
          <w:tcPr>
            <w:tcW w:type="dxa" w:w="2551"/>
            <w:shd w:fill="FFFFFF" w:val="clear"/>
          </w:tcPr>
          <w:p>
            <w:pPr>
              <w:spacing w:after="40" w:before="40"/>
            </w:pPr>
            <w:r/>
            <w:r>
              <w:rPr>
                <w:rFonts w:ascii="Calibri" w:hAnsi="Calibri" w:eastAsia="Calibri"/>
                <w:b w:val="0"/>
                <w:i w:val="0"/>
                <w:color w:val="1B2118"/>
                <w:sz w:val="20"/>
              </w:rPr>
              <w:t>Ticket Jira AIGOV</w:t>
            </w:r>
          </w:p>
        </w:tc>
        <w:tc>
          <w:tcPr>
            <w:tcW w:type="dxa" w:w="6803"/>
            <w:shd w:fill="FFFFFF" w:val="clear"/>
          </w:tcPr>
          <w:p>
            <w:pPr>
              <w:spacing w:after="40" w:before="40"/>
            </w:pPr>
            <w:r/>
            <w:r>
              <w:rPr>
                <w:rFonts w:ascii="Calibri" w:hAnsi="Calibri" w:eastAsia="Calibri"/>
                <w:b w:val="0"/>
                <w:i w:val="0"/>
                <w:color w:val="1B2118"/>
                <w:sz w:val="20"/>
              </w:rPr>
              <w:t>Tarea del tablero de gobernanza de IA, con resumen, evidencia y remediación.</w:t>
            </w:r>
          </w:p>
        </w:tc>
      </w:tr>
      <w:tr>
        <w:tc>
          <w:tcPr>
            <w:tcW w:type="dxa" w:w="2551"/>
            <w:shd w:fill="F3F5EE" w:val="clear"/>
          </w:tcPr>
          <w:p>
            <w:pPr>
              <w:spacing w:after="40" w:before="40"/>
            </w:pPr>
            <w:r/>
            <w:r>
              <w:rPr>
                <w:rFonts w:ascii="Calibri" w:hAnsi="Calibri" w:eastAsia="Calibri"/>
                <w:b w:val="0"/>
                <w:i w:val="0"/>
                <w:color w:val="1B2118"/>
                <w:sz w:val="20"/>
              </w:rPr>
              <w:t>Copiar informe</w:t>
            </w:r>
          </w:p>
        </w:tc>
        <w:tc>
          <w:tcPr>
            <w:tcW w:type="dxa" w:w="6803"/>
            <w:shd w:fill="F3F5EE" w:val="clear"/>
          </w:tcPr>
          <w:p>
            <w:pPr>
              <w:spacing w:after="40" w:before="40"/>
            </w:pPr>
            <w:r/>
            <w:r>
              <w:rPr>
                <w:rFonts w:ascii="Calibri" w:hAnsi="Calibri" w:eastAsia="Calibri"/>
                <w:b w:val="0"/>
                <w:i w:val="0"/>
                <w:color w:val="1B2118"/>
                <w:sz w:val="20"/>
              </w:rPr>
              <w:t>Botón que copia al portapapeles un resumen listo para el expediente (no envía correos ni crea tickets).</w:t>
            </w:r>
          </w:p>
        </w:tc>
      </w:tr>
      <w:tr>
        <w:tc>
          <w:tcPr>
            <w:tcW w:type="dxa" w:w="2551"/>
            <w:shd w:fill="FFFFFF" w:val="clear"/>
          </w:tcPr>
          <w:p>
            <w:pPr>
              <w:spacing w:after="40" w:before="40"/>
            </w:pPr>
            <w:r/>
            <w:r>
              <w:rPr>
                <w:rFonts w:ascii="Calibri" w:hAnsi="Calibri" w:eastAsia="Calibri"/>
                <w:b w:val="0"/>
                <w:i w:val="0"/>
                <w:color w:val="1B2118"/>
                <w:sz w:val="20"/>
              </w:rPr>
              <w:t>Modo simulador</w:t>
            </w:r>
          </w:p>
        </w:tc>
        <w:tc>
          <w:tcPr>
            <w:tcW w:type="dxa" w:w="6803"/>
            <w:shd w:fill="FFFFFF" w:val="clear"/>
          </w:tcPr>
          <w:p>
            <w:pPr>
              <w:spacing w:after="40" w:before="40"/>
            </w:pPr>
            <w:r/>
            <w:r>
              <w:rPr>
                <w:rFonts w:ascii="Calibri" w:hAnsi="Calibri" w:eastAsia="Calibri"/>
                <w:b w:val="0"/>
                <w:i w:val="0"/>
                <w:color w:val="1B2118"/>
                <w:sz w:val="20"/>
              </w:rPr>
              <w:t>Evaluación por reglas de negocio cuando no hay modelo de lenguaje configurado.</w:t>
            </w:r>
          </w:p>
        </w:tc>
      </w:tr>
    </w:tbl>
    <w:p/>
    <w:p>
      <w:pPr>
        <w:pStyle w:val="Heading1"/>
        <w:spacing w:before="320" w:after="160"/>
      </w:pPr>
      <w:r>
        <w:rPr>
          <w:rFonts w:ascii="Calibri" w:hAnsi="Calibri"/>
          <w:color w:val="3D5A1F"/>
        </w:rPr>
        <w:t>18. Control del documento</w:t>
      </w:r>
    </w:p>
    <w:tbl>
      <w:tblPr>
        <w:tblStyle w:val="TableGrid"/>
        <w:tblW w:type="auto" w:w="0"/>
        <w:tblLayout w:type="autofit"/>
        <w:tblLook w:firstColumn="1" w:firstRow="1" w:lastColumn="0" w:lastRow="0" w:noHBand="0" w:noVBand="1" w:val="04A0"/>
      </w:tblPr>
      <w:tblGrid>
        <w:gridCol w:w="3249"/>
        <w:gridCol w:w="3249"/>
        <w:gridCol w:w="3249"/>
      </w:tblGrid>
      <w:tr>
        <w:tc>
          <w:tcPr>
            <w:tcW w:type="dxa" w:w="1417"/>
            <w:shd w:fill="1B2118" w:val="clear"/>
          </w:tcPr>
          <w:p>
            <w:pPr>
              <w:spacing w:after="40" w:before="40"/>
            </w:pPr>
            <w:r/>
            <w:r>
              <w:rPr>
                <w:rFonts w:ascii="Calibri" w:hAnsi="Calibri" w:eastAsia="Calibri"/>
                <w:b/>
                <w:i w:val="0"/>
                <w:color w:val="FFFFFF"/>
                <w:sz w:val="20"/>
              </w:rPr>
              <w:t>Versión</w:t>
            </w:r>
          </w:p>
        </w:tc>
        <w:tc>
          <w:tcPr>
            <w:tcW w:type="dxa" w:w="2268"/>
            <w:shd w:fill="1B2118" w:val="clear"/>
          </w:tcPr>
          <w:p>
            <w:pPr>
              <w:spacing w:after="40" w:before="40"/>
            </w:pPr>
            <w:r/>
            <w:r>
              <w:rPr>
                <w:rFonts w:ascii="Calibri" w:hAnsi="Calibri" w:eastAsia="Calibri"/>
                <w:b/>
                <w:i w:val="0"/>
                <w:color w:val="FFFFFF"/>
                <w:sz w:val="20"/>
              </w:rPr>
              <w:t>Fecha</w:t>
            </w:r>
          </w:p>
        </w:tc>
        <w:tc>
          <w:tcPr>
            <w:tcW w:type="dxa" w:w="5669"/>
            <w:shd w:fill="1B2118" w:val="clear"/>
          </w:tcPr>
          <w:p>
            <w:pPr>
              <w:spacing w:after="40" w:before="40"/>
            </w:pPr>
            <w:r/>
            <w:r>
              <w:rPr>
                <w:rFonts w:ascii="Calibri" w:hAnsi="Calibri" w:eastAsia="Calibri"/>
                <w:b/>
                <w:i w:val="0"/>
                <w:color w:val="FFFFFF"/>
                <w:sz w:val="20"/>
              </w:rPr>
              <w:t>Cambio</w:t>
            </w:r>
          </w:p>
        </w:tc>
      </w:tr>
      <w:tr>
        <w:tc>
          <w:tcPr>
            <w:tcW w:type="dxa" w:w="1417"/>
            <w:shd w:fill="FFFFFF" w:val="clear"/>
          </w:tcPr>
          <w:p>
            <w:pPr>
              <w:spacing w:after="40" w:before="40"/>
            </w:pPr>
            <w:r/>
            <w:r>
              <w:rPr>
                <w:rFonts w:ascii="Calibri" w:hAnsi="Calibri" w:eastAsia="Calibri"/>
                <w:b w:val="0"/>
                <w:i w:val="0"/>
                <w:color w:val="1B2118"/>
                <w:sz w:val="20"/>
              </w:rPr>
              <w:t>1.0</w:t>
            </w:r>
          </w:p>
        </w:tc>
        <w:tc>
          <w:tcPr>
            <w:tcW w:type="dxa" w:w="2268"/>
            <w:shd w:fill="FFFFFF" w:val="clear"/>
          </w:tcPr>
          <w:p>
            <w:pPr>
              <w:spacing w:after="40" w:before="40"/>
            </w:pPr>
            <w:r/>
            <w:r>
              <w:rPr>
                <w:rFonts w:ascii="Calibri" w:hAnsi="Calibri" w:eastAsia="Calibri"/>
                <w:b w:val="0"/>
                <w:i w:val="0"/>
                <w:color w:val="1B2118"/>
                <w:sz w:val="20"/>
              </w:rPr>
              <w:t>Borrador de negocio</w:t>
            </w:r>
          </w:p>
        </w:tc>
        <w:tc>
          <w:tcPr>
            <w:tcW w:type="dxa" w:w="5669"/>
            <w:shd w:fill="FFFFFF" w:val="clear"/>
          </w:tcPr>
          <w:p>
            <w:pPr>
              <w:spacing w:after="40" w:before="40"/>
            </w:pPr>
            <w:r/>
            <w:r>
              <w:rPr>
                <w:rFonts w:ascii="Calibri" w:hAnsi="Calibri" w:eastAsia="Calibri"/>
                <w:b w:val="0"/>
                <w:i w:val="0"/>
                <w:color w:val="1B2118"/>
                <w:sz w:val="20"/>
              </w:rPr>
              <w:t>Texto inicial de propuesta (sin límites ni RACI).</w:t>
            </w:r>
          </w:p>
        </w:tc>
      </w:tr>
      <w:tr>
        <w:tc>
          <w:tcPr>
            <w:tcW w:type="dxa" w:w="1417"/>
            <w:shd w:fill="F3F5EE" w:val="clear"/>
          </w:tcPr>
          <w:p>
            <w:pPr>
              <w:spacing w:after="40" w:before="40"/>
            </w:pPr>
            <w:r/>
            <w:r>
              <w:rPr>
                <w:rFonts w:ascii="Calibri" w:hAnsi="Calibri" w:eastAsia="Calibri"/>
                <w:b w:val="0"/>
                <w:i w:val="0"/>
                <w:color w:val="1B2118"/>
                <w:sz w:val="20"/>
              </w:rPr>
              <w:t>1.1</w:t>
            </w:r>
          </w:p>
        </w:tc>
        <w:tc>
          <w:tcPr>
            <w:tcW w:type="dxa" w:w="2268"/>
            <w:shd w:fill="F3F5EE" w:val="clear"/>
          </w:tcPr>
          <w:p>
            <w:pPr>
              <w:spacing w:after="40" w:before="40"/>
            </w:pPr>
            <w:r/>
            <w:r>
              <w:rPr>
                <w:rFonts w:ascii="Calibri" w:hAnsi="Calibri" w:eastAsia="Calibri"/>
                <w:b w:val="0"/>
                <w:i w:val="0"/>
                <w:color w:val="1B2118"/>
                <w:sz w:val="20"/>
              </w:rPr>
              <w:t>2026-08-14</w:t>
            </w:r>
          </w:p>
        </w:tc>
        <w:tc>
          <w:tcPr>
            <w:tcW w:type="dxa" w:w="5669"/>
            <w:shd w:fill="F3F5EE" w:val="clear"/>
          </w:tcPr>
          <w:p>
            <w:pPr>
              <w:spacing w:after="40" w:before="40"/>
            </w:pPr>
            <w:r/>
            <w:r>
              <w:rPr>
                <w:rFonts w:ascii="Calibri" w:hAnsi="Calibri" w:eastAsia="Calibri"/>
                <w:b w:val="0"/>
                <w:i w:val="0"/>
                <w:color w:val="1B2118"/>
                <w:sz w:val="20"/>
              </w:rPr>
              <w:t>Ajustado al producto: cinco decisiones, Jira como propuesta, modo simulador, ejemplo, glosario y avisos legales.</w:t>
            </w:r>
          </w:p>
        </w:tc>
      </w:tr>
      <w:tr>
        <w:tc>
          <w:tcPr>
            <w:tcW w:type="dxa" w:w="1417"/>
            <w:shd w:fill="FFFFFF" w:val="clear"/>
          </w:tcPr>
          <w:p>
            <w:pPr>
              <w:spacing w:after="40" w:before="40"/>
            </w:pPr>
            <w:r/>
            <w:r>
              <w:rPr>
                <w:rFonts w:ascii="Calibri" w:hAnsi="Calibri" w:eastAsia="Calibri"/>
                <w:b w:val="0"/>
                <w:i w:val="0"/>
                <w:color w:val="1B2118"/>
                <w:sz w:val="20"/>
              </w:rPr>
              <w:t>1.2</w:t>
            </w:r>
          </w:p>
        </w:tc>
        <w:tc>
          <w:tcPr>
            <w:tcW w:type="dxa" w:w="2268"/>
            <w:shd w:fill="FFFFFF" w:val="clear"/>
          </w:tcPr>
          <w:p>
            <w:pPr>
              <w:spacing w:after="40" w:before="40"/>
            </w:pPr>
            <w:r/>
            <w:r>
              <w:rPr>
                <w:rFonts w:ascii="Calibri" w:hAnsi="Calibri" w:eastAsia="Calibri"/>
                <w:b w:val="0"/>
                <w:i w:val="0"/>
                <w:color w:val="1B2118"/>
                <w:sz w:val="20"/>
              </w:rPr>
              <w:t>2026-08-14</w:t>
            </w:r>
          </w:p>
        </w:tc>
        <w:tc>
          <w:tcPr>
            <w:tcW w:type="dxa" w:w="5669"/>
            <w:shd w:fill="FFFFFF" w:val="clear"/>
          </w:tcPr>
          <w:p>
            <w:pPr>
              <w:spacing w:after="40" w:before="40"/>
            </w:pPr>
            <w:r/>
            <w:r>
              <w:rPr>
                <w:rFonts w:ascii="Calibri" w:hAnsi="Calibri" w:eastAsia="Calibri"/>
                <w:b w:val="0"/>
                <w:i w:val="0"/>
                <w:color w:val="1B2118"/>
                <w:sz w:val="20"/>
              </w:rPr>
              <w:t>Recorrido visual de la consola: castellano, franja de decisión, tres columnas, chat bloqueado, sugerencias, copiar informe.</w:t>
            </w:r>
          </w:p>
        </w:tc>
      </w:tr>
      <w:tr>
        <w:tc>
          <w:tcPr>
            <w:tcW w:type="dxa" w:w="1417"/>
            <w:shd w:fill="F3F5EE" w:val="clear"/>
          </w:tcPr>
          <w:p>
            <w:pPr>
              <w:spacing w:after="40" w:before="40"/>
            </w:pPr>
            <w:r/>
            <w:r>
              <w:rPr>
                <w:rFonts w:ascii="Calibri" w:hAnsi="Calibri" w:eastAsia="Calibri"/>
                <w:b w:val="0"/>
                <w:i w:val="0"/>
                <w:color w:val="1B2118"/>
                <w:sz w:val="20"/>
              </w:rPr>
              <w:t>1.3</w:t>
            </w:r>
          </w:p>
        </w:tc>
        <w:tc>
          <w:tcPr>
            <w:tcW w:type="dxa" w:w="2268"/>
            <w:shd w:fill="F3F5EE" w:val="clear"/>
          </w:tcPr>
          <w:p>
            <w:pPr>
              <w:spacing w:after="40" w:before="40"/>
            </w:pPr>
            <w:r/>
            <w:r>
              <w:rPr>
                <w:rFonts w:ascii="Calibri" w:hAnsi="Calibri" w:eastAsia="Calibri"/>
                <w:b w:val="0"/>
                <w:i w:val="0"/>
                <w:color w:val="1B2118"/>
                <w:sz w:val="20"/>
              </w:rPr>
              <w:t>2026-08-14</w:t>
            </w:r>
          </w:p>
        </w:tc>
        <w:tc>
          <w:tcPr>
            <w:tcW w:type="dxa" w:w="5669"/>
            <w:shd w:fill="F3F5EE" w:val="clear"/>
          </w:tcPr>
          <w:p>
            <w:pPr>
              <w:spacing w:after="40" w:before="40"/>
            </w:pPr>
            <w:r/>
            <w:r>
              <w:rPr>
                <w:rFonts w:ascii="Calibri" w:hAnsi="Calibri" w:eastAsia="Calibri"/>
                <w:b w:val="0"/>
                <w:i w:val="0"/>
                <w:color w:val="1B2118"/>
                <w:sz w:val="20"/>
              </w:rPr>
              <w:t>Manual detallado de cada zona y de las tres pestañas del informe.</w:t>
            </w:r>
          </w:p>
        </w:tc>
      </w:tr>
      <w:tr>
        <w:tc>
          <w:tcPr>
            <w:tcW w:type="dxa" w:w="1417"/>
            <w:shd w:fill="FFFFFF" w:val="clear"/>
          </w:tcPr>
          <w:p>
            <w:pPr>
              <w:spacing w:after="40" w:before="40"/>
            </w:pPr>
            <w:r/>
            <w:r>
              <w:rPr>
                <w:rFonts w:ascii="Calibri" w:hAnsi="Calibri" w:eastAsia="Calibri"/>
                <w:b w:val="0"/>
                <w:i w:val="0"/>
                <w:color w:val="1B2118"/>
                <w:sz w:val="20"/>
              </w:rPr>
              <w:t>1.4</w:t>
            </w:r>
          </w:p>
        </w:tc>
        <w:tc>
          <w:tcPr>
            <w:tcW w:type="dxa" w:w="2268"/>
            <w:shd w:fill="FFFFFF" w:val="clear"/>
          </w:tcPr>
          <w:p>
            <w:pPr>
              <w:spacing w:after="40" w:before="40"/>
            </w:pPr>
            <w:r/>
            <w:r>
              <w:rPr>
                <w:rFonts w:ascii="Calibri" w:hAnsi="Calibri" w:eastAsia="Calibri"/>
                <w:b w:val="0"/>
                <w:i w:val="0"/>
                <w:color w:val="1B2118"/>
                <w:sz w:val="20"/>
              </w:rPr>
              <w:t>2026-08-14</w:t>
            </w:r>
          </w:p>
        </w:tc>
        <w:tc>
          <w:tcPr>
            <w:tcW w:type="dxa" w:w="5669"/>
            <w:shd w:fill="FFFFFF" w:val="clear"/>
          </w:tcPr>
          <w:p>
            <w:pPr>
              <w:spacing w:after="40" w:before="40"/>
            </w:pPr>
            <w:r/>
            <w:r>
              <w:rPr>
                <w:rFonts w:ascii="Calibri" w:hAnsi="Calibri" w:eastAsia="Calibri"/>
                <w:b w:val="0"/>
                <w:i w:val="0"/>
                <w:color w:val="1B2118"/>
                <w:sz w:val="20"/>
              </w:rPr>
              <w:t>Tras recargar (F5), el chat recupera el resumen del informe. Copia del informe con alternativa si no hay HTTPS. Textos de la interfaz escapados de forma más estricta.</w:t>
            </w:r>
          </w:p>
        </w:tc>
      </w:tr>
    </w:tbl>
    <w:p/>
    <w:p>
      <w:pPr>
        <w:spacing w:after="160" w:before="160" w:line="240" w:lineRule="auto"/>
      </w:pPr>
      <w:r>
        <w:rPr>
          <w:rFonts w:ascii="Calibri" w:hAnsi="Calibri" w:eastAsia="Calibri"/>
          <w:b w:val="0"/>
          <w:i/>
          <w:color w:val="1B2118"/>
          <w:sz w:val="22"/>
        </w:rPr>
        <w:t>Próxima revisión sugerida: cuando se conecte el envío automático a Jira, un archivo de evidencias (DPA/SOC 2) o un entorno de producción con autenticación corporativa.</w:t>
      </w:r>
    </w:p>
    <w:p>
      <w:pPr>
        <w:spacing w:after="160" w:before="320" w:line="240" w:lineRule="auto"/>
      </w:pPr>
      <w:r>
        <w:rPr>
          <w:rFonts w:ascii="Calibri" w:hAnsi="Calibri" w:eastAsia="Calibri"/>
          <w:b w:val="0"/>
          <w:i/>
          <w:color w:val="4A5245"/>
          <w:sz w:val="20"/>
        </w:rPr>
        <w:t>Fin del documento. Para soporte de acceso técnico, contacte con el equipo que opera la consola. Para interpretar una decisión concreta, contacte con Legal / Privacidad o el Comité de gobernanza de IA.</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245"/>
        <w:sz w:val="18"/>
      </w:rPr>
      <w:t xml:space="preserve">Guía de usuario  |  Evaluación de riesgos de proveedores de IA  |  v1.4  |  Página </w:t>
    </w:r>
    <w:r>
      <w:rPr>
        <w:rFonts w:ascii="Calibri" w:hAnsi="Calibri" w:eastAsia="Calibri"/>
        <w:b w:val="0"/>
        <w:i w:val="0"/>
        <w:color w:val="4A5245"/>
        <w:sz w:val="18"/>
      </w:rPr>
      <w:fldChar w:fldCharType="begin"/>
    </w:r>
    <w:r>
      <w:rPr>
        <w:rFonts w:ascii="Calibri" w:hAnsi="Calibri" w:eastAsia="Calibri"/>
        <w:b w:val="0"/>
        <w:i w:val="0"/>
        <w:color w:val="4A5245"/>
        <w:sz w:val="18"/>
      </w:rPr>
      <w:instrText xml:space="preserve"> PAGE </w:instrText>
    </w:r>
    <w:r>
      <w:rPr>
        <w:rFonts w:ascii="Calibri" w:hAnsi="Calibri" w:eastAsia="Calibri"/>
        <w:b w:val="0"/>
        <w:i w:val="0"/>
        <w:color w:val="4A5245"/>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4A5245"/>
        <w:sz w:val="18"/>
      </w:rPr>
      <w:t>Gobernanza de IA  ·  Uso interno  ·  No constituye dictamen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