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40" w:lineRule="auto"/>
        <w:jc w:val="center"/>
      </w:pPr>
      <w:r>
        <w:rPr>
          <w:rFonts w:ascii="Calibri" w:hAnsi="Calibri" w:eastAsia="Calibri"/>
          <w:b/>
          <w:i w:val="0"/>
          <w:color w:val="3D5A1F"/>
          <w:sz w:val="22"/>
        </w:rPr>
        <w:t>RESPONSABLE AI GOVERNANCE  ·  ROADMAP</w:t>
      </w: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/>
          <w:i w:val="0"/>
          <w:color w:val="1B2118"/>
          <w:sz w:val="52"/>
        </w:rPr>
        <w:t>Mejoras futuras</w:t>
      </w:r>
    </w:p>
    <w:p>
      <w:pPr>
        <w:spacing w:after="320" w:before="0" w:line="240" w:lineRule="auto"/>
        <w:jc w:val="center"/>
      </w:pPr>
      <w:r>
        <w:rPr>
          <w:rFonts w:ascii="Calibri" w:hAnsi="Calibri" w:eastAsia="Calibri"/>
          <w:b w:val="0"/>
          <w:i/>
          <w:color w:val="4A5245"/>
          <w:sz w:val="26"/>
        </w:rPr>
        <w:t>De asistente de cumplimiento a capa de control de gobernanza de 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Fecha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2026-08-14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Alcance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Lo que NO se implementa ahora a propósito, y por qué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Producto actual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Capa de control: DPIA formal, EvidenceItem, motor determinista, DecisionRecord, Evidence Pack JSON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Fuera de esta entrega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Almacén de sesión de producción (punto 5) y exportación PDF del pack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D5A1F"/>
        </w:rPr>
        <w:t>1. Valoración de las cinco propuestas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Propuesta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Veredicto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1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DPIA/PIA como objeto formal (no solo has_dpa)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Procede. GDPR no es una casilla.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Hecho en v1.1 del API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2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EvidenceItem separado de Findings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Procede. Hallazgo ≠ prueba.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Hecho (evidence_items + matriz)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3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El LLM no debe fijar el riesgo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Procede. Sin esto es un chatbot de compliance.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Hecho (app/scoring.py)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4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DecisionRecord / trazabilidad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Procede. Auditoría y venta enterprise.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Hecho (decision_record + franja UX)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5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Sustituir el store en memoria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Procede para producción. No para la demo.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Aplazado — este documento</w:t>
            </w:r>
          </w:p>
        </w:tc>
      </w:tr>
    </w:tbl>
    <w:p/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El pack de evidencias (Assessment → decisión, matriz, GDPR/DPIA, AI Act, NIST, ISO, hallazgos, remediación, Jira, audit trail) ya se genera en JSON (campo evidence_pack). Falta el PDF inmutable y el almacenamiento durable.</w:t>
      </w:r>
    </w:p>
    <w:p>
      <w:pPr>
        <w:pStyle w:val="Heading1"/>
      </w:pPr>
      <w:r>
        <w:rPr>
          <w:rFonts w:ascii="Calibri" w:hAnsi="Calibri"/>
          <w:color w:val="3D5A1F"/>
        </w:rPr>
        <w:t>2. Punto 5 — almacén de sesión (producción)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Hoy app/store.py guarda una evaluación por proceso. Vale para demo y entrevista. No vale para varios workers, reinicios, varios usuarios ni una auditoría que pida «quién decidió qué el martes».</w:t>
      </w:r>
    </w:p>
    <w:p>
      <w:pPr>
        <w:pStyle w:val="Heading2"/>
      </w:pPr>
      <w:r>
        <w:rPr>
          <w:rFonts w:ascii="Calibri" w:hAnsi="Calibri"/>
          <w:color w:val="1B2118"/>
        </w:rPr>
        <w:t>Diseño objetivo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PostgreSQL: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evaluaciones, intake, evidence_items, decision_record, evidence_pack. Modelo relacional con IDs estables.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Redis: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sesión de UI, bloqueos cortos, caché del último pack por assessment_id. No es el sistema de verdad.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Audit log inmutable: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cada DecisionRecord se escribe una vez, no se updatea. Corrección = nuevo registro que apunta al anterior (supersedes_id).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Event store: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alternativa o complemento: append-only (p. ej. JSONL firmado, o tabla con trigger que impide UPDATE/DELETE).</w:t>
      </w:r>
    </w:p>
    <w:p>
      <w:pPr>
        <w:pStyle w:val="Heading2"/>
      </w:pPr>
      <w:r>
        <w:rPr>
          <w:rFonts w:ascii="Calibri" w:hAnsi="Calibri"/>
          <w:color w:val="1B2118"/>
        </w:rPr>
        <w:t>Qué debe persistir sí o sí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Objeto</w:t>
            </w:r>
          </w:p>
        </w:tc>
        <w:tc>
          <w:tcPr>
            <w:tcW w:type="dxa" w:w="4873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Por qué no puede vivir solo en RAM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VendorInput + versión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Reproducir la decisión: mismos hechos, mismo motor, mismo resultado.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EvidenceItem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El auditor pregunta la prueba, no el párrafo del chat.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DecisionRecord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Quién, cuándo, score, reglas, versión del motor.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GovernanceEvidencePack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Entregable a Legal; hash para integridad.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Chat history (opcional)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Hoy se pierde con F5 salvo el resumen. En prod, si se guarda, con retención y minimización.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118"/>
        </w:rPr>
        <w:t>Criterios de aceptación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Reiniciar uvicorn no borra evaluaciones.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Dos workers sirven el mismo assessment_id.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Un UPDATE directo al DecisionRecord en base de datos debe fallar o generar un evento de tamper.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Exportar el pack con hash SHA-256 y versionado del motor (deterministic-rules-v1, v2, …).</w:t>
      </w:r>
    </w:p>
    <w:p>
      <w:pPr>
        <w:pStyle w:val="Heading1"/>
      </w:pPr>
      <w:r>
        <w:rPr>
          <w:rFonts w:ascii="Calibri" w:hAnsi="Calibri"/>
          <w:color w:val="3D5A1F"/>
        </w:rPr>
        <w:t>3. Pack de evidencias — lo que falta (PDF / portal)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El JSON ya tiene el árbol vendible. La diferenciación operativa es un artefacto que Legal puede archivar sin abrir la consola: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PDF o DOCX generado al cerrar la evaluación (plantilla corporativa, paginación, firmas).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Portal de evidencias con NDA (SOC 2 del proveedor adjunto, no solo «missing»).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Conexión real a Jira (hoy el payload está listo; no hay POST).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Clasificación Reglamento de IA (cuestionario Anexo III) como objeto, no como párrafo.</w:t>
      </w:r>
    </w:p>
    <w:p>
      <w:pPr>
        <w:pStyle w:val="Heading1"/>
      </w:pPr>
      <w:r>
        <w:rPr>
          <w:rFonts w:ascii="Calibri" w:hAnsi="Calibri"/>
          <w:color w:val="3D5A1F"/>
        </w:rPr>
        <w:t>4. Otras mejoras de producción (no son el punto 5, pero van juntas)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Por qué</w:t>
            </w:r>
          </w:p>
        </w:tc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Autenticación corporativa (SSO) y roles RACI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Sin dueño no hay control layer.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Alta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Adjuntos (PDF DPA/DPIA) con hash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Pasar de declared_unverified a present.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Alta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RAG sobre KB interno aprobado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OSINT y contratos; nunca memoria del modelo.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Media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Multitenancy / entornos (dev, pre, prod)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No mezclar demos con expedientes.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Alta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Retención y derecho de supresión del chat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El chat también es tratamiento.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Media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Calibración del motor con casos históricos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Reglas v1 son conservadoras a propósito.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Media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D5A1F"/>
        </w:rPr>
        <w:t>5. Framing comercial (igual de importante que el código)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i w:val="0"/>
          <w:color w:val="1B2118"/>
          <w:sz w:val="22"/>
        </w:rPr>
        <w:t>No posicionar como: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1B2118"/>
          <w:sz w:val="22"/>
        </w:rPr>
        <w:t>«AI Compliance Assistant» / chatbot que puntúa proveedores.</w:t>
      </w:r>
    </w:p>
    <w:p>
      <w:pPr>
        <w:spacing w:after="80" w:before="160" w:line="240" w:lineRule="auto"/>
      </w:pPr>
      <w:r>
        <w:rPr>
          <w:rFonts w:ascii="Calibri" w:hAnsi="Calibri" w:eastAsia="Calibri"/>
          <w:b/>
          <w:i w:val="0"/>
          <w:color w:val="1B2118"/>
          <w:sz w:val="22"/>
        </w:rPr>
        <w:t>Posicionar como: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1B2118"/>
          <w:sz w:val="22"/>
        </w:rPr>
        <w:t>Enterprise AI Governance &amp; Risk Control Layer: hechos → controles → evidencia → score determinista → decisión trazable → remediación (Jira) → pack de auditoría.</w:t>
      </w:r>
    </w:p>
    <w:p>
      <w:pPr>
        <w:spacing w:after="160" w:before="16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Los productos públicos de «RAG + scoring» ya existen. La diferencia es operational governance: el modelo explica, el motor decide, el log no se borra, Legal se lleva un pack.</w:t>
      </w:r>
    </w:p>
    <w:p>
      <w:pPr>
        <w:pStyle w:val="Heading1"/>
      </w:pPr>
      <w:r>
        <w:rPr>
          <w:rFonts w:ascii="Calibri" w:hAnsi="Calibri"/>
          <w:color w:val="3D5A1F"/>
        </w:rPr>
        <w:t>6. Orden de implementación sugerido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Dependencia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PostgreSQL + assessment_id + DecisionRecord append-only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Punto 5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B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Adjuntos y cambio de evidence_status a present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POST a Jira AIGOV desde CI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PDF del Evidence Pack con hash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 + plantilla Legal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SSO y entornos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F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Redis solo como caché de sesión UI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 (nunca como fuente de verdad)</w:t>
            </w:r>
          </w:p>
        </w:tc>
      </w:tr>
    </w:tbl>
    <w:p/>
    <w:p>
      <w:pPr>
        <w:spacing w:after="160" w:before="240" w:line="240" w:lineRule="auto"/>
      </w:pPr>
      <w:r>
        <w:rPr>
          <w:rFonts w:ascii="Calibri" w:hAnsi="Calibri" w:eastAsia="Calibri"/>
          <w:b w:val="0"/>
          <w:i/>
          <w:color w:val="4A5245"/>
          <w:sz w:val="22"/>
        </w:rPr>
        <w:t>Este documento no autoriza saltarse el motor determinista ni devolver la decisión al LLM. Cualquier mejora futura debe preservar: Evidence → Control assessment → Risk factors → Deterministic scoring → Governance decision.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