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Calibri" w:hAnsi="Calibri" w:eastAsia="Calibri"/>
          <w:b/>
          <w:i w:val="0"/>
          <w:color w:val="3D5A1F"/>
          <w:sz w:val="22"/>
        </w:rPr>
        <w:t>RESPONSIBLE AI GOVERNANCE</w:t>
      </w:r>
    </w:p>
    <w:p>
      <w:pPr>
        <w:spacing w:after="80" w:line="240" w:lineRule="auto"/>
        <w:jc w:val="center"/>
      </w:pPr>
      <w:r>
        <w:rPr>
          <w:rFonts w:ascii="Calibri" w:hAnsi="Calibri" w:eastAsia="Calibri"/>
          <w:b/>
          <w:i w:val="0"/>
          <w:color w:val="1B2118"/>
          <w:sz w:val="48"/>
        </w:rPr>
        <w:t>User Guide — AI Vendor Risk Console</w:t>
      </w:r>
    </w:p>
    <w:p>
      <w:pPr>
        <w:spacing w:after="320" w:line="240" w:lineRule="auto"/>
        <w:jc w:val="center"/>
      </w:pPr>
      <w:r>
        <w:rPr>
          <w:rFonts w:ascii="Calibri" w:hAnsi="Calibri" w:eastAsia="Calibri"/>
          <w:b w:val="0"/>
          <w:i/>
          <w:color w:val="4A5245"/>
          <w:sz w:val="24"/>
        </w:rPr>
        <w:t>For business, legal, compliance, and security readers</w:t>
      </w:r>
    </w:p>
    <w:tbl>
      <w:tblPr>
        <w:tblStyle w:val="TableGrid"/>
        <w:tblW w:type="auto" w:w="0"/>
        <w:tblLook w:firstColumn="1" w:firstRow="1" w:lastColumn="0" w:lastRow="0" w:noHBand="0" w:noVBand="1" w:val="04A0"/>
      </w:tblPr>
      <w:tblGrid>
        <w:gridCol w:w="4873"/>
        <w:gridCol w:w="4873"/>
      </w:tblGrid>
      <w:tr>
        <w:tc>
          <w:tcPr>
            <w:tcW w:type="dxa" w:w="4873"/>
            <w:shd w:fill="1B2118" w:val="clear"/>
          </w:tcPr>
          <w:p>
            <w:r/>
            <w:r>
              <w:rPr>
                <w:rFonts w:ascii="Calibri" w:hAnsi="Calibri" w:eastAsia="Calibri"/>
                <w:b/>
                <w:i w:val="0"/>
                <w:color w:val="FFFFFF"/>
                <w:sz w:val="20"/>
              </w:rPr>
              <w:t>Field</w:t>
            </w:r>
          </w:p>
        </w:tc>
        <w:tc>
          <w:tcPr>
            <w:tcW w:type="dxa" w:w="4873"/>
            <w:shd w:fill="1B2118" w:val="clear"/>
          </w:tcPr>
          <w:p>
            <w:r/>
            <w:r>
              <w:rPr>
                <w:rFonts w:ascii="Calibri" w:hAnsi="Calibri" w:eastAsia="Calibri"/>
                <w:b/>
                <w:i w:val="0"/>
                <w:color w:val="FFFFFF"/>
                <w:sz w:val="20"/>
              </w:rPr>
              <w:t>Value</w:t>
            </w:r>
          </w:p>
        </w:tc>
      </w:tr>
      <w:tr>
        <w:tc>
          <w:tcPr>
            <w:tcW w:type="dxa" w:w="4873"/>
            <w:shd w:fill="FFFFFF" w:val="clear"/>
          </w:tcPr>
          <w:p>
            <w:r/>
            <w:r>
              <w:rPr>
                <w:rFonts w:ascii="Calibri" w:hAnsi="Calibri" w:eastAsia="Calibri"/>
                <w:b w:val="0"/>
                <w:i w:val="0"/>
                <w:color w:val="1B2118"/>
                <w:sz w:val="20"/>
              </w:rPr>
              <w:t>Version</w:t>
            </w:r>
          </w:p>
        </w:tc>
        <w:tc>
          <w:tcPr>
            <w:tcW w:type="dxa" w:w="4873"/>
            <w:shd w:fill="FFFFFF" w:val="clear"/>
          </w:tcPr>
          <w:p>
            <w:r/>
            <w:r>
              <w:rPr>
                <w:rFonts w:ascii="Calibri" w:hAnsi="Calibri" w:eastAsia="Calibri"/>
                <w:b w:val="0"/>
                <w:i w:val="0"/>
                <w:color w:val="1B2118"/>
                <w:sz w:val="20"/>
              </w:rPr>
              <w:t>1.7</w:t>
            </w:r>
          </w:p>
        </w:tc>
      </w:tr>
      <w:tr>
        <w:tc>
          <w:tcPr>
            <w:tcW w:type="dxa" w:w="4873"/>
            <w:shd w:fill="F3F5EE" w:val="clear"/>
          </w:tcPr>
          <w:p>
            <w:r/>
            <w:r>
              <w:rPr>
                <w:rFonts w:ascii="Calibri" w:hAnsi="Calibri" w:eastAsia="Calibri"/>
                <w:b w:val="0"/>
                <w:i w:val="0"/>
                <w:color w:val="1B2118"/>
                <w:sz w:val="20"/>
              </w:rPr>
              <w:t>Date</w:t>
            </w:r>
          </w:p>
        </w:tc>
        <w:tc>
          <w:tcPr>
            <w:tcW w:type="dxa" w:w="4873"/>
            <w:shd w:fill="F3F5EE" w:val="clear"/>
          </w:tcPr>
          <w:p>
            <w:r/>
            <w:r>
              <w:rPr>
                <w:rFonts w:ascii="Calibri" w:hAnsi="Calibri" w:eastAsia="Calibri"/>
                <w:b w:val="0"/>
                <w:i w:val="0"/>
                <w:color w:val="1B2118"/>
                <w:sz w:val="20"/>
              </w:rPr>
              <w:t>2026-08-19</w:t>
            </w:r>
          </w:p>
        </w:tc>
      </w:tr>
      <w:tr>
        <w:tc>
          <w:tcPr>
            <w:tcW w:type="dxa" w:w="4873"/>
            <w:shd w:fill="FFFFFF" w:val="clear"/>
          </w:tcPr>
          <w:p>
            <w:r/>
            <w:r>
              <w:rPr>
                <w:rFonts w:ascii="Calibri" w:hAnsi="Calibri" w:eastAsia="Calibri"/>
                <w:b w:val="0"/>
                <w:i w:val="0"/>
                <w:color w:val="1B2118"/>
                <w:sz w:val="20"/>
              </w:rPr>
              <w:t>Audience</w:t>
            </w:r>
          </w:p>
        </w:tc>
        <w:tc>
          <w:tcPr>
            <w:tcW w:type="dxa" w:w="4873"/>
            <w:shd w:fill="FFFFFF" w:val="clear"/>
          </w:tcPr>
          <w:p>
            <w:r/>
            <w:r>
              <w:rPr>
                <w:rFonts w:ascii="Calibri" w:hAnsi="Calibri" w:eastAsia="Calibri"/>
                <w:b w:val="0"/>
                <w:i w:val="0"/>
                <w:color w:val="1B2118"/>
                <w:sz w:val="20"/>
              </w:rPr>
              <w:t>Business, Legal, Compliance, Security, Leadership</w:t>
            </w:r>
          </w:p>
        </w:tc>
      </w:tr>
      <w:tr>
        <w:tc>
          <w:tcPr>
            <w:tcW w:type="dxa" w:w="4873"/>
            <w:shd w:fill="F3F5EE" w:val="clear"/>
          </w:tcPr>
          <w:p>
            <w:r/>
            <w:r>
              <w:rPr>
                <w:rFonts w:ascii="Calibri" w:hAnsi="Calibri" w:eastAsia="Calibri"/>
                <w:b w:val="0"/>
                <w:i w:val="0"/>
                <w:color w:val="1B2118"/>
                <w:sz w:val="20"/>
              </w:rPr>
              <w:t>Purpose</w:t>
            </w:r>
          </w:p>
        </w:tc>
        <w:tc>
          <w:tcPr>
            <w:tcW w:type="dxa" w:w="4873"/>
            <w:shd w:fill="F3F5EE" w:val="clear"/>
          </w:tcPr>
          <w:p>
            <w:r/>
            <w:r>
              <w:rPr>
                <w:rFonts w:ascii="Calibri" w:hAnsi="Calibri" w:eastAsia="Calibri"/>
                <w:b w:val="0"/>
                <w:i w:val="0"/>
                <w:color w:val="1B2118"/>
                <w:sz w:val="20"/>
              </w:rPr>
              <w:t>How to use the console, what it decides, what it does not decide</w:t>
            </w:r>
          </w:p>
        </w:tc>
      </w:tr>
    </w:tbl>
    <w:p/>
    <w:p>
      <w:pPr>
        <w:pStyle w:val="Heading1"/>
      </w:pPr>
      <w:r>
        <w:rPr>
          <w:rFonts w:ascii="Calibri" w:hAnsi="Calibri"/>
          <w:color w:val="3D5A1F"/>
        </w:rPr>
        <w:t>1. One-page summary</w:t>
      </w:r>
    </w:p>
    <w:p>
      <w:pPr>
        <w:spacing w:after="160" w:line="240" w:lineRule="auto"/>
      </w:pPr>
      <w:r>
        <w:rPr>
          <w:rFonts w:ascii="Calibri" w:hAnsi="Calibri" w:eastAsia="Calibri"/>
          <w:b w:val="0"/>
          <w:i w:val="0"/>
          <w:color w:val="1B2118"/>
          <w:sz w:val="22"/>
        </w:rPr>
        <w:t>The Enterprise AI Vendor Risk Console is a governance control layer for third-party AI vendors. You enter facts about a proposed integration; the rules engine triages risk and opens Jira work for Legal, SecOps, and AI Governance. The chat explains the report but cannot approve a vendor.</w:t>
      </w:r>
    </w:p>
    <w:p>
      <w:pPr>
        <w:pStyle w:val="ListBullet"/>
      </w:pPr>
      <w:r>
        <w:rPr>
          <w:rFonts w:ascii="Calibri" w:hAnsi="Calibri" w:eastAsia="Calibri"/>
          <w:b w:val="0"/>
          <w:i w:val="0"/>
          <w:color w:val="1B2118"/>
          <w:sz w:val="22"/>
        </w:rPr>
        <w:t>Engine triage only: PENDING REVIEW, REQUIRES REMEDIATION, or ESCALATE — never automatic APPROVE.</w:t>
      </w:r>
    </w:p>
    <w:p>
      <w:pPr>
        <w:pStyle w:val="ListBullet"/>
      </w:pPr>
      <w:r>
        <w:rPr>
          <w:rFonts w:ascii="Calibri" w:hAnsi="Calibri" w:eastAsia="Calibri"/>
          <w:b w:val="0"/>
          <w:i w:val="0"/>
          <w:color w:val="1B2118"/>
          <w:sz w:val="22"/>
        </w:rPr>
        <w:t>Humans approve in Jira (@adevintia.com). When all department Tasks close, workflow becomes DEPARTMENT_GATES_COMPLETED (awaiting final approval).</w:t>
      </w:r>
    </w:p>
    <w:p>
      <w:pPr>
        <w:pStyle w:val="ListBullet"/>
      </w:pPr>
      <w:r>
        <w:rPr>
          <w:rFonts w:ascii="Calibri" w:hAnsi="Calibri" w:eastAsia="Calibri"/>
          <w:b w:val="0"/>
          <w:i w:val="0"/>
          <w:color w:val="1B2118"/>
          <w:sz w:val="22"/>
        </w:rPr>
        <w:t>Without OPENAI_API_KEY, simulator mode uses business rules — suitable for demos.</w:t>
      </w:r>
    </w:p>
    <w:p>
      <w:pPr>
        <w:pStyle w:val="Heading1"/>
      </w:pPr>
      <w:r>
        <w:rPr>
          <w:rFonts w:ascii="Calibri" w:hAnsi="Calibri"/>
          <w:color w:val="3D5A1F"/>
        </w:rPr>
        <w:t>2. Console layout (v1.7)</w:t>
      </w:r>
    </w:p>
    <w:p>
      <w:pPr>
        <w:spacing w:after="160" w:line="240" w:lineRule="auto"/>
      </w:pPr>
      <w:r>
        <w:rPr>
          <w:rFonts w:ascii="Calibri" w:hAnsi="Calibri" w:eastAsia="Calibri"/>
          <w:b w:val="0"/>
          <w:i w:val="0"/>
          <w:color w:val="1B2118"/>
          <w:sz w:val="22"/>
        </w:rPr>
        <w:t>The window is two columns. The right column is the only scroll area: no nested scrollbars inside findings or evidence panels. The decision bar stays pinned at the top; the chat composer stays pinned at the bottom.</w:t>
      </w:r>
    </w:p>
    <w:tbl>
      <w:tblPr>
        <w:tblStyle w:val="TableGrid"/>
        <w:tblW w:type="auto" w:w="0"/>
        <w:tblLook w:firstColumn="1" w:firstRow="1" w:lastColumn="0" w:lastRow="0" w:noHBand="0" w:noVBand="1" w:val="04A0"/>
      </w:tblPr>
      <w:tblGrid>
        <w:gridCol w:w="4873"/>
        <w:gridCol w:w="4873"/>
      </w:tblGrid>
      <w:tr>
        <w:tc>
          <w:tcPr>
            <w:tcW w:type="dxa" w:w="4873"/>
            <w:shd w:fill="1B2118" w:val="clear"/>
          </w:tcPr>
          <w:p>
            <w:r/>
            <w:r>
              <w:rPr>
                <w:rFonts w:ascii="Calibri" w:hAnsi="Calibri" w:eastAsia="Calibri"/>
                <w:b/>
                <w:i w:val="0"/>
                <w:color w:val="FFFFFF"/>
                <w:sz w:val="20"/>
              </w:rPr>
              <w:t>Area</w:t>
            </w:r>
          </w:p>
        </w:tc>
        <w:tc>
          <w:tcPr>
            <w:tcW w:type="dxa" w:w="4873"/>
            <w:shd w:fill="1B2118" w:val="clear"/>
          </w:tcPr>
          <w:p>
            <w:r/>
            <w:r>
              <w:rPr>
                <w:rFonts w:ascii="Calibri" w:hAnsi="Calibri" w:eastAsia="Calibri"/>
                <w:b/>
                <w:i w:val="0"/>
                <w:color w:val="FFFFFF"/>
                <w:sz w:val="20"/>
              </w:rPr>
              <w:t>What you see</w:t>
            </w:r>
          </w:p>
        </w:tc>
      </w:tr>
      <w:tr>
        <w:tc>
          <w:tcPr>
            <w:tcW w:type="dxa" w:w="4873"/>
            <w:shd w:fill="FFFFFF" w:val="clear"/>
          </w:tcPr>
          <w:p>
            <w:r/>
            <w:r>
              <w:rPr>
                <w:rFonts w:ascii="Calibri" w:hAnsi="Calibri" w:eastAsia="Calibri"/>
                <w:b w:val="0"/>
                <w:i w:val="0"/>
                <w:color w:val="1B2118"/>
                <w:sz w:val="20"/>
              </w:rPr>
              <w:t>Left panel — intake</w:t>
            </w:r>
          </w:p>
        </w:tc>
        <w:tc>
          <w:tcPr>
            <w:tcW w:type="dxa" w:w="4873"/>
            <w:shd w:fill="FFFFFF" w:val="clear"/>
          </w:tcPr>
          <w:p>
            <w:r/>
            <w:r>
              <w:rPr>
                <w:rFonts w:ascii="Calibri" w:hAnsi="Calibri" w:eastAsia="Calibri"/>
                <w:b w:val="0"/>
                <w:i w:val="0"/>
                <w:color w:val="1B2118"/>
                <w:sz w:val="20"/>
              </w:rPr>
              <w:t>Vendor form with high-contrast fields. Required fields first; Privacy/DPIA and additional info in expandable sections.</w:t>
            </w:r>
          </w:p>
        </w:tc>
      </w:tr>
      <w:tr>
        <w:tc>
          <w:tcPr>
            <w:tcW w:type="dxa" w:w="4873"/>
            <w:shd w:fill="F3F5EE" w:val="clear"/>
          </w:tcPr>
          <w:p>
            <w:r/>
            <w:r>
              <w:rPr>
                <w:rFonts w:ascii="Calibri" w:hAnsi="Calibri" w:eastAsia="Calibri"/>
                <w:b w:val="0"/>
                <w:i w:val="0"/>
                <w:color w:val="1B2118"/>
                <w:sz w:val="20"/>
              </w:rPr>
              <w:t>Decision bar (pinned)</w:t>
            </w:r>
          </w:p>
        </w:tc>
        <w:tc>
          <w:tcPr>
            <w:tcW w:type="dxa" w:w="4873"/>
            <w:shd w:fill="F3F5EE" w:val="clear"/>
          </w:tcPr>
          <w:p>
            <w:r/>
            <w:r>
              <w:rPr>
                <w:rFonts w:ascii="Calibri" w:hAnsi="Calibri" w:eastAsia="Calibri"/>
                <w:b w:val="0"/>
                <w:i w:val="0"/>
                <w:color w:val="1B2118"/>
                <w:sz w:val="20"/>
              </w:rPr>
              <w:t>Triage decision, residual risk, vendor name, Copy report button.</w:t>
            </w:r>
          </w:p>
        </w:tc>
      </w:tr>
      <w:tr>
        <w:tc>
          <w:tcPr>
            <w:tcW w:type="dxa" w:w="4873"/>
            <w:shd w:fill="FFFFFF" w:val="clear"/>
          </w:tcPr>
          <w:p>
            <w:r/>
            <w:r>
              <w:rPr>
                <w:rFonts w:ascii="Calibri" w:hAnsi="Calibri" w:eastAsia="Calibri"/>
                <w:b w:val="0"/>
                <w:i w:val="0"/>
                <w:color w:val="1B2118"/>
                <w:sz w:val="20"/>
              </w:rPr>
              <w:t>Audit trail</w:t>
            </w:r>
          </w:p>
        </w:tc>
        <w:tc>
          <w:tcPr>
            <w:tcW w:type="dxa" w:w="4873"/>
            <w:shd w:fill="FFFFFF" w:val="clear"/>
          </w:tcPr>
          <w:p>
            <w:r/>
            <w:r>
              <w:rPr>
                <w:rFonts w:ascii="Calibri" w:hAnsi="Calibri" w:eastAsia="Calibri"/>
                <w:b w:val="0"/>
                <w:i w:val="0"/>
                <w:color w:val="1B2118"/>
                <w:sz w:val="20"/>
              </w:rPr>
              <w:t>Labelled grid: triage, workflow, engine score, residual risk, engine version, scoring method.</w:t>
            </w:r>
          </w:p>
        </w:tc>
      </w:tr>
      <w:tr>
        <w:tc>
          <w:tcPr>
            <w:tcW w:type="dxa" w:w="4873"/>
            <w:shd w:fill="F3F5EE" w:val="clear"/>
          </w:tcPr>
          <w:p>
            <w:r/>
            <w:r>
              <w:rPr>
                <w:rFonts w:ascii="Calibri" w:hAnsi="Calibri" w:eastAsia="Calibri"/>
                <w:b w:val="0"/>
                <w:i w:val="0"/>
                <w:color w:val="1B2118"/>
                <w:sz w:val="20"/>
              </w:rPr>
              <w:t>Gate chips</w:t>
            </w:r>
          </w:p>
        </w:tc>
        <w:tc>
          <w:tcPr>
            <w:tcW w:type="dxa" w:w="4873"/>
            <w:shd w:fill="F3F5EE" w:val="clear"/>
          </w:tcPr>
          <w:p>
            <w:r/>
            <w:r>
              <w:rPr>
                <w:rFonts w:ascii="Calibri" w:hAnsi="Calibri" w:eastAsia="Calibri"/>
                <w:b w:val="0"/>
                <w:i w:val="0"/>
                <w:color w:val="1B2118"/>
                <w:sz w:val="20"/>
              </w:rPr>
              <w:t>Legal, SecOps, AI Governance — amber Pending, green with approver email, red No ticket.</w:t>
            </w:r>
          </w:p>
        </w:tc>
      </w:tr>
      <w:tr>
        <w:tc>
          <w:tcPr>
            <w:tcW w:type="dxa" w:w="4873"/>
            <w:shd w:fill="FFFFFF" w:val="clear"/>
          </w:tcPr>
          <w:p>
            <w:r/>
            <w:r>
              <w:rPr>
                <w:rFonts w:ascii="Calibri" w:hAnsi="Calibri" w:eastAsia="Calibri"/>
                <w:b w:val="0"/>
                <w:i w:val="0"/>
                <w:color w:val="1B2118"/>
                <w:sz w:val="20"/>
              </w:rPr>
              <w:t>Report tabs</w:t>
            </w:r>
          </w:p>
        </w:tc>
        <w:tc>
          <w:tcPr>
            <w:tcW w:type="dxa" w:w="4873"/>
            <w:shd w:fill="FFFFFF" w:val="clear"/>
          </w:tcPr>
          <w:p>
            <w:r/>
            <w:r>
              <w:rPr>
                <w:rFonts w:ascii="Calibri" w:hAnsi="Calibri" w:eastAsia="Calibri"/>
                <w:b w:val="0"/>
                <w:i w:val="0"/>
                <w:color w:val="1B2118"/>
                <w:sz w:val="20"/>
              </w:rPr>
              <w:t>Findings | Missing evidence | Jira orchestration. Count badge on each tab. One panel visible at a time.</w:t>
            </w:r>
          </w:p>
        </w:tc>
      </w:tr>
      <w:tr>
        <w:tc>
          <w:tcPr>
            <w:tcW w:type="dxa" w:w="4873"/>
            <w:shd w:fill="F3F5EE" w:val="clear"/>
          </w:tcPr>
          <w:p>
            <w:r/>
            <w:r>
              <w:rPr>
                <w:rFonts w:ascii="Calibri" w:hAnsi="Calibri" w:eastAsia="Calibri"/>
                <w:b w:val="0"/>
                <w:i w:val="0"/>
                <w:color w:val="1B2118"/>
                <w:sz w:val="20"/>
              </w:rPr>
              <w:t>Expandable rows</w:t>
            </w:r>
          </w:p>
        </w:tc>
        <w:tc>
          <w:tcPr>
            <w:tcW w:type="dxa" w:w="4873"/>
            <w:shd w:fill="F3F5EE" w:val="clear"/>
          </w:tcPr>
          <w:p>
            <w:r/>
            <w:r>
              <w:rPr>
                <w:rFonts w:ascii="Calibri" w:hAnsi="Calibri" w:eastAsia="Calibri"/>
                <w:b w:val="0"/>
                <w:i w:val="0"/>
                <w:color w:val="1B2118"/>
                <w:sz w:val="20"/>
              </w:rPr>
              <w:t>Headline in bold (e.g. CTRL-DPIA + missing chip). Click the row to read the full rationale, document, and source.</w:t>
            </w:r>
          </w:p>
        </w:tc>
      </w:tr>
      <w:tr>
        <w:tc>
          <w:tcPr>
            <w:tcW w:type="dxa" w:w="4873"/>
            <w:shd w:fill="FFFFFF" w:val="clear"/>
          </w:tcPr>
          <w:p>
            <w:r/>
            <w:r>
              <w:rPr>
                <w:rFonts w:ascii="Calibri" w:hAnsi="Calibri" w:eastAsia="Calibri"/>
                <w:b w:val="0"/>
                <w:i w:val="0"/>
                <w:color w:val="1B2118"/>
                <w:sz w:val="20"/>
              </w:rPr>
              <w:t>Risk assistant card</w:t>
            </w:r>
          </w:p>
        </w:tc>
        <w:tc>
          <w:tcPr>
            <w:tcW w:type="dxa" w:w="4873"/>
            <w:shd w:fill="FFFFFF" w:val="clear"/>
          </w:tcPr>
          <w:p>
            <w:r/>
            <w:r>
              <w:rPr>
                <w:rFonts w:ascii="Calibri" w:hAnsi="Calibri" w:eastAsia="Calibri"/>
                <w:b w:val="0"/>
                <w:i w:val="0"/>
                <w:color w:val="1B2118"/>
                <w:sz w:val="20"/>
              </w:rPr>
              <w:t>Structured summary after assess: decision grid, count chips, gate status. Not a plain-text log.</w:t>
            </w:r>
          </w:p>
        </w:tc>
      </w:tr>
      <w:tr>
        <w:tc>
          <w:tcPr>
            <w:tcW w:type="dxa" w:w="4873"/>
            <w:shd w:fill="F3F5EE" w:val="clear"/>
          </w:tcPr>
          <w:p>
            <w:r/>
            <w:r>
              <w:rPr>
                <w:rFonts w:ascii="Calibri" w:hAnsi="Calibri" w:eastAsia="Calibri"/>
                <w:b w:val="0"/>
                <w:i w:val="0"/>
                <w:color w:val="1B2118"/>
                <w:sz w:val="20"/>
              </w:rPr>
              <w:t>Chat</w:t>
            </w:r>
          </w:p>
        </w:tc>
        <w:tc>
          <w:tcPr>
            <w:tcW w:type="dxa" w:w="4873"/>
            <w:shd w:fill="F3F5EE" w:val="clear"/>
          </w:tcPr>
          <w:p>
            <w:r/>
            <w:r>
              <w:rPr>
                <w:rFonts w:ascii="Calibri" w:hAnsi="Calibri" w:eastAsia="Calibri"/>
                <w:b w:val="0"/>
                <w:i w:val="0"/>
                <w:color w:val="1B2118"/>
                <w:sz w:val="20"/>
              </w:rPr>
              <w:t>Follow-up questions below the card. Suggestion chips above the composer.</w:t>
            </w:r>
          </w:p>
        </w:tc>
      </w:tr>
    </w:tbl>
    <w:p/>
    <w:p>
      <w:pPr>
        <w:pStyle w:val="Heading2"/>
      </w:pPr>
      <w:r>
        <w:rPr>
          <w:rFonts w:ascii="Calibri" w:hAnsi="Calibri"/>
          <w:color w:val="1B2118"/>
        </w:rPr>
        <w:t>Reading rules</w:t>
      </w:r>
    </w:p>
    <w:p>
      <w:pPr>
        <w:pStyle w:val="ListBullet"/>
      </w:pPr>
      <w:r>
        <w:rPr>
          <w:rFonts w:ascii="Calibri" w:hAnsi="Calibri" w:eastAsia="Calibri"/>
          <w:b w:val="0"/>
          <w:i w:val="0"/>
          <w:color w:val="1B2118"/>
          <w:sz w:val="22"/>
        </w:rPr>
        <w:t>Tabs, not columns — each report section uses the full width.</w:t>
      </w:r>
    </w:p>
    <w:p>
      <w:pPr>
        <w:pStyle w:val="ListBullet"/>
      </w:pPr>
      <w:r>
        <w:rPr>
          <w:rFonts w:ascii="Calibri" w:hAnsi="Calibri" w:eastAsia="Calibri"/>
          <w:b w:val="0"/>
          <w:i w:val="0"/>
          <w:color w:val="1B2118"/>
          <w:sz w:val="22"/>
        </w:rPr>
        <w:t>Headline first — long explanations stay behind an expandable row (progressive disclosure).</w:t>
      </w:r>
    </w:p>
    <w:p>
      <w:pPr>
        <w:pStyle w:val="ListBullet"/>
      </w:pPr>
      <w:r>
        <w:rPr>
          <w:rFonts w:ascii="Calibri" w:hAnsi="Calibri" w:eastAsia="Calibri"/>
          <w:b w:val="0"/>
          <w:i w:val="0"/>
          <w:color w:val="1B2118"/>
          <w:sz w:val="22"/>
        </w:rPr>
        <w:t>Chips carry status — colour is always paired with a word (Pending, approved, missing).</w:t>
      </w:r>
    </w:p>
    <w:p>
      <w:pPr>
        <w:pStyle w:val="ListBullet"/>
      </w:pPr>
      <w:r>
        <w:rPr>
          <w:rFonts w:ascii="Calibri" w:hAnsi="Calibri" w:eastAsia="Calibri"/>
          <w:b w:val="0"/>
          <w:i w:val="0"/>
          <w:color w:val="1B2118"/>
          <w:sz w:val="22"/>
        </w:rPr>
        <w:t>Copy report — plain text for email/tickets. The on-screen card is visual only.</w:t>
      </w:r>
    </w:p>
    <w:p>
      <w:pPr>
        <w:pStyle w:val="Heading1"/>
      </w:pPr>
      <w:r>
        <w:rPr>
          <w:rFonts w:ascii="Calibri" w:hAnsi="Calibri"/>
          <w:color w:val="3D5A1F"/>
        </w:rPr>
        <w:t>3. Step-by-step</w:t>
      </w:r>
    </w:p>
    <w:p>
      <w:pPr>
        <w:pStyle w:val="ListBullet"/>
      </w:pPr>
      <w:r>
        <w:rPr>
          <w:rFonts w:ascii="Calibri" w:hAnsi="Calibri" w:eastAsia="Calibri"/>
          <w:b w:val="0"/>
          <w:i w:val="0"/>
          <w:color w:val="1B2118"/>
          <w:sz w:val="22"/>
        </w:rPr>
        <w:t>Open http://127.0.0.1:8000 (or your deployed URL).</w:t>
      </w:r>
    </w:p>
    <w:p>
      <w:pPr>
        <w:pStyle w:val="ListBullet"/>
      </w:pPr>
      <w:r>
        <w:rPr>
          <w:rFonts w:ascii="Calibri" w:hAnsi="Calibri" w:eastAsia="Calibri"/>
          <w:b w:val="0"/>
          <w:i w:val="0"/>
          <w:color w:val="1B2118"/>
          <w:sz w:val="22"/>
        </w:rPr>
        <w:t>Replace the example vendor data with your real case.</w:t>
      </w:r>
    </w:p>
    <w:p>
      <w:pPr>
        <w:pStyle w:val="ListBullet"/>
      </w:pPr>
      <w:r>
        <w:rPr>
          <w:rFonts w:ascii="Calibri" w:hAnsi="Calibri" w:eastAsia="Calibri"/>
          <w:b w:val="0"/>
          <w:i w:val="0"/>
          <w:color w:val="1B2118"/>
          <w:sz w:val="22"/>
        </w:rPr>
        <w:t>Check DPA only if a signed agreement exists with your entity.</w:t>
      </w:r>
    </w:p>
    <w:p>
      <w:pPr>
        <w:pStyle w:val="ListBullet"/>
      </w:pPr>
      <w:r>
        <w:rPr>
          <w:rFonts w:ascii="Calibri" w:hAnsi="Calibri" w:eastAsia="Calibri"/>
          <w:b w:val="0"/>
          <w:i w:val="0"/>
          <w:color w:val="1B2118"/>
          <w:sz w:val="22"/>
        </w:rPr>
        <w:t>Expand Privacy and DPIA when personal data, transfers, or automated decisions apply.</w:t>
      </w:r>
    </w:p>
    <w:p>
      <w:pPr>
        <w:pStyle w:val="ListBullet"/>
      </w:pPr>
      <w:r>
        <w:rPr>
          <w:rFonts w:ascii="Calibri" w:hAnsi="Calibri" w:eastAsia="Calibri"/>
          <w:b w:val="0"/>
          <w:i w:val="0"/>
          <w:color w:val="1B2118"/>
          <w:sz w:val="22"/>
        </w:rPr>
        <w:t>Click Assess vendor.</w:t>
      </w:r>
    </w:p>
    <w:p>
      <w:pPr>
        <w:pStyle w:val="ListBullet"/>
      </w:pPr>
      <w:r>
        <w:rPr>
          <w:rFonts w:ascii="Calibri" w:hAnsi="Calibri" w:eastAsia="Calibri"/>
          <w:b w:val="0"/>
          <w:i w:val="0"/>
          <w:color w:val="1B2118"/>
          <w:sz w:val="22"/>
        </w:rPr>
        <w:t>Read the decision bar and audit trail chips.</w:t>
      </w:r>
    </w:p>
    <w:p>
      <w:pPr>
        <w:pStyle w:val="ListBullet"/>
      </w:pPr>
      <w:r>
        <w:rPr>
          <w:rFonts w:ascii="Calibri" w:hAnsi="Calibri" w:eastAsia="Calibri"/>
          <w:b w:val="0"/>
          <w:i w:val="0"/>
          <w:color w:val="1B2118"/>
          <w:sz w:val="22"/>
        </w:rPr>
        <w:t>Open each report tab. Expand rows where you need the full rationale.</w:t>
      </w:r>
    </w:p>
    <w:p>
      <w:pPr>
        <w:pStyle w:val="ListBullet"/>
      </w:pPr>
      <w:r>
        <w:rPr>
          <w:rFonts w:ascii="Calibri" w:hAnsi="Calibri" w:eastAsia="Calibri"/>
          <w:b w:val="0"/>
          <w:i w:val="0"/>
          <w:color w:val="1B2118"/>
          <w:sz w:val="22"/>
        </w:rPr>
        <w:t>Use suggestion chips or chat for follow-up questions.</w:t>
      </w:r>
    </w:p>
    <w:p>
      <w:pPr>
        <w:pStyle w:val="ListBullet"/>
      </w:pPr>
      <w:r>
        <w:rPr>
          <w:rFonts w:ascii="Calibri" w:hAnsi="Calibri" w:eastAsia="Calibri"/>
          <w:b w:val="0"/>
          <w:i w:val="0"/>
          <w:color w:val="1B2118"/>
          <w:sz w:val="22"/>
        </w:rPr>
        <w:t>Copy report for email or tickets if needed.</w:t>
      </w:r>
    </w:p>
    <w:p>
      <w:pPr>
        <w:pStyle w:val="Heading1"/>
      </w:pPr>
      <w:r>
        <w:rPr>
          <w:rFonts w:ascii="Calibri" w:hAnsi="Calibri"/>
          <w:color w:val="3D5A1F"/>
        </w:rPr>
        <w:t>4. Triage decisions</w:t>
      </w:r>
    </w:p>
    <w:tbl>
      <w:tblPr>
        <w:tblStyle w:val="TableGrid"/>
        <w:tblW w:type="auto" w:w="0"/>
        <w:tblLook w:firstColumn="1" w:firstRow="1" w:lastColumn="0" w:lastRow="0" w:noHBand="0" w:noVBand="1" w:val="04A0"/>
      </w:tblPr>
      <w:tblGrid>
        <w:gridCol w:w="4873"/>
        <w:gridCol w:w="4873"/>
      </w:tblGrid>
      <w:tr>
        <w:tc>
          <w:tcPr>
            <w:tcW w:type="dxa" w:w="4873"/>
            <w:shd w:fill="1B2118" w:val="clear"/>
          </w:tcPr>
          <w:p>
            <w:r/>
            <w:r>
              <w:rPr>
                <w:rFonts w:ascii="Calibri" w:hAnsi="Calibri" w:eastAsia="Calibri"/>
                <w:b/>
                <w:i w:val="0"/>
                <w:color w:val="FFFFFF"/>
                <w:sz w:val="20"/>
              </w:rPr>
              <w:t>Code</w:t>
            </w:r>
          </w:p>
        </w:tc>
        <w:tc>
          <w:tcPr>
            <w:tcW w:type="dxa" w:w="4873"/>
            <w:shd w:fill="1B2118" w:val="clear"/>
          </w:tcPr>
          <w:p>
            <w:r/>
            <w:r>
              <w:rPr>
                <w:rFonts w:ascii="Calibri" w:hAnsi="Calibri" w:eastAsia="Calibri"/>
                <w:b/>
                <w:i w:val="0"/>
                <w:color w:val="FFFFFF"/>
                <w:sz w:val="20"/>
              </w:rPr>
              <w:t>Meaning</w:t>
            </w:r>
          </w:p>
        </w:tc>
      </w:tr>
      <w:tr>
        <w:tc>
          <w:tcPr>
            <w:tcW w:type="dxa" w:w="4873"/>
            <w:shd w:fill="FFFFFF" w:val="clear"/>
          </w:tcPr>
          <w:p>
            <w:r/>
            <w:r>
              <w:rPr>
                <w:rFonts w:ascii="Calibri" w:hAnsi="Calibri" w:eastAsia="Calibri"/>
                <w:b w:val="0"/>
                <w:i w:val="0"/>
                <w:color w:val="1B2118"/>
                <w:sz w:val="20"/>
              </w:rPr>
              <w:t>PENDING REVIEW</w:t>
            </w:r>
          </w:p>
        </w:tc>
        <w:tc>
          <w:tcPr>
            <w:tcW w:type="dxa" w:w="4873"/>
            <w:shd w:fill="FFFFFF" w:val="clear"/>
          </w:tcPr>
          <w:p>
            <w:r/>
            <w:r>
              <w:rPr>
                <w:rFonts w:ascii="Calibri" w:hAnsi="Calibri" w:eastAsia="Calibri"/>
                <w:b w:val="0"/>
                <w:i w:val="0"/>
                <w:color w:val="1B2118"/>
                <w:sz w:val="20"/>
              </w:rPr>
              <w:t>No critical red flag; departments must still close Jira gates</w:t>
            </w:r>
          </w:p>
        </w:tc>
      </w:tr>
      <w:tr>
        <w:tc>
          <w:tcPr>
            <w:tcW w:type="dxa" w:w="4873"/>
            <w:shd w:fill="F3F5EE" w:val="clear"/>
          </w:tcPr>
          <w:p>
            <w:r/>
            <w:r>
              <w:rPr>
                <w:rFonts w:ascii="Calibri" w:hAnsi="Calibri" w:eastAsia="Calibri"/>
                <w:b w:val="0"/>
                <w:i w:val="0"/>
                <w:color w:val="1B2118"/>
                <w:sz w:val="20"/>
              </w:rPr>
              <w:t>REQUIRES REMEDIATION</w:t>
            </w:r>
          </w:p>
        </w:tc>
        <w:tc>
          <w:tcPr>
            <w:tcW w:type="dxa" w:w="4873"/>
            <w:shd w:fill="F3F5EE" w:val="clear"/>
          </w:tcPr>
          <w:p>
            <w:r/>
            <w:r>
              <w:rPr>
                <w:rFonts w:ascii="Calibri" w:hAnsi="Calibri" w:eastAsia="Calibri"/>
                <w:b w:val="0"/>
                <w:i w:val="0"/>
                <w:color w:val="1B2118"/>
                <w:sz w:val="20"/>
              </w:rPr>
              <w:t>Material gaps (DPA, DPIA, score, etc.)</w:t>
            </w:r>
          </w:p>
        </w:tc>
      </w:tr>
      <w:tr>
        <w:tc>
          <w:tcPr>
            <w:tcW w:type="dxa" w:w="4873"/>
            <w:shd w:fill="FFFFFF" w:val="clear"/>
          </w:tcPr>
          <w:p>
            <w:r/>
            <w:r>
              <w:rPr>
                <w:rFonts w:ascii="Calibri" w:hAnsi="Calibri" w:eastAsia="Calibri"/>
                <w:b w:val="0"/>
                <w:i w:val="0"/>
                <w:color w:val="1B2118"/>
                <w:sz w:val="20"/>
              </w:rPr>
              <w:t>ESCALATE TO AI GOVERNANCE / LEGAL / SECURITY</w:t>
            </w:r>
          </w:p>
        </w:tc>
        <w:tc>
          <w:tcPr>
            <w:tcW w:type="dxa" w:w="4873"/>
            <w:shd w:fill="FFFFFF" w:val="clear"/>
          </w:tcPr>
          <w:p>
            <w:r/>
            <w:r>
              <w:rPr>
                <w:rFonts w:ascii="Calibri" w:hAnsi="Calibri" w:eastAsia="Calibri"/>
                <w:b w:val="0"/>
                <w:i w:val="0"/>
                <w:color w:val="1B2118"/>
                <w:sz w:val="20"/>
              </w:rPr>
              <w:t>Personal data without DPA, Art. 9, or score 5</w:t>
            </w:r>
          </w:p>
        </w:tc>
      </w:tr>
      <w:tr>
        <w:tc>
          <w:tcPr>
            <w:tcW w:type="dxa" w:w="4873"/>
            <w:shd w:fill="F3F5EE" w:val="clear"/>
          </w:tcPr>
          <w:p>
            <w:r/>
            <w:r>
              <w:rPr>
                <w:rFonts w:ascii="Calibri" w:hAnsi="Calibri" w:eastAsia="Calibri"/>
                <w:b w:val="0"/>
                <w:i w:val="0"/>
                <w:color w:val="1B2118"/>
                <w:sz w:val="20"/>
              </w:rPr>
              <w:t>DEPARTMENT_GATES_COMPLETED</w:t>
            </w:r>
          </w:p>
        </w:tc>
        <w:tc>
          <w:tcPr>
            <w:tcW w:type="dxa" w:w="4873"/>
            <w:shd w:fill="F3F5EE" w:val="clear"/>
          </w:tcPr>
          <w:p>
            <w:r/>
            <w:r>
              <w:rPr>
                <w:rFonts w:ascii="Calibri" w:hAnsi="Calibri" w:eastAsia="Calibri"/>
                <w:b w:val="0"/>
                <w:i w:val="0"/>
                <w:color w:val="1B2118"/>
                <w:sz w:val="20"/>
              </w:rPr>
              <w:t>All three department Tasks closed — awaiting final decision-maker</w:t>
            </w:r>
          </w:p>
        </w:tc>
      </w:tr>
      <w:tr>
        <w:tc>
          <w:tcPr>
            <w:tcW w:type="dxa" w:w="4873"/>
            <w:shd w:fill="FFFFFF" w:val="clear"/>
          </w:tcPr>
          <w:p>
            <w:r/>
            <w:r>
              <w:rPr>
                <w:rFonts w:ascii="Calibri" w:hAnsi="Calibri" w:eastAsia="Calibri"/>
                <w:b w:val="0"/>
                <w:i w:val="0"/>
                <w:color w:val="1B2118"/>
                <w:sz w:val="20"/>
              </w:rPr>
              <w:t>APPROVE WITH CONDITIONS</w:t>
            </w:r>
          </w:p>
        </w:tc>
        <w:tc>
          <w:tcPr>
            <w:tcW w:type="dxa" w:w="4873"/>
            <w:shd w:fill="FFFFFF" w:val="clear"/>
          </w:tcPr>
          <w:p>
            <w:r/>
            <w:r>
              <w:rPr>
                <w:rFonts w:ascii="Calibri" w:hAnsi="Calibri" w:eastAsia="Calibri"/>
                <w:b w:val="0"/>
                <w:i w:val="0"/>
                <w:color w:val="1B2118"/>
                <w:sz w:val="20"/>
              </w:rPr>
              <w:t>Human only — reserved for a later final decision-maker</w:t>
            </w:r>
          </w:p>
        </w:tc>
      </w:tr>
    </w:tbl>
    <w:p/>
    <w:p>
      <w:pPr>
        <w:pStyle w:val="Heading1"/>
      </w:pPr>
      <w:r>
        <w:rPr>
          <w:rFonts w:ascii="Calibri" w:hAnsi="Calibri"/>
          <w:color w:val="3D5A1F"/>
        </w:rPr>
        <w:t>5. Jira orchestration</w:t>
      </w:r>
    </w:p>
    <w:p>
      <w:pPr>
        <w:spacing w:after="160" w:line="240" w:lineRule="auto"/>
      </w:pPr>
      <w:r>
        <w:rPr>
          <w:rFonts w:ascii="Calibri" w:hAnsi="Calibri" w:eastAsia="Calibri"/>
          <w:b w:val="0"/>
          <w:i w:val="0"/>
          <w:color w:val="1B2118"/>
          <w:sz w:val="22"/>
        </w:rPr>
        <w:t>Each assessment proposes:</w:t>
      </w:r>
    </w:p>
    <w:p>
      <w:pPr>
        <w:pStyle w:val="ListBullet"/>
      </w:pPr>
      <w:r>
        <w:rPr>
          <w:rFonts w:ascii="Calibri" w:hAnsi="Calibri" w:eastAsia="Calibri"/>
          <w:b w:val="0"/>
          <w:i w:val="0"/>
          <w:color w:val="1B2118"/>
          <w:sz w:val="22"/>
        </w:rPr>
        <w:t>Parent Epic — holds triage context (not an approval by itself).</w:t>
      </w:r>
    </w:p>
    <w:p>
      <w:pPr>
        <w:pStyle w:val="ListBullet"/>
      </w:pPr>
      <w:r>
        <w:rPr>
          <w:rFonts w:ascii="Calibri" w:hAnsi="Calibri" w:eastAsia="Calibri"/>
          <w:b w:val="0"/>
          <w:i w:val="0"/>
          <w:color w:val="1B2118"/>
          <w:sz w:val="22"/>
        </w:rPr>
        <w:t>Legal Task — DPA and DPIA (label legal-review, dpo@adevintia.com).</w:t>
      </w:r>
    </w:p>
    <w:p>
      <w:pPr>
        <w:pStyle w:val="ListBullet"/>
      </w:pPr>
      <w:r>
        <w:rPr>
          <w:rFonts w:ascii="Calibri" w:hAnsi="Calibri" w:eastAsia="Calibri"/>
          <w:b w:val="0"/>
          <w:i w:val="0"/>
          <w:color w:val="1B2118"/>
          <w:sz w:val="22"/>
        </w:rPr>
        <w:t>SecOps Task — SOC 2 Type II (label infosec, secops@adevintia.com).</w:t>
      </w:r>
    </w:p>
    <w:p>
      <w:pPr>
        <w:pStyle w:val="ListBullet"/>
      </w:pPr>
      <w:r>
        <w:rPr>
          <w:rFonts w:ascii="Calibri" w:hAnsi="Calibri" w:eastAsia="Calibri"/>
          <w:b w:val="0"/>
          <w:i w:val="0"/>
          <w:color w:val="1B2118"/>
          <w:sz w:val="22"/>
        </w:rPr>
        <w:t>AI Governance Task — bias and explainability (label ai-governance-review).</w:t>
      </w:r>
    </w:p>
    <w:p>
      <w:pPr>
        <w:spacing w:after="160" w:line="240" w:lineRule="auto"/>
      </w:pPr>
      <w:r>
        <w:rPr>
          <w:rFonts w:ascii="Calibri" w:hAnsi="Calibri" w:eastAsia="Calibri"/>
          <w:b w:val="0"/>
          <w:i/>
          <w:color w:val="4A5245"/>
          <w:sz w:val="22"/>
        </w:rPr>
        <w:t>With Jira credentials configured, tickets are created via REST API. Otherwise payloads are dry-run in the UI. Closing a Task in Jira should trigger POST /api/v1/webhooks/jira with a corporate approver email.</w:t>
      </w:r>
    </w:p>
    <w:p>
      <w:pPr>
        <w:pStyle w:val="Heading1"/>
      </w:pPr>
      <w:r>
        <w:rPr>
          <w:rFonts w:ascii="Calibri" w:hAnsi="Calibri"/>
          <w:color w:val="3D5A1F"/>
        </w:rPr>
        <w:t>6. FAQ</w:t>
      </w:r>
    </w:p>
    <w:p>
      <w:pPr>
        <w:spacing w:after="80" w:line="240" w:lineRule="auto"/>
      </w:pPr>
      <w:r>
        <w:rPr>
          <w:rFonts w:ascii="Calibri" w:hAnsi="Calibri" w:eastAsia="Calibri"/>
          <w:b/>
          <w:i w:val="0"/>
          <w:color w:val="1B2118"/>
          <w:sz w:val="22"/>
        </w:rPr>
        <w:t>What if the vendor has no SOC 2 but has ISO 27001?</w:t>
      </w:r>
    </w:p>
    <w:p>
      <w:pPr>
        <w:spacing w:after="160" w:line="240" w:lineRule="auto"/>
      </w:pPr>
      <w:r>
        <w:rPr>
          <w:rFonts w:ascii="Calibri" w:hAnsi="Calibri" w:eastAsia="Calibri"/>
          <w:b w:val="0"/>
          <w:i w:val="0"/>
          <w:color w:val="1B2118"/>
          <w:sz w:val="22"/>
        </w:rPr>
        <w:t>A website claim is not evidence. Keep the SecOps Jira Task open. SecOps reviews the actual ISO 27001 certificate and latest audit. If they accept that pack as equivalent independent assurance, they close the infosec ticket. The engine score does not drop until a file is attached in a later release. SOC 2 Type II and ISO 27001 are not the same artefact; SecOps decides equivalence.</w:t>
      </w:r>
    </w:p>
    <w:p>
      <w:pPr>
        <w:spacing w:after="80" w:line="240" w:lineRule="auto"/>
      </w:pPr>
      <w:r>
        <w:rPr>
          <w:rFonts w:ascii="Calibri" w:hAnsi="Calibri" w:eastAsia="Calibri"/>
          <w:b/>
          <w:i w:val="0"/>
          <w:color w:val="1B2118"/>
          <w:sz w:val="22"/>
        </w:rPr>
        <w:t>Who closes the AI Governance ticket if we have no dedicated AI Governance team?</w:t>
      </w:r>
    </w:p>
    <w:p>
      <w:pPr>
        <w:spacing w:after="160" w:line="240" w:lineRule="auto"/>
      </w:pPr>
      <w:r>
        <w:rPr>
          <w:rFonts w:ascii="Calibri" w:hAnsi="Calibri" w:eastAsia="Calibri"/>
          <w:b w:val="0"/>
          <w:i w:val="0"/>
          <w:color w:val="1B2118"/>
          <w:sz w:val="22"/>
        </w:rPr>
        <w:t>Do not skip the gate. Assign ai-governance-review to the closest named RACI owner (CISO, DPO plus business owner, or a risk committee member) with an @adevintia.com account. Closing it means someone accepted model risk.</w:t>
      </w:r>
    </w:p>
    <w:p>
      <w:pPr>
        <w:spacing w:after="80" w:line="240" w:lineRule="auto"/>
      </w:pPr>
      <w:r>
        <w:rPr>
          <w:rFonts w:ascii="Calibri" w:hAnsi="Calibri" w:eastAsia="Calibri"/>
          <w:b/>
          <w:i w:val="0"/>
          <w:color w:val="1B2118"/>
          <w:sz w:val="22"/>
        </w:rPr>
        <w:t>Why is residual risk still High after I checked the DPA box?</w:t>
      </w:r>
    </w:p>
    <w:p>
      <w:pPr>
        <w:spacing w:after="160" w:line="240" w:lineRule="auto"/>
      </w:pPr>
      <w:r>
        <w:rPr>
          <w:rFonts w:ascii="Calibri" w:hAnsi="Calibri" w:eastAsia="Calibri"/>
          <w:b w:val="0"/>
          <w:i w:val="0"/>
          <w:color w:val="1B2118"/>
          <w:sz w:val="22"/>
        </w:rPr>
        <w:t>A checkbox is a declaration. Without the signed PDF, the control is declared_unverified. Missing evidence never lowers the score.</w:t>
      </w:r>
    </w:p>
    <w:p>
      <w:pPr>
        <w:spacing w:after="80" w:line="240" w:lineRule="auto"/>
      </w:pPr>
      <w:r>
        <w:rPr>
          <w:rFonts w:ascii="Calibri" w:hAnsi="Calibri" w:eastAsia="Calibri"/>
          <w:b/>
          <w:i w:val="0"/>
          <w:color w:val="1B2118"/>
          <w:sz w:val="22"/>
        </w:rPr>
        <w:t>Can chat or the LLM approve the vendor?</w:t>
      </w:r>
    </w:p>
    <w:p>
      <w:pPr>
        <w:spacing w:after="160" w:line="240" w:lineRule="auto"/>
      </w:pPr>
      <w:r>
        <w:rPr>
          <w:rFonts w:ascii="Calibri" w:hAnsi="Calibri" w:eastAsia="Calibri"/>
          <w:b w:val="0"/>
          <w:i w:val="0"/>
          <w:color w:val="1B2118"/>
          <w:sz w:val="22"/>
        </w:rPr>
        <w:t>No. Chat explains the report. The structured assistant card and the decision bar show engine triage only. Closing Legal, SecOps, and AI Governance Tasks produces DEPARTMENT_GATES_COMPLETED, which still awaits a final decision-maker.</w:t>
      </w:r>
    </w:p>
    <w:p>
      <w:pPr>
        <w:pStyle w:val="Heading1"/>
      </w:pPr>
      <w:r>
        <w:rPr>
          <w:rFonts w:ascii="Calibri" w:hAnsi="Calibri"/>
          <w:color w:val="3D5A1F"/>
        </w:rPr>
        <w:t>7. Legal disclaimer</w:t>
      </w:r>
    </w:p>
    <w:p>
      <w:pPr>
        <w:spacing w:after="160" w:line="240" w:lineRule="auto"/>
      </w:pPr>
      <w:r>
        <w:rPr>
          <w:rFonts w:ascii="Calibri" w:hAnsi="Calibri" w:eastAsia="Calibri"/>
          <w:b w:val="0"/>
          <w:i/>
          <w:color w:val="1B2118"/>
          <w:sz w:val="22"/>
        </w:rPr>
        <w:t>This console does not provide legal advice. It does not replace a DPO opinion, signed contracts, or independent security audits. Residual risk does not decrease because a vendor claims compliance on a website.</w:t>
      </w:r>
    </w:p>
    <w:p>
      <w:pPr>
        <w:pStyle w:val="Heading1"/>
      </w:pPr>
      <w:r>
        <w:rPr>
          <w:rFonts w:ascii="Calibri" w:hAnsi="Calibri"/>
          <w:color w:val="3D5A1F"/>
        </w:rPr>
        <w:t>8. Document history</w:t>
      </w:r>
    </w:p>
    <w:tbl>
      <w:tblPr>
        <w:tblStyle w:val="TableGrid"/>
        <w:tblW w:type="auto" w:w="0"/>
        <w:tblLook w:firstColumn="1" w:firstRow="1" w:lastColumn="0" w:lastRow="0" w:noHBand="0" w:noVBand="1" w:val="04A0"/>
      </w:tblPr>
      <w:tblGrid>
        <w:gridCol w:w="3249"/>
        <w:gridCol w:w="3249"/>
        <w:gridCol w:w="3249"/>
      </w:tblGrid>
      <w:tr>
        <w:tc>
          <w:tcPr>
            <w:tcW w:type="dxa" w:w="3249"/>
            <w:shd w:fill="1B2118" w:val="clear"/>
          </w:tcPr>
          <w:p>
            <w:r/>
            <w:r>
              <w:rPr>
                <w:rFonts w:ascii="Calibri" w:hAnsi="Calibri" w:eastAsia="Calibri"/>
                <w:b/>
                <w:i w:val="0"/>
                <w:color w:val="FFFFFF"/>
                <w:sz w:val="20"/>
              </w:rPr>
              <w:t>Version</w:t>
            </w:r>
          </w:p>
        </w:tc>
        <w:tc>
          <w:tcPr>
            <w:tcW w:type="dxa" w:w="3249"/>
            <w:shd w:fill="1B2118" w:val="clear"/>
          </w:tcPr>
          <w:p>
            <w:r/>
            <w:r>
              <w:rPr>
                <w:rFonts w:ascii="Calibri" w:hAnsi="Calibri" w:eastAsia="Calibri"/>
                <w:b/>
                <w:i w:val="0"/>
                <w:color w:val="FFFFFF"/>
                <w:sz w:val="20"/>
              </w:rPr>
              <w:t>Date</w:t>
            </w:r>
          </w:p>
        </w:tc>
        <w:tc>
          <w:tcPr>
            <w:tcW w:type="dxa" w:w="3249"/>
            <w:shd w:fill="1B2118" w:val="clear"/>
          </w:tcPr>
          <w:p>
            <w:r/>
            <w:r>
              <w:rPr>
                <w:rFonts w:ascii="Calibri" w:hAnsi="Calibri" w:eastAsia="Calibri"/>
                <w:b/>
                <w:i w:val="0"/>
                <w:color w:val="FFFFFF"/>
                <w:sz w:val="20"/>
              </w:rPr>
              <w:t>Changes</w:t>
            </w:r>
          </w:p>
        </w:tc>
      </w:tr>
      <w:tr>
        <w:tc>
          <w:tcPr>
            <w:tcW w:type="dxa" w:w="3249"/>
            <w:shd w:fill="FFFFFF" w:val="clear"/>
          </w:tcPr>
          <w:p>
            <w:r/>
            <w:r>
              <w:rPr>
                <w:rFonts w:ascii="Calibri" w:hAnsi="Calibri" w:eastAsia="Calibri"/>
                <w:b w:val="0"/>
                <w:i w:val="0"/>
                <w:color w:val="1B2118"/>
                <w:sz w:val="20"/>
              </w:rPr>
              <w:t>1.7</w:t>
            </w:r>
          </w:p>
        </w:tc>
        <w:tc>
          <w:tcPr>
            <w:tcW w:type="dxa" w:w="3249"/>
            <w:shd w:fill="FFFFFF" w:val="clear"/>
          </w:tcPr>
          <w:p>
            <w:r/>
            <w:r>
              <w:rPr>
                <w:rFonts w:ascii="Calibri" w:hAnsi="Calibri" w:eastAsia="Calibri"/>
                <w:b w:val="0"/>
                <w:i w:val="0"/>
                <w:color w:val="1B2118"/>
                <w:sz w:val="20"/>
              </w:rPr>
              <w:t>2026-08-19</w:t>
            </w:r>
          </w:p>
        </w:tc>
        <w:tc>
          <w:tcPr>
            <w:tcW w:type="dxa" w:w="3249"/>
            <w:shd w:fill="FFFFFF" w:val="clear"/>
          </w:tcPr>
          <w:p>
            <w:r/>
            <w:r>
              <w:rPr>
                <w:rFonts w:ascii="Calibri" w:hAnsi="Calibri" w:eastAsia="Calibri"/>
                <w:b w:val="0"/>
                <w:i w:val="0"/>
                <w:color w:val="1B2118"/>
                <w:sz w:val="20"/>
              </w:rPr>
              <w:t>Tabbed report, audit chips, disclosure rows, assistant card, form contrast</w:t>
            </w:r>
          </w:p>
        </w:tc>
      </w:tr>
      <w:tr>
        <w:tc>
          <w:tcPr>
            <w:tcW w:type="dxa" w:w="3249"/>
            <w:shd w:fill="F3F5EE" w:val="clear"/>
          </w:tcPr>
          <w:p>
            <w:r/>
            <w:r>
              <w:rPr>
                <w:rFonts w:ascii="Calibri" w:hAnsi="Calibri" w:eastAsia="Calibri"/>
                <w:b w:val="0"/>
                <w:i w:val="0"/>
                <w:color w:val="1B2118"/>
                <w:sz w:val="20"/>
              </w:rPr>
              <w:t>1.6</w:t>
            </w:r>
          </w:p>
        </w:tc>
        <w:tc>
          <w:tcPr>
            <w:tcW w:type="dxa" w:w="3249"/>
            <w:shd w:fill="F3F5EE" w:val="clear"/>
          </w:tcPr>
          <w:p>
            <w:r/>
            <w:r>
              <w:rPr>
                <w:rFonts w:ascii="Calibri" w:hAnsi="Calibri" w:eastAsia="Calibri"/>
                <w:b w:val="0"/>
                <w:i w:val="0"/>
                <w:color w:val="1B2118"/>
                <w:sz w:val="20"/>
              </w:rPr>
              <w:t>2026-08-18</w:t>
            </w:r>
          </w:p>
        </w:tc>
        <w:tc>
          <w:tcPr>
            <w:tcW w:type="dxa" w:w="3249"/>
            <w:shd w:fill="F3F5EE" w:val="clear"/>
          </w:tcPr>
          <w:p>
            <w:r/>
            <w:r>
              <w:rPr>
                <w:rFonts w:ascii="Calibri" w:hAnsi="Calibri" w:eastAsia="Calibri"/>
                <w:b w:val="0"/>
                <w:i w:val="0"/>
                <w:color w:val="1B2118"/>
                <w:sz w:val="20"/>
              </w:rPr>
              <w:t>Console map, FAQ (ISO 27001 vs SOC 2, missing AI Gov team)</w:t>
            </w:r>
          </w:p>
        </w:tc>
      </w:tr>
      <w:tr>
        <w:tc>
          <w:tcPr>
            <w:tcW w:type="dxa" w:w="3249"/>
            <w:shd w:fill="FFFFFF" w:val="clear"/>
          </w:tcPr>
          <w:p>
            <w:r/>
            <w:r>
              <w:rPr>
                <w:rFonts w:ascii="Calibri" w:hAnsi="Calibri" w:eastAsia="Calibri"/>
                <w:b w:val="0"/>
                <w:i w:val="0"/>
                <w:color w:val="1B2118"/>
                <w:sz w:val="20"/>
              </w:rPr>
              <w:t>1.5</w:t>
            </w:r>
          </w:p>
        </w:tc>
        <w:tc>
          <w:tcPr>
            <w:tcW w:type="dxa" w:w="3249"/>
            <w:shd w:fill="FFFFFF" w:val="clear"/>
          </w:tcPr>
          <w:p>
            <w:r/>
            <w:r>
              <w:rPr>
                <w:rFonts w:ascii="Calibri" w:hAnsi="Calibri" w:eastAsia="Calibri"/>
                <w:b w:val="0"/>
                <w:i w:val="0"/>
                <w:color w:val="1B2118"/>
                <w:sz w:val="20"/>
              </w:rPr>
              <w:t>2026-08-14</w:t>
            </w:r>
          </w:p>
        </w:tc>
        <w:tc>
          <w:tcPr>
            <w:tcW w:type="dxa" w:w="3249"/>
            <w:shd w:fill="FFFFFF" w:val="clear"/>
          </w:tcPr>
          <w:p>
            <w:r/>
            <w:r>
              <w:rPr>
                <w:rFonts w:ascii="Calibri" w:hAnsi="Calibri" w:eastAsia="Calibri"/>
                <w:b w:val="0"/>
                <w:i w:val="0"/>
                <w:color w:val="1B2118"/>
                <w:sz w:val="20"/>
              </w:rPr>
              <w:t>English UI; Jira Epic + Tasks; webhook approvals; comprehensive docs</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