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40" w:lineRule="auto"/>
        <w:jc w:val="center"/>
      </w:pPr>
      <w:r>
        <w:rPr>
          <w:rFonts w:ascii="Calibri" w:hAnsi="Calibri" w:eastAsia="Calibri"/>
          <w:b/>
          <w:i w:val="0"/>
          <w:color w:val="3D5A1F"/>
          <w:sz w:val="22"/>
        </w:rPr>
        <w:t>RESPONSIBLE AI GOVERNANCE  ·  V2 ROADMAP</w:t>
      </w:r>
    </w:p>
    <w:p>
      <w:pPr>
        <w:spacing w:after="80" w:before="0" w:line="240" w:lineRule="auto"/>
        <w:jc w:val="center"/>
      </w:pPr>
      <w:r>
        <w:rPr>
          <w:rFonts w:ascii="Calibri" w:hAnsi="Calibri" w:eastAsia="Calibri"/>
          <w:b/>
          <w:i w:val="0"/>
          <w:color w:val="1B2118"/>
          <w:sz w:val="52"/>
        </w:rPr>
        <w:t>V2 improvements</w:t>
      </w:r>
    </w:p>
    <w:p>
      <w:pPr>
        <w:spacing w:after="320" w:before="0" w:line="240" w:lineRule="auto"/>
        <w:jc w:val="center"/>
      </w:pPr>
      <w:r>
        <w:rPr>
          <w:rFonts w:ascii="Calibri" w:hAnsi="Calibri" w:eastAsia="Calibri"/>
          <w:b w:val="0"/>
          <w:i/>
          <w:color w:val="4A5245"/>
          <w:sz w:val="26"/>
        </w:rPr>
        <w:t>From a production-oriented reference implementation to an enterprise control plane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4873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Date</w:t>
            </w:r>
          </w:p>
        </w:tc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2026-08-19</w:t>
            </w:r>
          </w:p>
        </w:tc>
      </w:tr>
      <w:tr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Audience</w:t>
            </w:r>
          </w:p>
        </w:tc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Reviewers, hiring managers, and anyone scoring this as a portfolio product</w:t>
            </w:r>
          </w:p>
        </w:tc>
      </w:tr>
      <w:tr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Honest label today</w:t>
            </w:r>
          </w:p>
        </w:tc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Production-oriented reference implementation (Demo / PoC). Not a production-ready enterprise platform.</w:t>
            </w:r>
          </w:p>
        </w:tc>
      </w:tr>
      <w:tr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Target after v2</w:t>
            </w:r>
          </w:p>
        </w:tc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Durable, tenant-isolated control plane with an electronic DPIA workspace and a real evidence repository</w:t>
            </w:r>
          </w:p>
        </w:tc>
      </w:tr>
      <w:tr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What must not change</w:t>
            </w:r>
          </w:p>
        </w:tc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Evidence → controls → risk factors → deterministic score → triage → human Jira gates. LLM never decides.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3D5A1F"/>
        </w:rPr>
        <w:t>1. Why this document exists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B2118"/>
          <w:sz w:val="22"/>
        </w:rPr>
        <w:t>v1 already has the hard parts that most “AI compliance” demos skip: a deterministic engine, EvidenceItem distinct from findings, PrivacyTriage as a first-class object, DecisionRecord, Jira department gates, and EVIDENCE NOT FOUND instead of invented certifications.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B2118"/>
          <w:sz w:val="22"/>
        </w:rPr>
        <w:t>That is why the product scores well as architecture. It still loses points in three places that an auditor, a DPO, or a sceptical reviewer will find in minutes. This document specifies those gaps without rewriting the product story. Closing them is the difference between a strong reference implementation (~8.5) and a credible enterprise control plane (~9.0+).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436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Gap</w:t>
            </w:r>
          </w:p>
        </w:tc>
        <w:tc>
          <w:tcPr>
            <w:tcW w:type="dxa" w:w="2436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v1 actually does</w:t>
            </w:r>
          </w:p>
        </w:tc>
        <w:tc>
          <w:tcPr>
            <w:tcW w:type="dxa" w:w="2436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Why it still loses points</w:t>
            </w:r>
          </w:p>
        </w:tc>
      </w:tr>
      <w:tr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1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Persistence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In-memory store keyed by assessment_id, with TTL and an access token.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Restart, second worker, or tenant isolation still fail. Durable audit is not possible in RAM.</w:t>
            </w:r>
          </w:p>
        </w:tc>
      </w:tr>
      <w:tr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2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Electronic DPIA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CTRL-DPIA checks status + reference. PrivacyTriage can say “DPIA review indicated”.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That is a control over a DPIA, not a DPIA. No screening, risks, residual risk, DPO approval, or version.</w:t>
            </w:r>
          </w:p>
        </w:tc>
      </w:tr>
      <w:tr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3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Documentary evidence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EvidenceItem records control_id, document name, excerpt, status, timestamp, confidence.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There is no file. SOC 2, DPA PDF, ISO, model cards, and clauses stay missing or declared_unverified.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3D5A1F"/>
        </w:rPr>
        <w:t>2. Commercial framing — keep this honest</w:t>
      </w:r>
    </w:p>
    <w:p>
      <w:pPr>
        <w:spacing w:after="80" w:before="0" w:line="240" w:lineRule="auto"/>
      </w:pPr>
      <w:r>
        <w:rPr>
          <w:rFonts w:ascii="Calibri" w:hAnsi="Calibri" w:eastAsia="Calibri"/>
          <w:b/>
          <w:i w:val="0"/>
          <w:color w:val="1B2118"/>
          <w:sz w:val="22"/>
        </w:rPr>
        <w:t>Do not sell v1 as: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/>
          <w:color w:val="1B2118"/>
          <w:sz w:val="22"/>
        </w:rPr>
        <w:t>“Production-ready enterprise platform.”</w:t>
      </w:r>
    </w:p>
    <w:p>
      <w:pPr>
        <w:spacing w:after="80" w:before="160" w:line="240" w:lineRule="auto"/>
      </w:pPr>
      <w:r>
        <w:rPr>
          <w:rFonts w:ascii="Calibri" w:hAnsi="Calibri" w:eastAsia="Calibri"/>
          <w:b/>
          <w:i w:val="0"/>
          <w:color w:val="1B2118"/>
          <w:sz w:val="22"/>
        </w:rPr>
        <w:t>Sell v1 as: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/>
          <w:color w:val="1B2118"/>
          <w:sz w:val="22"/>
        </w:rPr>
        <w:t>Production-oriented reference implementation of an Enterprise AI Governance &amp; Risk Control Layer.</w:t>
      </w:r>
    </w:p>
    <w:p>
      <w:pPr>
        <w:spacing w:after="160" w:before="160" w:line="240" w:lineRule="auto"/>
      </w:pPr>
      <w:r>
        <w:rPr>
          <w:rFonts w:ascii="Calibri" w:hAnsi="Calibri" w:eastAsia="Calibri"/>
          <w:b w:val="0"/>
          <w:i w:val="0"/>
          <w:color w:val="1B2118"/>
          <w:sz w:val="22"/>
        </w:rPr>
        <w:t>The architecture, the ADRs, the conservative scoring, and the Jira gates are production-shaped. The runtime is not. Reviewers respect that distinction. Inflating the claim is the fastest way to lose the points the design has already earned.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Claim</w:t>
            </w:r>
          </w:p>
        </w:tc>
        <w:tc>
          <w:tcPr>
            <w:tcW w:type="dxa" w:w="3249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</w:t>
            </w:r>
          </w:p>
        </w:tc>
        <w:tc>
          <w:tcPr>
            <w:tcW w:type="dxa" w:w="3249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After v2</w:t>
            </w:r>
          </w:p>
        </w:tc>
      </w:tr>
      <w:tr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Reproducible triage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Yes, for one process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Yes, across workers and restarts</w:t>
            </w:r>
          </w:p>
        </w:tc>
      </w:tr>
      <w:tr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Multi-tenant isolation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No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PostgreSQL + tenant_id + RLS</w:t>
            </w:r>
          </w:p>
        </w:tc>
      </w:tr>
      <w:tr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DPIA as a work product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Status / reference only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Full workspace with version and DPO sign-off</w:t>
            </w:r>
          </w:p>
        </w:tc>
      </w:tr>
      <w:tr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Evidence as a file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No uploads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Hashed artifacts bound to controls</w:t>
            </w:r>
          </w:p>
        </w:tc>
      </w:tr>
      <w:tr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Audit question: show the pack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JSON evidence_pack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JSON + files + SHA-256 + reviewer decision</w:t>
            </w:r>
          </w:p>
        </w:tc>
      </w:tr>
      <w:tr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Engine APPROVE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Never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Still never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3D5A1F"/>
        </w:rPr>
        <w:t>3. Gap 1 — Durable persistence and tenant isolation</w:t>
      </w:r>
    </w:p>
    <w:p>
      <w:pPr>
        <w:pStyle w:val="Heading2"/>
      </w:pPr>
      <w:r>
        <w:rPr>
          <w:rFonts w:ascii="Calibri" w:hAnsi="Calibri"/>
          <w:color w:val="1B2118"/>
        </w:rPr>
        <w:t>Current state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B2118"/>
          <w:sz w:val="22"/>
        </w:rPr>
        <w:t>app/store.py is no longer a naive singleton. It keys sessions by assessment_id, uses a threading lock, expires sessions, caps memory, and can require an access token. That is enough for a demo and for concurrent local tests. It is still RAM. Production must replace this module.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Restarting uvicorn erases assessments, DecisionRecords, and webhook event ids.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Two uvicorn workers do not share memory; the same assessment_id is not one object.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There is no tenant_id. One process is one implicit tenant.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DecisionRecord can be overwritten in place when a Jira webhook arrives. That is not an append-only audit log.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Chat history is client-side. Correct for privacy in a PoC; insufficient if Legal later asks “what did the assistant say on Tuesday?”</w:t>
      </w:r>
    </w:p>
    <w:p>
      <w:pPr>
        <w:pStyle w:val="Heading2"/>
      </w:pPr>
      <w:r>
        <w:rPr>
          <w:rFonts w:ascii="Calibri" w:hAnsi="Calibri"/>
          <w:color w:val="1B2118"/>
        </w:rPr>
        <w:t>v2 target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B2118"/>
          <w:sz w:val="22"/>
        </w:rPr>
        <w:t>Replace the store, not the scoring engine. Pydantic models stay the governance contract (ADR-7). PostgreSQL is the source of truth. Redis, if used, is only a UI cache.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Object</w:t>
            </w:r>
          </w:p>
        </w:tc>
        <w:tc>
          <w:tcPr>
            <w:tcW w:type="dxa" w:w="3249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Table / store</w:t>
            </w:r>
          </w:p>
        </w:tc>
        <w:tc>
          <w:tcPr>
            <w:tcW w:type="dxa" w:w="3249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Rules</w:t>
            </w:r>
          </w:p>
        </w:tc>
      </w:tr>
      <w:tr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Tenant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tenants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Stable id, name, region, retention policy. All other rows carry tenant_id.</w:t>
            </w:r>
          </w:p>
        </w:tc>
      </w:tr>
      <w:tr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Vendor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vendors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Unique per tenant. Re-assessments attach to the same vendor, not a new orphan.</w:t>
            </w:r>
          </w:p>
        </w:tc>
      </w:tr>
      <w:tr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Assessment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assessments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UUID PK. intake JSON + engine_version + created_at. Never mutate intake after score.</w:t>
            </w:r>
          </w:p>
        </w:tc>
      </w:tr>
      <w:tr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DecisionRecord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decision_records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INSERT only. Correction = new row with supersedes_id. DB trigger blocks UPDATE/DELETE.</w:t>
            </w:r>
          </w:p>
        </w:tc>
      </w:tr>
      <w:tr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Jira mapping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jira_issues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issue.key → assessment_id. Webhooks must not bind to “latest in RAM”.</w:t>
            </w:r>
          </w:p>
        </w:tc>
      </w:tr>
      <w:tr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Webhook events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processed_events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event_id unique per tenant. Survives restart (today it does not).</w:t>
            </w:r>
          </w:p>
        </w:tc>
      </w:tr>
      <w:tr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Audit hash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evidence_packs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Canonical JSON + sha256. Export includes engine version.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2118"/>
        </w:rPr>
        <w:t>Tenant isolation (non-negotiable)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color w:val="1B2118"/>
          <w:sz w:val="22"/>
        </w:rPr>
        <w:t>Row-level security:</w:t>
      </w:r>
      <w:r>
        <w:rPr>
          <w:rFonts w:ascii="Calibri" w:hAnsi="Calibri" w:eastAsia="Calibri"/>
          <w:b w:val="0"/>
          <w:i w:val="0"/>
          <w:color w:val="1B2118"/>
          <w:sz w:val="22"/>
        </w:rPr>
        <w:t xml:space="preserve"> every query is scoped. No SELECT without tenant_id in the WHERE clause.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color w:val="1B2118"/>
          <w:sz w:val="22"/>
        </w:rPr>
        <w:t>Auth:</w:t>
      </w:r>
      <w:r>
        <w:rPr>
          <w:rFonts w:ascii="Calibri" w:hAnsi="Calibri" w:eastAsia="Calibri"/>
          <w:b w:val="0"/>
          <w:i w:val="0"/>
          <w:color w:val="1B2118"/>
          <w:sz w:val="22"/>
        </w:rPr>
        <w:t xml:space="preserve"> access tokens become short-lived session credentials, not the isolation boundary.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color w:val="1B2118"/>
          <w:sz w:val="22"/>
        </w:rPr>
        <w:t>Identity:</w:t>
      </w:r>
      <w:r>
        <w:rPr>
          <w:rFonts w:ascii="Calibri" w:hAnsi="Calibri" w:eastAsia="Calibri"/>
          <w:b w:val="0"/>
          <w:i w:val="0"/>
          <w:color w:val="1B2118"/>
          <w:sz w:val="22"/>
        </w:rPr>
        <w:t xml:space="preserve"> SSO (OIDC) maps user → tenant + RACI role (assessor, legal, infosec, aigov, auditor, admin).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color w:val="1B2118"/>
          <w:sz w:val="22"/>
        </w:rPr>
        <w:t>Environments:</w:t>
      </w:r>
      <w:r>
        <w:rPr>
          <w:rFonts w:ascii="Calibri" w:hAnsi="Calibri" w:eastAsia="Calibri"/>
          <w:b w:val="0"/>
          <w:i w:val="0"/>
          <w:color w:val="1B2118"/>
          <w:sz w:val="22"/>
        </w:rPr>
        <w:t xml:space="preserve"> demo tenants and live tenants must not share a database without schema or RLS separation.</w:t>
      </w:r>
    </w:p>
    <w:p>
      <w:pPr>
        <w:pStyle w:val="Heading2"/>
      </w:pPr>
      <w:r>
        <w:rPr>
          <w:rFonts w:ascii="Calibri" w:hAnsi="Calibri"/>
          <w:color w:val="1B2118"/>
        </w:rPr>
        <w:t>Acceptance criteria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Restarting the API does not lose assessments, packs, or processed webhook ids.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Two workers return the same assessment for the same assessment_id.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Tenant A cannot read Tenant B’s assessments by guessing a UUID.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Direct UPDATE on decision_records fails or emits a tamper event.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Jira webhook resolves assessment_id from issue.key, never from “latest session”.</w:t>
      </w:r>
    </w:p>
    <w:p>
      <w:pPr>
        <w:pStyle w:val="Heading1"/>
      </w:pPr>
      <w:r>
        <w:rPr>
          <w:rFonts w:ascii="Calibri" w:hAnsi="Calibri"/>
          <w:color w:val="3D5A1F"/>
        </w:rPr>
        <w:t>4. Gap 2 — DPIA Workspace / DPIA Generator</w:t>
      </w:r>
    </w:p>
    <w:p>
      <w:pPr>
        <w:pStyle w:val="Heading2"/>
      </w:pPr>
      <w:r>
        <w:rPr>
          <w:rFonts w:ascii="Calibri" w:hAnsi="Calibri"/>
          <w:color w:val="1B2118"/>
        </w:rPr>
        <w:t>Current state — a control over the DPIA, not a DPIA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B2118"/>
          <w:sz w:val="22"/>
        </w:rPr>
        <w:t>ADR-10 was the right call: GDPR is not a has_dpa checkbox. PrivacyTriage already captures purposes, subjects, Art. 9, transfers, retention, and automated decisions. CTRL-DPIA can fail the vendor when a DPIA is indicated and no reference exists.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B2118"/>
          <w:sz w:val="22"/>
        </w:rPr>
        <w:t>That is still a gate, not a work product. The engine can say “DPIA review indicated” and check dpia_status / dpia_reference. It does not generate, version, or manage an electronic DPIA. A DPO cannot complete Art. 35 work inside this console. Legal’s Jira ticket still says “Review DPA and approve DPIA” while the DPIA itself lives in email or a Word file elsewhere.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 object</w:t>
            </w:r>
          </w:p>
        </w:tc>
        <w:tc>
          <w:tcPr>
            <w:tcW w:type="dxa" w:w="3249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it is</w:t>
            </w:r>
          </w:p>
        </w:tc>
        <w:tc>
          <w:tcPr>
            <w:tcW w:type="dxa" w:w="3249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it is not</w:t>
            </w:r>
          </w:p>
        </w:tc>
      </w:tr>
      <w:tr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PrivacyTriage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Screening signal used by the engine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 DPIA document</w:t>
            </w:r>
          </w:p>
        </w:tc>
      </w:tr>
      <w:tr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CTRL-DPIA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Control: is a completed DPIA evidenced?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The assessment of necessity, risks, and residual risk</w:t>
            </w:r>
          </w:p>
        </w:tc>
      </w:tr>
      <w:tr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dpia_reference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External id string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Versioned content with DPO sign-off</w:t>
            </w:r>
          </w:p>
        </w:tc>
      </w:tr>
      <w:tr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privacy_risk_level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Business-declared label; does not override score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DPO residual-risk determination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2118"/>
        </w:rPr>
        <w:t>v2 target — electronic DPIA lifecycle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B2118"/>
          <w:sz w:val="22"/>
        </w:rPr>
        <w:t>Add a DPIA Workspace that is triggered by PrivacyTriage and becomes the evidence for CTRL-DPIA. The engine still does not approve the vendor. The DPO approves the DPIA. The engine only checks that an approved, in-date DPIA exists when one is indicated.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Stage</w:t>
            </w:r>
          </w:p>
        </w:tc>
        <w:tc>
          <w:tcPr>
            <w:tcW w:type="dxa" w:w="2436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Owner</w:t>
            </w:r>
          </w:p>
        </w:tc>
        <w:tc>
          <w:tcPr>
            <w:tcW w:type="dxa" w:w="2436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Required output</w:t>
            </w:r>
          </w:p>
        </w:tc>
        <w:tc>
          <w:tcPr>
            <w:tcW w:type="dxa" w:w="2436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Engine effect</w:t>
            </w:r>
          </w:p>
        </w:tc>
      </w:tr>
      <w:tr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1. Trigger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Engine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privacy_assessment_required + dpia_decision_basis from current intake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Opens workspace when indicated; never skips Legal</w:t>
            </w:r>
          </w:p>
        </w:tc>
      </w:tr>
      <w:tr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2. Screening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Assessor + Legal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Art. 35 / WP248 criteria: systematic evaluation, special categories, large scale, vulnerable subjects, ADM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If screening = not required, CTRL-DPIA may become not_applicable after DPO confirms</w:t>
            </w:r>
          </w:p>
        </w:tc>
      </w:tr>
      <w:tr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3. Necessity &amp; proportionality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Business + Legal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Purposes, lawful basis, data minimisation, alternatives considered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Incomplete stage keeps CTRL-DPIA = fail</w:t>
            </w:r>
          </w:p>
        </w:tc>
      </w:tr>
      <w:tr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4. Risks to data subjects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Assessor + DPO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Risk register: likelihood × severity for identified harms (discrimination, re-identification, chilling effect, etc.)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No risks documented → DPIA cannot be marked complete</w:t>
            </w:r>
          </w:p>
        </w:tc>
      </w:tr>
      <w:tr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5. Controls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Legal + InfoSec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Each risk mapped to a control and, where possible, to an EvidenceArtifact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Unbound controls stay residual; they do not silently pass</w:t>
            </w:r>
          </w:p>
        </w:tc>
      </w:tr>
      <w:tr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6. Residual risk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DPO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DPO residual-risk statement. Distinct from engine residual risk.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Engine score is unchanged by this field. Both are stored.</w:t>
            </w:r>
          </w:p>
        </w:tc>
      </w:tr>
      <w:tr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7. DPO review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DPO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Review notes, consultation record, objections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CTRL-DPIA stays fail until this stage is closed</w:t>
            </w:r>
          </w:p>
        </w:tc>
      </w:tr>
      <w:tr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8. Approval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DPO / accountable owner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Approve / reject / approve with conditions. Named reviewer + timestamp.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Only approved DPIA can set CTRL-DPIA = present</w:t>
            </w:r>
          </w:p>
        </w:tc>
      </w:tr>
      <w:tr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9. Version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System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dpia_id + version. Edits create a new version; previous versions remain readable.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Engine binds to a specific version hash</w:t>
            </w:r>
          </w:p>
        </w:tc>
      </w:tr>
      <w:tr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10. Review date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System + DPO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Next review date. Material change of processing reopens screening.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Expired DPIA → CTRL-DPIA = insufficient, score does not drop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2118"/>
        </w:rPr>
        <w:t>Workspace object (governance contract)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B2118"/>
          <w:sz w:val="22"/>
        </w:rPr>
        <w:t>New Pydantic models (names indicative): DpiaWorkspace, DpiaStage, DpiaRisk, DpiaControlLink. They live next to PrivacyTriage. PrivacyTriage remains the engine’s screening snapshot. The workspace is the living document.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4873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dpia_id</w:t>
            </w:r>
          </w:p>
        </w:tc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Stable UUID for the DPIA work product</w:t>
            </w:r>
          </w:p>
        </w:tc>
      </w:tr>
      <w:tr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assessment_id / vendor_id / tenant_id</w:t>
            </w:r>
          </w:p>
        </w:tc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Lineage. One vendor may have many DPIA versions.</w:t>
            </w:r>
          </w:p>
        </w:tc>
      </w:tr>
      <w:tr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status</w:t>
            </w:r>
          </w:p>
        </w:tc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draft | screening | in_progress | dpo_review | approved | rejected | superseded | review_due</w:t>
            </w:r>
          </w:p>
        </w:tc>
      </w:tr>
      <w:tr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trigger_basis</w:t>
            </w:r>
          </w:p>
        </w:tc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Copied from PrivacyTriage.dpia_decision_basis so the trigger is auditable</w:t>
            </w:r>
          </w:p>
        </w:tc>
      </w:tr>
      <w:tr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screening_outcome</w:t>
            </w:r>
          </w:p>
        </w:tc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required | not_required | inconclusive — DPO-owned, not checkbox-owned</w:t>
            </w:r>
          </w:p>
        </w:tc>
      </w:tr>
      <w:tr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necessity_statement</w:t>
            </w:r>
          </w:p>
        </w:tc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Purpose, lawful basis, proportionality, alternatives</w:t>
            </w:r>
          </w:p>
        </w:tc>
      </w:tr>
      <w:tr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risks[]</w:t>
            </w:r>
          </w:p>
        </w:tc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harm, data_subjects, likelihood, severity, inherent_risk</w:t>
            </w:r>
          </w:p>
        </w:tc>
      </w:tr>
      <w:tr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controls[]</w:t>
            </w:r>
          </w:p>
        </w:tc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control_id, description, evidence_artifact_id, residual_after_control</w:t>
            </w:r>
          </w:p>
        </w:tc>
      </w:tr>
      <w:tr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dpo_residual_risk</w:t>
            </w:r>
          </w:p>
        </w:tc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Very Low … Critical — DPO opinion, not engine score</w:t>
            </w:r>
          </w:p>
        </w:tc>
      </w:tr>
      <w:tr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dpo_reviewer / approved_at</w:t>
            </w:r>
          </w:p>
        </w:tc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Human gate. Same discipline as Jira Legal approval.</w:t>
            </w:r>
          </w:p>
        </w:tc>
      </w:tr>
      <w:tr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version / content_sha256 / review_by</w:t>
            </w:r>
          </w:p>
        </w:tc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Immutability and recertification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2118"/>
        </w:rPr>
        <w:t>LLM role inside the DPIA Workspace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B2118"/>
          <w:sz w:val="22"/>
        </w:rPr>
        <w:t>The model may draft screening questions, risk language, and control suggestions from intake JSON and attached documents. It must not set screening_outcome, dpo_residual_risk, or approval. Unattested draft text is labelled “AI-assisted draft — not evidence.” Missing documents still return EVIDENCE NOT FOUND. This preserves ADR-2 and ADR-9.</w:t>
      </w:r>
    </w:p>
    <w:p>
      <w:pPr>
        <w:pStyle w:val="Heading2"/>
      </w:pPr>
      <w:r>
        <w:rPr>
          <w:rFonts w:ascii="Calibri" w:hAnsi="Calibri"/>
          <w:color w:val="1B2118"/>
        </w:rPr>
        <w:t>Jira interaction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color w:val="1B2118"/>
          <w:sz w:val="22"/>
        </w:rPr>
        <w:t>Legal ticket:</w:t>
      </w:r>
      <w:r>
        <w:rPr>
          <w:rFonts w:ascii="Calibri" w:hAnsi="Calibri" w:eastAsia="Calibri"/>
          <w:b w:val="0"/>
          <w:i w:val="0"/>
          <w:color w:val="1B2118"/>
          <w:sz w:val="22"/>
        </w:rPr>
        <w:t xml:space="preserve"> Legal Task remains the department gate. Closing it without an approved DPIA (when indicated) is a process exception, not an engine pass.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color w:val="1B2118"/>
          <w:sz w:val="22"/>
        </w:rPr>
        <w:t>Deep link:</w:t>
      </w:r>
      <w:r>
        <w:rPr>
          <w:rFonts w:ascii="Calibri" w:hAnsi="Calibri" w:eastAsia="Calibri"/>
          <w:b w:val="0"/>
          <w:i w:val="0"/>
          <w:color w:val="1B2118"/>
          <w:sz w:val="22"/>
        </w:rPr>
        <w:t xml:space="preserve"> the Legal description links to /dpia/{dpia_id}. Reviewers work in the workspace, then close Jira.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color w:val="1B2118"/>
          <w:sz w:val="22"/>
        </w:rPr>
        <w:t>Control binding:</w:t>
      </w:r>
      <w:r>
        <w:rPr>
          <w:rFonts w:ascii="Calibri" w:hAnsi="Calibri" w:eastAsia="Calibri"/>
          <w:b w:val="0"/>
          <w:i w:val="0"/>
          <w:color w:val="1B2118"/>
          <w:sz w:val="22"/>
        </w:rPr>
        <w:t xml:space="preserve"> CTRL-DPIA evidence_status=present only when workspace.status=approved, version hash stored, review_by in the future, and DPO identity recorded.</w:t>
      </w:r>
    </w:p>
    <w:p>
      <w:pPr>
        <w:pStyle w:val="Heading2"/>
      </w:pPr>
      <w:r>
        <w:rPr>
          <w:rFonts w:ascii="Calibri" w:hAnsi="Calibri"/>
          <w:color w:val="1B2118"/>
        </w:rPr>
        <w:t>Acceptance criteria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A reviewer can open a DPIA from an assessment and complete all ten stages without leaving the product.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CTRL-DPIA does not become present from a typed reference string alone.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Editing an approved DPIA creates version n+1 and marks n as superseded.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Past review_by, or a material change to data_processed / Art. 9 / ADM, reopens screening.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Engine residual risk and DPO residual risk are both visible and never overwritten by each other.</w:t>
      </w:r>
    </w:p>
    <w:p>
      <w:pPr>
        <w:pStyle w:val="Heading1"/>
      </w:pPr>
      <w:r>
        <w:rPr>
          <w:rFonts w:ascii="Calibri" w:hAnsi="Calibri"/>
          <w:color w:val="3D5A1F"/>
        </w:rPr>
        <w:t>5. Gap 3 — Evidence Repository</w:t>
      </w:r>
    </w:p>
    <w:p>
      <w:pPr>
        <w:pStyle w:val="Heading2"/>
      </w:pPr>
      <w:r>
        <w:rPr>
          <w:rFonts w:ascii="Calibri" w:hAnsi="Calibri"/>
          <w:color w:val="1B2118"/>
        </w:rPr>
        <w:t>Current state — philosophy without the archive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B2118"/>
          <w:sz w:val="22"/>
        </w:rPr>
        <w:t>The product already has the right posture: Evidence &gt; assumptions. Missing evidence never reduces residual risk. Chat is instructed to say EVIDENCE NOT FOUND. EvidenceItem is not a Finding (ADR-8). That is the correct control-plane philosophy.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B2118"/>
          <w:sz w:val="22"/>
        </w:rPr>
        <w:t>What is still missing is the archive. EvidenceItem.document is a string (“Intake checkbox”, “SOC 2 Type II report”). CTRL-SOC2 is always missing because no file can be uploaded. A checkbox DPA stays declared_unverified. An ISO claim on a marketing page never becomes a certificate. Auditors do not accept that as a control plane. They ask: show the PDF, who reviewed it, when, and what they decided.</w:t>
      </w:r>
    </w:p>
    <w:p>
      <w:pPr>
        <w:pStyle w:val="Heading2"/>
      </w:pPr>
      <w:r>
        <w:rPr>
          <w:rFonts w:ascii="Calibri" w:hAnsi="Calibri"/>
          <w:color w:val="1B2118"/>
        </w:rPr>
        <w:t>v2 target — artifacts bound to controls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B2118"/>
          <w:sz w:val="22"/>
        </w:rPr>
        <w:t>Introduce an Evidence Repository. Each uploaded or registered artifact is immutable (content hash). Humans bind artifacts to controls. The engine reads bindings; it does not “believe” filenames.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Artifact type</w:t>
            </w:r>
          </w:p>
        </w:tc>
        <w:tc>
          <w:tcPr>
            <w:tcW w:type="dxa" w:w="2436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Typical file</w:t>
            </w:r>
          </w:p>
        </w:tc>
        <w:tc>
          <w:tcPr>
            <w:tcW w:type="dxa" w:w="2436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Binds to</w:t>
            </w:r>
          </w:p>
        </w:tc>
        <w:tc>
          <w:tcPr>
            <w:tcW w:type="dxa" w:w="2436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Pass condition (indicative)</w:t>
            </w:r>
          </w:p>
        </w:tc>
      </w:tr>
      <w:tr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DPA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Signed PDF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CTRL-DPA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Signed, in force, processor identity matches vendor, reviewed by Legal</w:t>
            </w:r>
          </w:p>
        </w:tc>
      </w:tr>
      <w:tr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DPIA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Workspace export or PDF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CTRL-DPIA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Approved version from DPIA Workspace, not an orphan Word file</w:t>
            </w:r>
          </w:p>
        </w:tc>
      </w:tr>
      <w:tr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SOC 2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Type II report PDF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CTRL-SOC2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In-period report; exceptions mapped; InfoSec reviewer</w:t>
            </w:r>
          </w:p>
        </w:tc>
      </w:tr>
      <w:tr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ISO certificate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ISO/IEC 27001 (and SoA if provided)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CTRL-SOC2 / future CTRL-ISO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Certificate in validity window; scope covers the service</w:t>
            </w:r>
          </w:p>
        </w:tc>
      </w:tr>
      <w:tr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Security questionnaire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SIG / CAIQ / custom DOCX or XLSX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CTRL-SOC2, CTRL-MODEL, transfers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Completed, dated, reviewer accepted; gaps become findings</w:t>
            </w:r>
          </w:p>
        </w:tc>
      </w:tr>
      <w:tr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Vendor documentation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Security whitepaper, architecture PDF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CTRL-MODEL, CTRL-TRANSFERS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Supports a claim; never sufficient alone for SOC 2</w:t>
            </w:r>
          </w:p>
        </w:tc>
      </w:tr>
      <w:tr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Model card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Model card / system card PDF or JSON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CTRL-MODEL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Identifies model, intended use, limitations, evals</w:t>
            </w:r>
          </w:p>
        </w:tc>
      </w:tr>
      <w:tr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Subprocessors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List with locations and DPAs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CTRL-TRANSFERS</w:t>
            </w:r>
          </w:p>
        </w:tc>
        <w:tc>
          <w:tcPr>
            <w:tcW w:type="dxa" w:w="2436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List current; locations known; no “unknown”</w:t>
            </w:r>
          </w:p>
        </w:tc>
      </w:tr>
      <w:tr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Contractual clauses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SCCs, addenda, audit rights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CTRL-DPA, CTRL-TRANSFERS</w:t>
            </w:r>
          </w:p>
        </w:tc>
        <w:tc>
          <w:tcPr>
            <w:tcW w:type="dxa" w:w="2436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Executed clauses on file; transfer tool identified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2118"/>
        </w:rPr>
        <w:t>The chain every control must have</w:t>
      </w:r>
    </w:p>
    <w:p>
      <w:pPr>
        <w:spacing w:after="120" w:before="0" w:line="240" w:lineRule="auto"/>
      </w:pPr>
      <w:r>
        <w:rPr>
          <w:rFonts w:ascii="Calibri" w:hAnsi="Calibri" w:eastAsia="Calibri"/>
          <w:b w:val="0"/>
          <w:i w:val="0"/>
          <w:color w:val="1B2118"/>
          <w:sz w:val="22"/>
        </w:rPr>
        <w:t>v1 EvidenceItem is close. v2 makes the chain explicit and complete:</w:t>
      </w:r>
    </w:p>
    <w:p>
      <w:pPr>
        <w:spacing w:after="240" w:before="0" w:line="240" w:lineRule="auto"/>
        <w:jc w:val="center"/>
      </w:pPr>
      <w:r>
        <w:rPr>
          <w:rFonts w:ascii="Calibri" w:hAnsi="Calibri" w:eastAsia="Calibri"/>
          <w:b/>
          <w:i w:val="0"/>
          <w:color w:val="1B2118"/>
          <w:sz w:val="28"/>
        </w:rPr>
        <w:t>Control  →  Evidence  →  Source  →  Reviewer  →  Timestamp  → 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Link</w:t>
            </w:r>
          </w:p>
        </w:tc>
        <w:tc>
          <w:tcPr>
            <w:tcW w:type="dxa" w:w="3249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 today</w:t>
            </w:r>
          </w:p>
        </w:tc>
        <w:tc>
          <w:tcPr>
            <w:tcW w:type="dxa" w:w="3249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v2</w:t>
            </w:r>
          </w:p>
        </w:tc>
      </w:tr>
      <w:tr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Control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control_id on EvidenceItem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Unchanged. CTRL-* remains the vocabulary.</w:t>
            </w:r>
          </w:p>
        </w:tc>
      </w:tr>
      <w:tr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Evidence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document name + excerpt string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EvidenceArtifact (file or structured object) + excerpt + page</w:t>
            </w:r>
          </w:p>
        </w:tc>
      </w:tr>
      <w:tr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Source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Usually “intake”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upload | intake | dpia_workspace | jira | vendor_portal | questionnaire</w:t>
            </w:r>
          </w:p>
        </w:tc>
      </w:tr>
      <w:tr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Reviewer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Missing (DecisionRecord has department approvers only)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Named reviewer on the binding, with role</w:t>
            </w:r>
          </w:p>
        </w:tc>
      </w:tr>
      <w:tr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Timestamp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collected_at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uploaded_at + reviewed_at (distinct)</w:t>
            </w:r>
          </w:p>
        </w:tc>
      </w:tr>
      <w:tr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Decision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evidence_status only (present / missing / …)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pending | accepted | rejected | insufficient | not_applicable — human decision on that artifact</w:t>
            </w:r>
          </w:p>
        </w:tc>
      </w:tr>
    </w:tbl>
    <w:p/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B2118"/>
          <w:sz w:val="22"/>
        </w:rPr>
        <w:t>Engine rule, unchanged in spirit: only decision=accepted (and in-date) may move a control toward pass. declared_unverified remains the status for checkboxes and marketing claims. Missing evidence never reduces residual risk. A rejected artifact is not deleted; it stays in the log.</w:t>
      </w:r>
    </w:p>
    <w:p>
      <w:pPr>
        <w:pStyle w:val="Heading2"/>
      </w:pPr>
      <w:r>
        <w:rPr>
          <w:rFonts w:ascii="Calibri" w:hAnsi="Calibri"/>
          <w:color w:val="1B2118"/>
        </w:rPr>
        <w:t>Repository objects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Object</w:t>
            </w:r>
          </w:p>
        </w:tc>
        <w:tc>
          <w:tcPr>
            <w:tcW w:type="dxa" w:w="4873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EvidenceArtifact</w:t>
            </w:r>
          </w:p>
        </w:tc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artifact_id, tenant_id, vendor_id, type, filename, content_type, sha256, byte_size, classification, uploaded_by, uploaded_at, retention_until. Bytes in object storage (S3/GCS); DB holds metadata only.</w:t>
            </w:r>
          </w:p>
        </w:tc>
      </w:tr>
      <w:tr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EvidenceBinding</w:t>
            </w:r>
          </w:p>
        </w:tc>
        <w:tc>
          <w:tcPr>
            <w:tcW w:type="dxa" w:w="4873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The chain row: control_id, artifact_id, assessment_id, source, excerpt, page_range, reviewer, role, reviewed_at, decision, notes. This is what the engine reads.</w:t>
            </w:r>
          </w:p>
        </w:tc>
      </w:tr>
      <w:tr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EvidenceItem (API)</w:t>
            </w:r>
          </w:p>
        </w:tc>
        <w:tc>
          <w:tcPr>
            <w:tcW w:type="dxa" w:w="4873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Kept as the response projection so existing UI and evidence_pack JSON do not break. Populated from bindings, not from intake strings, once an artifact exists.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2118"/>
        </w:rPr>
        <w:t>Security questionnaire as a first-class artifact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B2118"/>
          <w:sz w:val="22"/>
        </w:rPr>
        <w:t>A completed SIG / CAIQ / internal questionnaire is often the only structured vendor answer before SOC 2 is under NDA. v2 treats it as an artifact type, not as chat context. Parsed answers may pre-fill intake fields, but they do not pass controls. Each material answer still needs a binding and a reviewer decision. The questionnaire file itself is retained with hash.</w:t>
      </w:r>
    </w:p>
    <w:p>
      <w:pPr>
        <w:pStyle w:val="Heading2"/>
      </w:pPr>
      <w:r>
        <w:rPr>
          <w:rFonts w:ascii="Calibri" w:hAnsi="Calibri"/>
          <w:color w:val="1B2118"/>
        </w:rPr>
        <w:t>Integrity and access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color w:val="1B2118"/>
          <w:sz w:val="22"/>
        </w:rPr>
        <w:t>Hash:</w:t>
      </w:r>
      <w:r>
        <w:rPr>
          <w:rFonts w:ascii="Calibri" w:hAnsi="Calibri" w:eastAsia="Calibri"/>
          <w:b w:val="0"/>
          <w:i w:val="0"/>
          <w:color w:val="1B2118"/>
          <w:sz w:val="22"/>
        </w:rPr>
        <w:t xml:space="preserve"> SHA-256 of bytes at upload. Re-hash on download. Mismatch is a tamper event.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color w:val="1B2118"/>
          <w:sz w:val="22"/>
        </w:rPr>
        <w:t>Immutability:</w:t>
      </w:r>
      <w:r>
        <w:rPr>
          <w:rFonts w:ascii="Calibri" w:hAnsi="Calibri" w:eastAsia="Calibri"/>
          <w:b w:val="0"/>
          <w:i w:val="0"/>
          <w:color w:val="1B2118"/>
          <w:sz w:val="22"/>
        </w:rPr>
        <w:t xml:space="preserve"> artifacts are write-once. A replacement is a new artifact_id; old bindings remain.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color w:val="1B2118"/>
          <w:sz w:val="22"/>
        </w:rPr>
        <w:t>Isolation:</w:t>
      </w:r>
      <w:r>
        <w:rPr>
          <w:rFonts w:ascii="Calibri" w:hAnsi="Calibri" w:eastAsia="Calibri"/>
          <w:b w:val="0"/>
          <w:i w:val="0"/>
          <w:color w:val="1B2118"/>
          <w:sz w:val="22"/>
        </w:rPr>
        <w:t xml:space="preserve"> object storage is tenant-prefixed. Signed URLs, short TTL, no public buckets.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color w:val="1B2118"/>
          <w:sz w:val="22"/>
        </w:rPr>
        <w:t>Classification:</w:t>
      </w:r>
      <w:r>
        <w:rPr>
          <w:rFonts w:ascii="Calibri" w:hAnsi="Calibri" w:eastAsia="Calibri"/>
          <w:b w:val="0"/>
          <w:i w:val="0"/>
          <w:color w:val="1B2118"/>
          <w:sz w:val="22"/>
        </w:rPr>
        <w:t xml:space="preserve"> DPA / DPIA / SOC 2 are confidential. Auditors get least-privilege read.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color w:val="1B2118"/>
          <w:sz w:val="22"/>
        </w:rPr>
        <w:t>Retention:</w:t>
      </w:r>
      <w:r>
        <w:rPr>
          <w:rFonts w:ascii="Calibri" w:hAnsi="Calibri" w:eastAsia="Calibri"/>
          <w:b w:val="0"/>
          <w:i w:val="0"/>
          <w:color w:val="1B2118"/>
          <w:sz w:val="22"/>
        </w:rPr>
        <w:t xml:space="preserve"> follow tenant retention; support erasure of chat, not of signed legal artifacts under statutory hold.</w:t>
      </w:r>
    </w:p>
    <w:p>
      <w:pPr>
        <w:pStyle w:val="Heading2"/>
      </w:pPr>
      <w:r>
        <w:rPr>
          <w:rFonts w:ascii="Calibri" w:hAnsi="Calibri"/>
          <w:color w:val="1B2118"/>
        </w:rPr>
        <w:t>Acceptance criteria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Assessor can upload a DPA PDF; Legal can accept it; CTRL-DPA becomes present with reviewer + timestamp.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SOC 2 remains missing until a report artifact is accepted by InfoSec. A website claim still does not pass.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Each control in the evidence matrix shows the six-link chain or EVIDENCE NOT FOUND.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evidence_pack export includes artifact hashes and binding decisions, not only narrative gaps.</w:t>
      </w:r>
    </w:p>
    <w:p>
      <w:pPr>
        <w:pStyle w:val="ListBullet"/>
        <w:spacing w:after="80"/>
      </w:pPr>
      <w:r>
        <w:rPr>
          <w:rFonts w:ascii="Calibri" w:hAnsi="Calibri" w:eastAsia="Calibri"/>
          <w:b w:val="0"/>
          <w:i w:val="0"/>
          <w:color w:val="1B2118"/>
          <w:sz w:val="22"/>
        </w:rPr>
        <w:t>Deleting a file in the UI is a tombstone; auditors can still see that it existed and who removed it.</w:t>
      </w:r>
    </w:p>
    <w:p>
      <w:pPr>
        <w:pStyle w:val="Heading1"/>
      </w:pPr>
      <w:r>
        <w:rPr>
          <w:rFonts w:ascii="Calibri" w:hAnsi="Calibri"/>
          <w:color w:val="3D5A1F"/>
        </w:rPr>
        <w:t>6. How the three gaps lock together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B2118"/>
          <w:sz w:val="22"/>
        </w:rPr>
        <w:t>These are not three unrelated upgrades. Persistence is the substrate. The DPIA Workspace is a governed work product that produces evidence. The repository is where that evidence, and every other artifact, becomes a control-plane object.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Flow</w:t>
            </w:r>
          </w:p>
        </w:tc>
        <w:tc>
          <w:tcPr>
            <w:tcW w:type="dxa" w:w="3249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v1</w:t>
            </w:r>
          </w:p>
        </w:tc>
        <w:tc>
          <w:tcPr>
            <w:tcW w:type="dxa" w:w="3249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v2</w:t>
            </w:r>
          </w:p>
        </w:tc>
      </w:tr>
      <w:tr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Personal data inferred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PrivacyTriage indicated; CTRL-DPIA fails; Legal Jira opens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Same trigger, plus DPIA Workspace opened at screening</w:t>
            </w:r>
          </w:p>
        </w:tc>
      </w:tr>
      <w:tr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DPA checkbox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declared_unverified; score does not drop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Same until a hashed PDF is accepted on CTRL-DPA</w:t>
            </w:r>
          </w:p>
        </w:tc>
      </w:tr>
      <w:tr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SOC 2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Always missing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Missing until Type II (or accepted equivalent) is bound and reviewed</w:t>
            </w:r>
          </w:p>
        </w:tc>
      </w:tr>
      <w:tr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Human approval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Jira Done + corporate actor email</w:t>
            </w:r>
          </w:p>
        </w:tc>
        <w:tc>
          <w:tcPr>
            <w:tcW w:type="dxa" w:w="32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Jira gates remain. DPIA approval and evidence decisions are additional, named, timestamped records</w:t>
            </w:r>
          </w:p>
        </w:tc>
      </w:tr>
      <w:tr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Audit pack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JSON evidence_pack in memory</w:t>
            </w:r>
          </w:p>
        </w:tc>
        <w:tc>
          <w:tcPr>
            <w:tcW w:type="dxa" w:w="32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Durable pack + artifact hashes + DPIA version + DecisionRecord chain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3D5A1F"/>
        </w:rPr>
        <w:t>7. Suggested implementation order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B2118"/>
          <w:sz w:val="22"/>
        </w:rPr>
        <w:t>Do not start with the DPIA UI or with RAG. Without persistence, both are theatre. Effort is T-shirt size for a small senior team.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Step</w:t>
            </w:r>
          </w:p>
        </w:tc>
        <w:tc>
          <w:tcPr>
            <w:tcW w:type="dxa" w:w="1949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Deliverable</w:t>
            </w:r>
          </w:p>
        </w:tc>
        <w:tc>
          <w:tcPr>
            <w:tcW w:type="dxa" w:w="1949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Closes gap</w:t>
            </w:r>
          </w:p>
        </w:tc>
        <w:tc>
          <w:tcPr>
            <w:tcW w:type="dxa" w:w="1949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Depends on</w:t>
            </w:r>
          </w:p>
        </w:tc>
        <w:tc>
          <w:tcPr>
            <w:tcW w:type="dxa" w:w="1949"/>
            <w:shd w:fill="1B211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Effort</w:t>
            </w:r>
          </w:p>
        </w:tc>
      </w:tr>
      <w:tr>
        <w:tc>
          <w:tcPr>
            <w:tcW w:type="dxa" w:w="19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</w:t>
            </w:r>
          </w:p>
        </w:tc>
        <w:tc>
          <w:tcPr>
            <w:tcW w:type="dxa" w:w="19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PostgreSQL + tenant_id + RLS + append-only DecisionRecord</w:t>
            </w:r>
          </w:p>
        </w:tc>
        <w:tc>
          <w:tcPr>
            <w:tcW w:type="dxa" w:w="19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1</w:t>
            </w:r>
          </w:p>
        </w:tc>
        <w:tc>
          <w:tcPr>
            <w:tcW w:type="dxa" w:w="19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ADR-6 replacement</w:t>
            </w:r>
          </w:p>
        </w:tc>
        <w:tc>
          <w:tcPr>
            <w:tcW w:type="dxa" w:w="19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L</w:t>
            </w:r>
          </w:p>
        </w:tc>
      </w:tr>
      <w:tr>
        <w:tc>
          <w:tcPr>
            <w:tcW w:type="dxa" w:w="19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B</w:t>
            </w:r>
          </w:p>
        </w:tc>
        <w:tc>
          <w:tcPr>
            <w:tcW w:type="dxa" w:w="19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Object storage + EvidenceArtifact + EvidenceBinding + upload API</w:t>
            </w:r>
          </w:p>
        </w:tc>
        <w:tc>
          <w:tcPr>
            <w:tcW w:type="dxa" w:w="19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3</w:t>
            </w:r>
          </w:p>
        </w:tc>
        <w:tc>
          <w:tcPr>
            <w:tcW w:type="dxa" w:w="19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</w:t>
            </w:r>
          </w:p>
        </w:tc>
        <w:tc>
          <w:tcPr>
            <w:tcW w:type="dxa" w:w="19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L</w:t>
            </w:r>
          </w:p>
        </w:tc>
      </w:tr>
      <w:tr>
        <w:tc>
          <w:tcPr>
            <w:tcW w:type="dxa" w:w="19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</w:t>
            </w:r>
          </w:p>
        </w:tc>
        <w:tc>
          <w:tcPr>
            <w:tcW w:type="dxa" w:w="19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Engine reads bindings: present only if decision=accepted and in-date</w:t>
            </w:r>
          </w:p>
        </w:tc>
        <w:tc>
          <w:tcPr>
            <w:tcW w:type="dxa" w:w="19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3</w:t>
            </w:r>
          </w:p>
        </w:tc>
        <w:tc>
          <w:tcPr>
            <w:tcW w:type="dxa" w:w="19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B</w:t>
            </w:r>
          </w:p>
        </w:tc>
        <w:tc>
          <w:tcPr>
            <w:tcW w:type="dxa" w:w="19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M</w:t>
            </w:r>
          </w:p>
        </w:tc>
      </w:tr>
      <w:tr>
        <w:tc>
          <w:tcPr>
            <w:tcW w:type="dxa" w:w="19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</w:t>
            </w:r>
          </w:p>
        </w:tc>
        <w:tc>
          <w:tcPr>
            <w:tcW w:type="dxa" w:w="19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DPIA Workspace stages 1–10, versioning, DPO approval</w:t>
            </w:r>
          </w:p>
        </w:tc>
        <w:tc>
          <w:tcPr>
            <w:tcW w:type="dxa" w:w="19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2</w:t>
            </w:r>
          </w:p>
        </w:tc>
        <w:tc>
          <w:tcPr>
            <w:tcW w:type="dxa" w:w="19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</w:t>
            </w:r>
          </w:p>
        </w:tc>
        <w:tc>
          <w:tcPr>
            <w:tcW w:type="dxa" w:w="19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L</w:t>
            </w:r>
          </w:p>
        </w:tc>
      </w:tr>
      <w:tr>
        <w:tc>
          <w:tcPr>
            <w:tcW w:type="dxa" w:w="19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E</w:t>
            </w:r>
          </w:p>
        </w:tc>
        <w:tc>
          <w:tcPr>
            <w:tcW w:type="dxa" w:w="19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CTRL-DPIA binds to approved workspace version, not a reference string</w:t>
            </w:r>
          </w:p>
        </w:tc>
        <w:tc>
          <w:tcPr>
            <w:tcW w:type="dxa" w:w="19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2</w:t>
            </w:r>
          </w:p>
        </w:tc>
        <w:tc>
          <w:tcPr>
            <w:tcW w:type="dxa" w:w="19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C + D</w:t>
            </w:r>
          </w:p>
        </w:tc>
        <w:tc>
          <w:tcPr>
            <w:tcW w:type="dxa" w:w="19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S</w:t>
            </w:r>
          </w:p>
        </w:tc>
      </w:tr>
      <w:tr>
        <w:tc>
          <w:tcPr>
            <w:tcW w:type="dxa" w:w="19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F</w:t>
            </w:r>
          </w:p>
        </w:tc>
        <w:tc>
          <w:tcPr>
            <w:tcW w:type="dxa" w:w="19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Security questionnaire artifact type + optional parse-to-intake</w:t>
            </w:r>
          </w:p>
        </w:tc>
        <w:tc>
          <w:tcPr>
            <w:tcW w:type="dxa" w:w="19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3</w:t>
            </w:r>
          </w:p>
        </w:tc>
        <w:tc>
          <w:tcPr>
            <w:tcW w:type="dxa" w:w="19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B</w:t>
            </w:r>
          </w:p>
        </w:tc>
        <w:tc>
          <w:tcPr>
            <w:tcW w:type="dxa" w:w="19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M</w:t>
            </w:r>
          </w:p>
        </w:tc>
      </w:tr>
      <w:tr>
        <w:tc>
          <w:tcPr>
            <w:tcW w:type="dxa" w:w="19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G</w:t>
            </w:r>
          </w:p>
        </w:tc>
        <w:tc>
          <w:tcPr>
            <w:tcW w:type="dxa" w:w="19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Jira issue.key → assessment_id (replace latest-in-RAM webhook)</w:t>
            </w:r>
          </w:p>
        </w:tc>
        <w:tc>
          <w:tcPr>
            <w:tcW w:type="dxa" w:w="19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1</w:t>
            </w:r>
          </w:p>
        </w:tc>
        <w:tc>
          <w:tcPr>
            <w:tcW w:type="dxa" w:w="19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</w:t>
            </w:r>
          </w:p>
        </w:tc>
        <w:tc>
          <w:tcPr>
            <w:tcW w:type="dxa" w:w="19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M</w:t>
            </w:r>
          </w:p>
        </w:tc>
      </w:tr>
      <w:tr>
        <w:tc>
          <w:tcPr>
            <w:tcW w:type="dxa" w:w="19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H</w:t>
            </w:r>
          </w:p>
        </w:tc>
        <w:tc>
          <w:tcPr>
            <w:tcW w:type="dxa" w:w="19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SSO / RACI roles (assessor, legal, infosec, aigov, auditor)</w:t>
            </w:r>
          </w:p>
        </w:tc>
        <w:tc>
          <w:tcPr>
            <w:tcW w:type="dxa" w:w="19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1</w:t>
            </w:r>
          </w:p>
        </w:tc>
        <w:tc>
          <w:tcPr>
            <w:tcW w:type="dxa" w:w="19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A</w:t>
            </w:r>
          </w:p>
        </w:tc>
        <w:tc>
          <w:tcPr>
            <w:tcW w:type="dxa" w:w="1949"/>
            <w:shd w:fill="F3F5EE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XL</w:t>
            </w:r>
          </w:p>
        </w:tc>
      </w:tr>
      <w:tr>
        <w:tc>
          <w:tcPr>
            <w:tcW w:type="dxa" w:w="19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I</w:t>
            </w:r>
          </w:p>
        </w:tc>
        <w:tc>
          <w:tcPr>
            <w:tcW w:type="dxa" w:w="19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PDF/DOCX evidence pack with SHA-256 of pack + included artifacts</w:t>
            </w:r>
          </w:p>
        </w:tc>
        <w:tc>
          <w:tcPr>
            <w:tcW w:type="dxa" w:w="19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3</w:t>
            </w:r>
          </w:p>
        </w:tc>
        <w:tc>
          <w:tcPr>
            <w:tcW w:type="dxa" w:w="19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B + D</w:t>
            </w:r>
          </w:p>
        </w:tc>
        <w:tc>
          <w:tcPr>
            <w:tcW w:type="dxa" w:w="1949"/>
            <w:shd w:fill="FFFFFF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i w:val="0"/>
                <w:color w:val="1B2118"/>
                <w:sz w:val="20"/>
              </w:rPr>
              <w:t>L</w:t>
            </w:r>
          </w:p>
        </w:tc>
      </w:tr>
    </w:tbl>
    <w:p/>
    <w:p>
      <w:pPr>
        <w:spacing w:after="160" w:before="80" w:line="240" w:lineRule="auto"/>
      </w:pPr>
      <w:r>
        <w:rPr>
          <w:rFonts w:ascii="Calibri" w:hAnsi="Calibri" w:eastAsia="Calibri"/>
          <w:b w:val="0"/>
          <w:i w:val="0"/>
          <w:color w:val="1B2118"/>
          <w:sz w:val="22"/>
        </w:rPr>
        <w:t>Steps A–E are the portfolio jump: durable, tenant-aware, DPIA as a work product, evidence as files. H is required before any real customer data. I is the Legal-facing deliverable.</w:t>
      </w:r>
    </w:p>
    <w:p>
      <w:pPr>
        <w:pStyle w:val="Heading1"/>
      </w:pPr>
      <w:r>
        <w:rPr>
          <w:rFonts w:ascii="Calibri" w:hAnsi="Calibri"/>
          <w:color w:val="3D5A1F"/>
        </w:rPr>
        <w:t>8. What v2 must not do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color w:val="1B2118"/>
          <w:sz w:val="22"/>
        </w:rPr>
        <w:t>Never:</w:t>
      </w:r>
      <w:r>
        <w:rPr>
          <w:rFonts w:ascii="Calibri" w:hAnsi="Calibri" w:eastAsia="Calibri"/>
          <w:b w:val="0"/>
          <w:i w:val="0"/>
          <w:color w:val="1B2118"/>
          <w:sz w:val="22"/>
        </w:rPr>
        <w:t xml:space="preserve"> Let the LLM set residual risk, triage decision, DPIA approval, or evidence decision.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color w:val="1B2118"/>
          <w:sz w:val="22"/>
        </w:rPr>
        <w:t>Never:</w:t>
      </w:r>
      <w:r>
        <w:rPr>
          <w:rFonts w:ascii="Calibri" w:hAnsi="Calibri" w:eastAsia="Calibri"/>
          <w:b w:val="0"/>
          <w:i w:val="0"/>
          <w:color w:val="1B2118"/>
          <w:sz w:val="22"/>
        </w:rPr>
        <w:t xml:space="preserve"> Treat a filename (“soc2.pdf”) as a passed control without a reviewer decision.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color w:val="1B2118"/>
          <w:sz w:val="22"/>
        </w:rPr>
        <w:t>Never:</w:t>
      </w:r>
      <w:r>
        <w:rPr>
          <w:rFonts w:ascii="Calibri" w:hAnsi="Calibri" w:eastAsia="Calibri"/>
          <w:b w:val="0"/>
          <w:i w:val="0"/>
          <w:color w:val="1B2118"/>
          <w:sz w:val="22"/>
        </w:rPr>
        <w:t xml:space="preserve"> Add engine APPROVE because a DPIA workspace exists. Gates stay human.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color w:val="1B2118"/>
          <w:sz w:val="22"/>
        </w:rPr>
        <w:t>Never:</w:t>
      </w:r>
      <w:r>
        <w:rPr>
          <w:rFonts w:ascii="Calibri" w:hAnsi="Calibri" w:eastAsia="Calibri"/>
          <w:b w:val="0"/>
          <w:i w:val="0"/>
          <w:color w:val="1B2118"/>
          <w:sz w:val="22"/>
        </w:rPr>
        <w:t xml:space="preserve"> Lower the score because the vendor’s website claims ISO 27001.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color w:val="1B2118"/>
          <w:sz w:val="22"/>
        </w:rPr>
        <w:t>Never:</w:t>
      </w:r>
      <w:r>
        <w:rPr>
          <w:rFonts w:ascii="Calibri" w:hAnsi="Calibri" w:eastAsia="Calibri"/>
          <w:b w:val="0"/>
          <w:i w:val="0"/>
          <w:color w:val="1B2118"/>
          <w:sz w:val="22"/>
        </w:rPr>
        <w:t xml:space="preserve"> Use Redis or chat history as the system of record.</w:t>
      </w:r>
    </w:p>
    <w:p>
      <w:pPr>
        <w:pStyle w:val="ListBullet"/>
        <w:spacing w:after="80"/>
      </w:pPr>
      <w:r>
        <w:rPr>
          <w:rFonts w:ascii="Calibri" w:hAnsi="Calibri" w:eastAsia="Calibri"/>
          <w:b/>
          <w:i w:val="0"/>
          <w:color w:val="1B2118"/>
          <w:sz w:val="22"/>
        </w:rPr>
        <w:t>Never:</w:t>
      </w:r>
      <w:r>
        <w:rPr>
          <w:rFonts w:ascii="Calibri" w:hAnsi="Calibri" w:eastAsia="Calibri"/>
          <w:b w:val="0"/>
          <w:i w:val="0"/>
          <w:color w:val="1B2118"/>
          <w:sz w:val="22"/>
        </w:rPr>
        <w:t xml:space="preserve"> Mix demo tenants with live assessments in one unscoped table.</w:t>
      </w:r>
    </w:p>
    <w:p>
      <w:pPr>
        <w:spacing w:after="160" w:before="160" w:line="240" w:lineRule="auto"/>
      </w:pPr>
      <w:r>
        <w:rPr>
          <w:rFonts w:ascii="Calibri" w:hAnsi="Calibri" w:eastAsia="Calibri"/>
          <w:b w:val="0"/>
          <w:i/>
          <w:color w:val="1B2118"/>
          <w:sz w:val="22"/>
        </w:rPr>
        <w:t>Preserve: Evidence → Control assessment → Risk factors → Deterministic scoring → Governance triage → Human Jira gates.</w:t>
      </w:r>
    </w:p>
    <w:p>
      <w:pPr>
        <w:pStyle w:val="Heading1"/>
      </w:pPr>
      <w:r>
        <w:rPr>
          <w:rFonts w:ascii="Calibri" w:hAnsi="Calibri"/>
          <w:color w:val="3D5A1F"/>
        </w:rPr>
        <w:t>9. How to talk about this in a review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i w:val="0"/>
          <w:color w:val="1B2118"/>
          <w:sz w:val="22"/>
        </w:rPr>
        <w:t>v1 is the control layer done properly under demo constraints. The scoring engine, the ADRs, and the refusal to invent evidence are the product. v2 is the operationalisation: durable tenancy, an electronic DPIA, and an evidence archive with a six-link chain on every control.</w:t>
      </w:r>
    </w:p>
    <w:p>
      <w:pPr>
        <w:spacing w:after="160" w:before="160" w:line="240" w:lineRule="auto"/>
      </w:pPr>
      <w:r>
        <w:rPr>
          <w:rFonts w:ascii="Calibri" w:hAnsi="Calibri" w:eastAsia="Calibri"/>
          <w:b w:val="0"/>
          <w:i w:val="0"/>
          <w:color w:val="1B2118"/>
          <w:sz w:val="22"/>
        </w:rPr>
        <w:t>If a reviewer asks “is this production-ready?”, the accurate answer is no. If they ask “would this design survive an audit conversation?”, the accurate answer is: the design would; the current runtime would not. That is the point of this roadmap.</w:t>
      </w:r>
    </w:p>
    <w:p>
      <w:pPr>
        <w:spacing w:after="160" w:before="320" w:line="240" w:lineRule="auto"/>
      </w:pPr>
      <w:r>
        <w:rPr>
          <w:rFonts w:ascii="Calibri" w:hAnsi="Calibri" w:eastAsia="Calibri"/>
          <w:b w:val="0"/>
          <w:i/>
          <w:color w:val="4A5245"/>
          <w:sz w:val="22"/>
        </w:rPr>
        <w:t>This document does not authorise skipping the deterministic engine or returning decisions to the LLM. It also does not authorise calling the current in-memory console a production-ready enterprise platform.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