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5eabdf67c239733020e211e45b6ac588f5ed23"/>
    <w:p>
      <w:pPr>
        <w:pStyle w:val="Heading1"/>
      </w:pPr>
      <w:r>
        <w:t xml:space="preserve">Грант «Власна справа» (масштабування): аналіз відмови та план повторного подання</w:t>
      </w:r>
    </w:p>
    <w:p>
      <w:pPr>
        <w:pStyle w:val="FirstParagraph"/>
      </w:pPr>
      <w:r>
        <w:rPr>
          <w:bCs/>
          <w:b/>
        </w:rPr>
        <w:t xml:space="preserve">Заявниця:</w:t>
      </w:r>
      <w:r>
        <w:t xml:space="preserve"> </w:t>
      </w:r>
      <w:r>
        <w:t xml:space="preserve">ФОП Федоренко Таїсія Анатоліївна, м. Жашків, Черкаська область, КВЕД 70.22</w:t>
      </w:r>
      <w:r>
        <w:t xml:space="preserve"> </w:t>
      </w:r>
      <w:r>
        <w:rPr>
          <w:bCs/>
          <w:b/>
        </w:rPr>
        <w:t xml:space="preserve">Подана версія:</w:t>
      </w:r>
      <w:r>
        <w:t xml:space="preserve"> </w:t>
      </w:r>
      <w:r>
        <w:t xml:space="preserve">бізнес-план «версія І» (файл</w:t>
      </w:r>
      <w:r>
        <w:t xml:space="preserve"> </w:t>
      </w:r>
      <w:r>
        <w:rPr>
          <w:rStyle w:val="VerbatimChar"/>
        </w:rPr>
        <w:t xml:space="preserve">БП_грант_власна_справа І (1).xlsx</w:t>
      </w:r>
      <w:r>
        <w:t xml:space="preserve">, вересень 2026, грант 1 799 898 грн, 36 місяців)</w:t>
      </w:r>
      <w:r>
        <w:t xml:space="preserve"> </w:t>
      </w:r>
      <w:r>
        <w:rPr>
          <w:bCs/>
          <w:b/>
        </w:rPr>
        <w:t xml:space="preserve">Дата аналізу:</w:t>
      </w:r>
      <w:r>
        <w:t xml:space="preserve"> </w:t>
      </w:r>
      <w:r>
        <w:t xml:space="preserve">18 жовтня 2026 р. Нормативні акти перевірено за офіційними текстами на zakon.rada.gov.ua станом на цю дату.</w:t>
      </w:r>
      <w:r>
        <w:t xml:space="preserve"> </w:t>
      </w:r>
      <w:r>
        <w:rPr>
          <w:bCs/>
          <w:b/>
        </w:rPr>
        <w:t xml:space="preserve">Що додається:</w:t>
      </w:r>
      <w:r>
        <w:t xml:space="preserve"> </w:t>
      </w:r>
      <w:r>
        <w:t xml:space="preserve">виправлений бізнес-план «версія 2» в офіційній формі Дії (</w:t>
      </w:r>
      <w:r>
        <w:rPr>
          <w:rStyle w:val="VerbatimChar"/>
        </w:rPr>
        <w:t xml:space="preserve">02_БП_Федоренко_версія_2.xlsx</w:t>
      </w:r>
      <w:r>
        <w:t xml:space="preserve"> </w:t>
      </w:r>
      <w:r>
        <w:t xml:space="preserve">+ PDF), допоміжна фінансова модель зі сценаріями та калькулятором балів (</w:t>
      </w:r>
      <w:r>
        <w:rPr>
          <w:rStyle w:val="VerbatimChar"/>
        </w:rPr>
        <w:t xml:space="preserve">03_Фінансова_модель_і_бали.xlsx</w:t>
      </w:r>
      <w:r>
        <w:t xml:space="preserve">), чек-лист подання (</w:t>
      </w:r>
      <w:r>
        <w:rPr>
          <w:rStyle w:val="VerbatimChar"/>
        </w:rPr>
        <w:t xml:space="preserve">04_Чеклист_подання_та_співбесіда.md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Важливе застереження.</w:t>
      </w:r>
      <w:r>
        <w:t xml:space="preserve"> </w:t>
      </w:r>
      <w:r>
        <w:t xml:space="preserve">Офіційного тексту рішення про відмову поки немає, тому підстави нижче визначені за чинними правилами та за змістом поданого плану, а не за словами комісії. Коли текст відмови з'явиться, його треба звірити з розділом 6. Жоден бізнес-план не гарантує гранту: рішення ухвалюється за балами (банк до 200 балів + співбесіда до 50, поріг 130) і в межах бюджету Фонду. Версія 2 закриває все, що залежить від заявниці, і прибирає підстави для формальної відмови.</w:t>
      </w:r>
    </w:p>
    <w:p>
      <w:r>
        <w:pict>
          <v:rect style="width:0;height:1.5pt" o:hralign="center" o:hrstd="t" o:hr="t"/>
        </w:pict>
      </w:r>
    </w:p>
    <w:bookmarkStart w:id="20" w:name="X829a543a4279b0c8a5e6b74818353621c4a6371"/>
    <w:p>
      <w:pPr>
        <w:pStyle w:val="Heading2"/>
      </w:pPr>
      <w:r>
        <w:t xml:space="preserve">1. Головне за одну хвилину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Повторно подавати зараз не можна.</w:t>
      </w:r>
      <w:r>
        <w:t xml:space="preserve"> </w:t>
      </w:r>
      <w:r>
        <w:t xml:space="preserve">З 6 жовтня 2026 р. грант на масштабування отримують лише ФОП, які</w:t>
      </w:r>
      <w:r>
        <w:t xml:space="preserve"> </w:t>
      </w:r>
      <w:r>
        <w:rPr>
          <w:bCs/>
          <w:b/>
        </w:rPr>
        <w:t xml:space="preserve">провадять діяльність не менше шести місяців на дату подання заяви</w:t>
      </w:r>
      <w:r>
        <w:t xml:space="preserve"> </w:t>
      </w:r>
      <w:r>
        <w:t xml:space="preserve">(постанова КМУ № 1214 від 30.09.2026, зміни до пп. 2 п. 4 і п. 6 Порядку). ФОП зареєстровано 17.08.2026, отже перша можлива дата подання —</w:t>
      </w:r>
      <w:r>
        <w:t xml:space="preserve"> </w:t>
      </w:r>
      <w:r>
        <w:rPr>
          <w:bCs/>
          <w:b/>
        </w:rPr>
        <w:t xml:space="preserve">17 лютого 2027 р.</w:t>
      </w:r>
      <w:r>
        <w:t xml:space="preserve">, найближчий етап приймання заяв —</w:t>
      </w:r>
      <w:r>
        <w:t xml:space="preserve"> </w:t>
      </w:r>
      <w:r>
        <w:rPr>
          <w:bCs/>
          <w:b/>
        </w:rPr>
        <w:t xml:space="preserve">16–25 лютого 2027 р.</w:t>
      </w:r>
      <w:r>
        <w:t xml:space="preserve"> </w:t>
      </w:r>
      <w:r>
        <w:t xml:space="preserve">(або 1–12 березня 2027 р.). Це головна й неусувна текстом плану причина, через яку версію І не могли б схвалити за новими правилами.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Версія І не витримала б і змістовної перевірки</w:t>
      </w:r>
      <w:r>
        <w:t xml:space="preserve">: грант «під максимум» без доказів, оренда на 24 місяці наперед і ремонт чужого приміщення за кошти, які треба витратити за 3 місяці, дохід 200 000 грн з першого місяця і 750 000 грн на третій рік, 40 % доходу від юридичних послуг, яких немає у КВЕД, «комплаєнс-аудит» у платника єдиного податку, 141 перезаписана формула шаблону та внутрішньо суперечливі цифри (прибуток, грошовий потік, податки).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Версія 2 побудована інакше:</w:t>
      </w:r>
      <w:r>
        <w:t xml:space="preserve"> </w:t>
      </w:r>
      <w:r>
        <w:t xml:space="preserve">грант</w:t>
      </w:r>
      <w:r>
        <w:t xml:space="preserve"> </w:t>
      </w:r>
      <w:r>
        <w:rPr>
          <w:bCs/>
          <w:b/>
        </w:rPr>
        <w:t xml:space="preserve">1 000 000 грн</w:t>
      </w:r>
      <w:r>
        <w:t xml:space="preserve"> </w:t>
      </w:r>
      <w:r>
        <w:t xml:space="preserve">на 36 місяців у чистому офіційному шаблоні, 2 нових робочих місця (без заявки на надбавку +20 %), без ремонту, оренда на 12 місяців у межах 25 %, 5 стандартних пакетів послуг з цінами, консервативний дохід від 62 000 до 234 000 грн на місяць (6 546 000 грн за 36 місяців), податки та ЄСВ за строк проєкту</w:t>
      </w:r>
      <w:r>
        <w:t xml:space="preserve"> </w:t>
      </w:r>
      <w:r>
        <w:rPr>
          <w:bCs/>
          <w:b/>
        </w:rPr>
        <w:t xml:space="preserve">1 278 364 грн</w:t>
      </w:r>
      <w:r>
        <w:t xml:space="preserve"> </w:t>
      </w:r>
      <w:r>
        <w:t xml:space="preserve">— на 28 % більше за грант, покриття у М30; стрес-тести (−20 %, −30 % доходу, старт на 3 місяці пізніше) умову «податки ≥ грант» виконують.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 подання треба зробити 14 речей</w:t>
      </w:r>
      <w:r>
        <w:t xml:space="preserve"> </w:t>
      </w:r>
      <w:r>
        <w:t xml:space="preserve">(розділ 5): договір оренди на 12+ місяців, 2–3 комерційні пропозиції на кожну закупівлю, виписка про власні кошти, рахунки ICA, витяги з ЄДР і реєстру платників ЄП, кредитний звіт без прострочень, депозит в уповноваженому банку, підтвердження досвіду, заповнення трьох полів «[уточнити]» у плані.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Текст відмови все одно потрібен</w:t>
      </w:r>
      <w:r>
        <w:t xml:space="preserve">: його можна отримати в кабінеті Дії або письмовим запитом до Черкаського обласного центру зайнятості (розділ 6). Він покаже, чи справа була у балах, у документах чи у формальній невідповідності.</w:t>
      </w:r>
    </w:p>
    <w:p>
      <w:r>
        <w:pict>
          <v:rect style="width:0;height:1.5pt" o:hralign="center" o:hrstd="t" o:hr="t"/>
        </w:pict>
      </w:r>
    </w:p>
    <w:bookmarkEnd w:id="20"/>
    <w:bookmarkStart w:id="21" w:name="Xf22aad33fc6a57311b153fd33d2743c6652d3a4"/>
    <w:p>
      <w:pPr>
        <w:pStyle w:val="Heading2"/>
      </w:pPr>
      <w:r>
        <w:t xml:space="preserve">2. За якими правилами оцінюють заяву (станом на 18.10.2026)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регулює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Ключові норми для цієї справи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Постанова КМУ від 21.06.2022 № 738 —</w:t>
            </w:r>
            <w:r>
              <w:t xml:space="preserve"> </w:t>
            </w:r>
            <w:r>
              <w:rPr>
                <w:bCs/>
                <w:b/>
              </w:rPr>
              <w:t xml:space="preserve">Порядок надання грантів на започаткування або масштабування власної справи</w:t>
            </w:r>
            <w:r>
              <w:t xml:space="preserve"> </w:t>
            </w:r>
            <w:r>
              <w:t xml:space="preserve">(додано постановою № 616 від 15.05.2026, застосовується з 01.09.2026; зміни постановою № 1214 від 30.09.2026, опубліковано 06.10.2026)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хто, скільки, на що, обов'язки, підстави відмови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4, 6 — масштабування: ФОП/юрособи з діяльністю</w:t>
            </w:r>
            <w:r>
              <w:t xml:space="preserve"> </w:t>
            </w:r>
            <w:r>
              <w:rPr>
                <w:bCs/>
                <w:b/>
              </w:rPr>
              <w:t xml:space="preserve">не менше 6 місяців</w:t>
            </w:r>
            <w:r>
              <w:t xml:space="preserve">, 500 000–1 500 000 грн, обов'язково 1 нове робоче місце; надбавки +5/20/30/50 %, стеля 2 500 000; п. 7 — напрями витрат і ліміти (ремонт ≤ 50 %, оренда ≤ 25 %, ПЗ ≤ 25 %, сайт ≤ 10 %, маркетинг ≤ 10 %, налаштування цифрових рішень ≤ 20 %); п. 9 — заборонені види діяльності; п. 10 — заява у Дії, бізнес-план за Положенням № 1527, строк 24/36/60 міс.; п. 17–18 — оцінювання банком і співбесіда;</w:t>
            </w:r>
            <w:r>
              <w:t xml:space="preserve"> </w:t>
            </w:r>
            <w:r>
              <w:rPr>
                <w:bCs/>
                <w:b/>
              </w:rPr>
              <w:t xml:space="preserve">п. 19 — підстави відмови</w:t>
            </w:r>
            <w:r>
              <w:t xml:space="preserve">; п. 20 — одноразове повернення плану на доопрацювання (10 робочих днів); п. 22–23 — договір, 3 місяці на використання коштів і створення робочих місць, зайнятість 18/24/54 міс.,</w:t>
            </w:r>
            <w:r>
              <w:t xml:space="preserve"> </w:t>
            </w:r>
            <w:r>
              <w:rPr>
                <w:bCs/>
                <w:b/>
              </w:rPr>
              <w:t xml:space="preserve">податки + ЄСВ за строк проєкту мають бути не менші за грант</w:t>
            </w:r>
            <w:r>
              <w:t xml:space="preserve">, інакше різниця повертається; п. 25 — контроль; п. 32 — зміни до плану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Постанова КМУ від 26.11.2025 № 1527 —</w:t>
            </w:r>
            <w:r>
              <w:t xml:space="preserve"> </w:t>
            </w:r>
            <w:r>
              <w:rPr>
                <w:bCs/>
                <w:b/>
              </w:rPr>
              <w:t xml:space="preserve">Положення про бізнес-плани</w:t>
            </w:r>
            <w:r>
              <w:t xml:space="preserve"> </w:t>
            </w:r>
            <w:r>
              <w:t xml:space="preserve">(зі змінами № 616 і № 1214)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і вимоги до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державною мовою, без арифметичних помилок; для цього гранту —</w:t>
            </w:r>
            <w:r>
              <w:t xml:space="preserve"> </w:t>
            </w:r>
            <w:r>
              <w:rPr>
                <w:bCs/>
                <w:b/>
              </w:rPr>
              <w:t xml:space="preserve">одночасно XLSX і PDF, PDF формується з XLSX і повністю йому відповідає</w:t>
            </w:r>
            <w:r>
              <w:t xml:space="preserve">; підпис КЕП; дані достовірні на дату подання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Наказ Мінекономіки від 22.07.2026 № 2 (зареєстровано Мін'юстом 28.08.2026 за № 1185/46579)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оцінювання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— до</w:t>
            </w:r>
            <w:r>
              <w:t xml:space="preserve"> </w:t>
            </w:r>
            <w:r>
              <w:rPr>
                <w:bCs/>
                <w:b/>
              </w:rPr>
              <w:t xml:space="preserve">200 балів</w:t>
            </w:r>
            <w:r>
              <w:t xml:space="preserve"> </w:t>
            </w:r>
            <w:r>
              <w:t xml:space="preserve">(дод. 1 — стоп-критерії репутації; дод. 3 — бали для ФОП: кредитна історія 37,5 %, фінансові фактори 24 %, нефінансові 38,5 %); прохідний бал банку</w:t>
            </w:r>
            <w:r>
              <w:t xml:space="preserve"> </w:t>
            </w:r>
            <w:r>
              <w:rPr>
                <w:bCs/>
                <w:b/>
              </w:rPr>
              <w:t xml:space="preserve">99</w:t>
            </w:r>
            <w:r>
              <w:t xml:space="preserve">; співбесіда в регіональному центрі зайнятості — до</w:t>
            </w:r>
            <w:r>
              <w:t xml:space="preserve"> </w:t>
            </w:r>
            <w:r>
              <w:rPr>
                <w:bCs/>
                <w:b/>
              </w:rPr>
              <w:t xml:space="preserve">50</w:t>
            </w:r>
            <w:r>
              <w:t xml:space="preserve"> </w:t>
            </w:r>
            <w:r>
              <w:t xml:space="preserve">(дод. 5: мотивація, розуміння бізнес-плану, маркетингового та операційного планів, досвід — по 0/3/5/7/10);</w:t>
            </w:r>
            <w:r>
              <w:t xml:space="preserve"> </w:t>
            </w:r>
            <w:r>
              <w:rPr>
                <w:bCs/>
                <w:b/>
              </w:rPr>
              <w:t xml:space="preserve">разом ≥ 130 з 250</w:t>
            </w:r>
            <w:r>
              <w:t xml:space="preserve">; етапи приймання заяв — двічі на місяць (1–12 і 16–27 числа; у лютому 1–12 і 16–25; у грудні лише 1–15)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Податковий кодекс України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податки ФОП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ЄП 3 групи 5 % доходу + ВЗ 1 %; ЄСВ за себе 22 % мінімальної зарплати; п. 291.5.2 — платникам ЄП заборонена</w:t>
            </w:r>
            <w:r>
              <w:t xml:space="preserve"> </w:t>
            </w:r>
            <w:r>
              <w:rPr>
                <w:bCs/>
                <w:b/>
              </w:rPr>
              <w:t xml:space="preserve">діяльність у сфері аудиту</w:t>
            </w:r>
            <w:r>
              <w:t xml:space="preserve">; п. 292.11 — цільові кошти з фондів соцстрахування і бюджетів у дохід ЄП не включаються (перевірити з бухгалтером щодо саме цього гранту)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Закон «Про запобігання корупції», ст.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попит на послуги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учасники закупівель від</w:t>
            </w:r>
            <w:r>
              <w:t xml:space="preserve"> </w:t>
            </w:r>
            <w:r>
              <w:rPr>
                <w:bCs/>
                <w:b/>
              </w:rPr>
              <w:t xml:space="preserve">20 млн грн</w:t>
            </w:r>
            <w:r>
              <w:t xml:space="preserve"> </w:t>
            </w:r>
            <w:r>
              <w:t xml:space="preserve">зобов'язані мати антикорупційну програму та уповноваженого — реальний і перевірюваний ринок для комплаєнс-послуг</w:t>
            </w:r>
          </w:p>
        </w:tc>
      </w:tr>
    </w:tbl>
    <w:p>
      <w:pPr>
        <w:pStyle w:val="BodyText"/>
      </w:pPr>
      <w:r>
        <w:t xml:space="preserve">Пріоритетні сектори (додаток до Порядку, +50 %) включають секцію M лише у частині груп 71–74 та 72;</w:t>
      </w:r>
      <w:r>
        <w:t xml:space="preserve"> </w:t>
      </w:r>
      <w:r>
        <w:rPr>
          <w:bCs/>
          <w:b/>
        </w:rPr>
        <w:t xml:space="preserve">КВЕД 70.22 туди не входить</w:t>
      </w:r>
      <w:r>
        <w:t xml:space="preserve">, тож надбавку +50 % заявляти не можна. 70.22 не входить і до переліку КВЕД, за якими гранти не надаються (додаток 1 до наказу № 2).</w:t>
      </w:r>
    </w:p>
    <w:p>
      <w:r>
        <w:pict>
          <v:rect style="width:0;height:1.5pt" o:hralign="center" o:hrstd="t" o:hr="t"/>
        </w:pict>
      </w:r>
    </w:p>
    <w:bookmarkEnd w:id="21"/>
    <w:bookmarkStart w:id="22" w:name="Xcf45a0b32f83630766ded9082fad03b23bc47b4"/>
    <w:p>
      <w:pPr>
        <w:pStyle w:val="Heading2"/>
      </w:pPr>
      <w:r>
        <w:t xml:space="preserve">3. Чому, найімовірніше, відмовили: 10 причин за вагою</w:t>
      </w:r>
    </w:p>
    <w:p>
      <w:pPr>
        <w:pStyle w:val="FirstParagraph"/>
      </w:pPr>
      <w:r>
        <w:t xml:space="preserve">Кожна причина звірена з нормою та з конкретною клітинкою поданого файла. У колонці «Версія 2» — як це виправлено.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 у версії 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Версія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ФОП діє менше 6 місяців</w:t>
            </w:r>
            <w:r>
              <w:t xml:space="preserve"> </w:t>
            </w:r>
            <w:r>
              <w:t xml:space="preserve">(реєстрація 17.08.2026, подання у вересні 2026). Для масштабування тепер потрібно ≥ 6 місяців на дату подання. Якщо заяву розглядали вже після 06.10.2026 — це пряма підстава відмови за абз. 2 п. 19 («невідповідність отримувача вимогам пунктів 4 та/або 9»)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Бізнес план!B11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пп. 2 п. 4, абз. 3 пп. 2 п. 6 Порядку (ред. № 1214)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подання не раніше 17.02.2027; у B11 і B53 це прямо зазначено; до того часу — реальна діяльність і декларації за 3–4 кв. 2026 та 1 кв.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Запит 1 799 898 грн «під стелю»</w:t>
            </w:r>
            <w:r>
              <w:t xml:space="preserve"> </w:t>
            </w:r>
            <w:r>
              <w:t xml:space="preserve">з надбавкою +20 % за зобов'язання створити 2 робочі місця, при цьому у кадровому плані 3 місця, а комірка максимуму заповнена текстом «1 800 000 грн» замість формули шаблону. Неузгодженість заяви і плану — окрема підстава відмови (новий абзац п.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B26, C34, C39, 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6, п. 19 Порядку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грант 1 000 000 грн у базовому діапазоні, надбавки не заявляються (усі «Ні»), 2 робочі місця (обов'язкове 1 + планове 1), формули шаблону збережені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Оренда на 24 місяці наперед (360 000) і ремонт орендованого приміщення (613 758)</w:t>
            </w:r>
            <w:r>
              <w:t xml:space="preserve">: кошти гранту треба використати за 3 місяці, невикористане банк повертає; ремонт чужого приміщення без кошторису, дефектного акта і згоди власника банк не оплатить; у плані «юридична адреса: Соборна, 37» (це місце діяльності, а не адреса реєстрації)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B17, B51, E82–E83, рядок 34 таблиці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абз. 16 п. 23, пп. 1–2 п. 7, п. 31 Порядку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ремонту немає; оренда 12 місяців = 180 000 (18 % гранту) за договором на 12+ місяців; адреси названі правильно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Нереалістичний і суперечливий прогноз продажів</w:t>
            </w:r>
            <w:r>
              <w:t xml:space="preserve">: 200 000 грн у М1 (від новоствореного ФОП у місті з 13 тис. жителів) зі зростанням до 750 000 грн/міс; у тексті «20–30 послуг на 200 000 грн», у таблиці інше; 8 140 000 грн (40 %) — «юридичні консультації», яких немає у КВЕД 70.22 (це 69.10)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B62, рядки 16–17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10 (КВЕД у заяві = КВЕД у плані), п. 14, п. 19 Порядку; дод. 5 наказу № 2 (розуміння бізнес-плану)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пакетів послуг із цінами і нормативами годин; дохід 62 000 → 234 000 грн/міс (у М36: 6 абонентів, 2 діагностики, 1 пакет політик, 10 перевірок, 2 тренінги); юридичних послуг немає; перевірено завантаження команди (≤ 273 год/міс на 3 осіб)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«Комплаєнс-аудит»</w:t>
            </w:r>
            <w:r>
              <w:t xml:space="preserve">, «аудит відповідності стандартам ISO»: платникам єдиного податку діяльність у сфері аудиту заборонена; слово «аудит» у переліку послуг — привід для банку і центру зайнятості поставити питання про податковий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B47, B60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291.5.2 ПКУ; дод. 1 наказу № 2 (SP_3012)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послуги названо «комплаєнс-діагностика/оцінка процесів»; прямо зазначено, що аудит фінансової звітності, сертифікація ISO і представництво в суді не надаються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Зламана фінансова таблиця</w:t>
            </w:r>
            <w:r>
              <w:t xml:space="preserve">: 141 формула шаблону замінена числами (рядки 32 і 46, клітинка BM27), підсумок надходжень набраний вручну — 9 110 000 замість 22 019 898; витрати М1 показані як 1 500 грн замість 1 460 048; ЄП підписано «5 % від прибутку» і порахований від 120 000; ВЗ працівників у тексті 16 325 замість 163 250; «прибуток 3 303 695», «грошовий потік 7 926 305», «рентабельність 100 %», «окупність 36 місяців» не випливають з таблиці (залишок коштів у таблиці — 16 437 814). Для перевіряючого це «план, у якому ніхто не звірив цифри»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Прибутки та збитки!E32:AB32, E46:AB46, BM27, E60–E61; Бізнес план!B63–B68, B111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3 Положення № 1527 (без арифметичних помилок), п. 14 Порядку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заповнено чистий шаблон з сайту Дії; усі формули збережені; змінено лише 3 клітинки «Всього» (BM27, BM46, BM74), які у самому шаблоні повертають 0, і формули ЄП/ВЗ ФОП; усі цифри в тексті згенеровані з тієї самої таблиці та перевірені скриптом (</w:t>
            </w:r>
            <w:r>
              <w:rPr>
                <w:rStyle w:val="VerbatimChar"/>
              </w:rPr>
              <w:t xml:space="preserve">tools/verify_bp.py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Календар не збігається зі строком</w:t>
            </w:r>
            <w:r>
              <w:t xml:space="preserve">: завершення «серпень 2028» при 36 місяцях; «жовтень 2026 — отримання гранту» як доконаний факт; початок «серпень 2026» до подання заяви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B53–B56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10, 23 Порядку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М1 = місяць зарахування (орієнтовно травень 2027), М36 = квітень 2030; етапи прив'язані до правил (3 місяці на закупівлі та найм)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Мало балів за критеріями дод. 3</w:t>
            </w:r>
            <w:r>
              <w:t xml:space="preserve"> </w:t>
            </w:r>
            <w:r>
              <w:t xml:space="preserve">там, де це залежало від плану: власна участь 17,7 % (3 бали з 20), оренда до року (0 з 10), окупність «36 місяців» без розрахунку, нереалістична «рентабельність 100 %»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матриця балів банку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дод. 3 наказу №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власна участь 33 % (навчання 385 860 + резерв 100 000); оренда 12+ місяців (4 бали) або власне/родинне приміщення (10/7); рентабельність 67 %, окупність 1,7 року — з розрахунку; транспорт не потрібен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Жодного підтверджувального документа</w:t>
            </w:r>
            <w:r>
              <w:t xml:space="preserve">: немає комерційних пропозицій, кошторису, договору оренди, виписки про власні кошти, рахунків ICA, диплома,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14, 17, 19 Порядку; дод. 5 (досвід)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перелік доказів у розділі 5; у плані всі суми прив'язані до позицій, які легко підтвердити пропозиціями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Форма</w:t>
            </w:r>
            <w:r>
              <w:t xml:space="preserve">: десятки орфографічних помилок («маштабування», «поважєення», «начання»), незаповнена дата, у фінансовому аркуші лишилось «ФІЗ/ФОП/ЮР»; само по собі не підстава (п. 20), але знижує оцінку «розуміння бізнес-плану» на співбесіді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B11, B16, B45, B78; Прибутки та збитки!D4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20 Порядку, дод.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вичитано; дата і версія зазначені</w:t>
            </w:r>
          </w:p>
        </w:tc>
      </w:tr>
    </w:tbl>
    <w:p>
      <w:pPr>
        <w:pStyle w:val="BodyText"/>
      </w:pPr>
      <w:r>
        <w:rPr>
          <w:bCs/>
          <w:b/>
        </w:rPr>
        <w:t xml:space="preserve">Якого саме пункту 19 найімовірніше стосується відмова.</w:t>
      </w:r>
      <w:r>
        <w:t xml:space="preserve"> </w:t>
      </w:r>
      <w:r>
        <w:t xml:space="preserve">За наявними даними — абз. 2 (невідповідність п. 4: строк діяльності) або абз. 4 («підсумковий бал менше 130») чи новий останній абзац («неузгодженість відомостей у заяві, бізнес-плані та на співбесіді»). Якщо у рішенні вказано «набрання 98 і менше балів за результатами перевірки банком» — проблема в кредитній історії/репутаційних критеріях, і її треба вирішувати окремо від плану (розділ 6).</w:t>
      </w:r>
    </w:p>
    <w:p>
      <w:r>
        <w:pict>
          <v:rect style="width:0;height:1.5pt" o:hralign="center" o:hrstd="t" o:hr="t"/>
        </w:pict>
      </w:r>
    </w:p>
    <w:bookmarkEnd w:id="22"/>
    <w:bookmarkStart w:id="23" w:name="X1e8d418ee73b97e8409a6059f2df870c56c17c3"/>
    <w:p>
      <w:pPr>
        <w:pStyle w:val="Heading2"/>
      </w:pPr>
      <w:r>
        <w:t xml:space="preserve">4. Як рахують бали і що в них може змінити заявниця</w:t>
      </w:r>
    </w:p>
    <w:p>
      <w:pPr>
        <w:pStyle w:val="FirstParagraph"/>
      </w:pPr>
      <w:r>
        <w:rPr>
          <w:bCs/>
          <w:b/>
        </w:rPr>
        <w:t xml:space="preserve">Банк (до 200 балів; треба ≥ 99).</w:t>
      </w:r>
      <w:r>
        <w:t xml:space="preserve"> </w:t>
      </w:r>
      <w:r>
        <w:t xml:space="preserve">Критерії для ФОП — додаток 3 до наказу № 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залежить від заявниці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Кредитна історія — 75 балів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погашені кредити (0/10/14/20), максимальне прострочення (20 за відсутність; 10, якщо позик не було), прострочення &lt; 90 днів за 2 роки (20 за 0), запити на кредит за 12 міс. (15, якщо &lt;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брати кредитів «для історії»; закрити будь-які прострочення;</w:t>
            </w:r>
            <w:r>
              <w:t xml:space="preserve"> </w:t>
            </w:r>
            <w:r>
              <w:rPr>
                <w:bCs/>
                <w:b/>
              </w:rPr>
              <w:t xml:space="preserve">12 місяців до подання не подавати кредитних заявок</w:t>
            </w:r>
            <w:r>
              <w:t xml:space="preserve">; взяти звіт в УБКІ/ПВБКІ і переконатися, що він чистий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Фінансові фактори — 48 балів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платіж за кредитами до доходу (14, якщо &lt; 0,1); нові робочі місця (2 місця — 3, 3+ — 4); рентабельність за планом (&gt; 0,5 — 6); окупність (&lt; 1 року — 4, ≈ 3 роки — 3);</w:t>
            </w:r>
            <w:r>
              <w:t xml:space="preserve"> </w:t>
            </w:r>
            <w:r>
              <w:rPr>
                <w:bCs/>
                <w:b/>
              </w:rPr>
              <w:t xml:space="preserve">участь власними коштами (&gt; 50 % — 20; 30–50 % — 4 або 14; 15–30 % —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версія 2 дає ≈ 30 балів з 48; якщо підтвердити власну участь понад 50 % (наприклад, власне обладнання та приміщення в оцінці, більший резерв) — ще +16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Нефінансові фактори — 77 балів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нерухомість для бізнесу (не потрібна/власна — 10; родичів — 7;</w:t>
            </w:r>
            <w:r>
              <w:t xml:space="preserve"> </w:t>
            </w:r>
            <w:r>
              <w:rPr>
                <w:bCs/>
                <w:b/>
              </w:rPr>
              <w:t xml:space="preserve">оренда &gt; 1 року — 4; оренда &lt; 1 року — 0</w:t>
            </w:r>
            <w:r>
              <w:t xml:space="preserve">); транспорт (не потрібен — 10); сімейний стан; утриманці; активи у власності (житло — 10); вік (46–55 — 4); стаж (&gt; 12 років — 4); користування банком (</w:t>
            </w:r>
            <w:r>
              <w:rPr>
                <w:bCs/>
                <w:b/>
              </w:rPr>
              <w:t xml:space="preserve">депозит — 5</w:t>
            </w:r>
            <w:r>
              <w:t xml:space="preserve">, рахунок — 2); освіта (магістр — 3); населений пункт (&lt; 20 тис. — 0); цивільні справи (немає — 2); ризик галузі (низький —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договір оренди на 12+ місяців або власне/родинне приміщення; депозит в уповноваженому банку; перевірити відсутність судових справ; усе наявне майно та стаж вказати у заяві</w:t>
            </w:r>
          </w:p>
        </w:tc>
      </w:tr>
    </w:tbl>
    <w:p>
      <w:pPr>
        <w:pStyle w:val="BodyText"/>
      </w:pPr>
      <w:r>
        <w:t xml:space="preserve">Орієнтовний підрахунок для версії 2 (калькулятор у</w:t>
      </w:r>
      <w:r>
        <w:t xml:space="preserve"> </w:t>
      </w:r>
      <w:r>
        <w:rPr>
          <w:rStyle w:val="VerbatimChar"/>
        </w:rPr>
        <w:t xml:space="preserve">03_Фінансова_модель_і_бали.xlsx</w:t>
      </w:r>
      <w:r>
        <w:t xml:space="preserve">, аркуш «Оцінка балів»): критерії, які визначаються планом і діями заявниці, дають близько</w:t>
      </w:r>
      <w:r>
        <w:t xml:space="preserve"> </w:t>
      </w:r>
      <w:r>
        <w:rPr>
          <w:bCs/>
          <w:b/>
        </w:rPr>
        <w:t xml:space="preserve">100 балів</w:t>
      </w:r>
      <w:r>
        <w:t xml:space="preserve"> </w:t>
      </w:r>
      <w:r>
        <w:t xml:space="preserve">навіть без кредитної історії; особисті дані (шлюб, діти, житло, вік, стаж, освіта) додають ще 20–40. Отже, поріг банку (99) досяжний, а загальний поріг 130 досягається зі співбесідою на 30–35 балів із 50. Це оцінка, а не гарантія: бали виставляє банк за своїми даними.</w:t>
      </w:r>
    </w:p>
    <w:p>
      <w:pPr>
        <w:pStyle w:val="BodyText"/>
      </w:pPr>
      <w:r>
        <w:rPr>
          <w:bCs/>
          <w:b/>
        </w:rPr>
        <w:t xml:space="preserve">Співбесіда (до 50 балів).</w:t>
      </w:r>
      <w:r>
        <w:t xml:space="preserve"> </w:t>
      </w:r>
      <w:r>
        <w:t xml:space="preserve">П'ять критеріїв, за кожним 0/3/5/7/10: мотивація; розуміння бізнес-плану; розуміння маркетингового плану; розуміння операційного плану (персонал, податки, закупівлі); релевантний досвід. Підготовка — у</w:t>
      </w:r>
      <w:r>
        <w:t xml:space="preserve"> </w:t>
      </w:r>
      <w:r>
        <w:rPr>
          <w:rStyle w:val="VerbatimChar"/>
        </w:rPr>
        <w:t xml:space="preserve">04_Чеклист_подання_та_співбесіда.md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31fbb694e51e93fb7f7a1a10add3ba6415b4e26"/>
    <w:p>
      <w:pPr>
        <w:pStyle w:val="Heading2"/>
      </w:pPr>
      <w:r>
        <w:t xml:space="preserve">5. Що змінено у версії 2 і чому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Версія І (подана)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Версія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Сума гранту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1 799 898 грн (база 1 500 000 + 20 % за 2 робочі місця)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1 000 000 грн</w:t>
            </w:r>
            <w:r>
              <w:t xml:space="preserve">, без надбавок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податки + ЄСВ за 36 міс. мають покрити грант (п. 23); з 2 працівниками реалістично покривається 1,0–1,2 млн; запит без доказів «під стелю» підриває довіру на співбесіді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міс. (календар на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міс., М1 = місяць зарахування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60 міс. можна було б просити більше, але зобов'язання тривали б до 2032 р. і 54 міс. зайнятості; 36 — баланс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Робочі місця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 юристи + бухгалтер), 75 000 грн/міс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: консультант з комплаєнсу 25 000 + аналітик-адміністратор 20 000 (індексація +10 % щороку); бухгалтерія на аутсорсингу 3 000/міс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обов'язкове 1, друге дає бали і потужність; штатний бухгалтер для 3 осіб — зайва витрата, яку перевіряючі ставлять під сумнів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360 000 на 24 міс.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180 000 на 12 міс. (18 %)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використати за 3 місяці можна лише передоплатою за договором; 12 місяців — прийнятно і в межах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613 758 (34 %)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чуже приміщення, без кошторису і згоди; найбільша «червона» позиція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Обладнання і меблі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369 140 без специфікації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390 000 з переліком і цінами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деталізація обов'язкова для оплати банком (п. 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ПЗ / сайт / налаштування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/ 178 000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180 000 / 95 000 / 40 000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ліцензії LIGA360, YouControl, M365, CRM — основний інструмент послуг; сайт у межах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Маркетинг / брендинг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95 000 + 20 000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межах 10 % і 50 %; далі реклама з доходу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Власні кошти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385 860 (навчання), у формі помилково «2 185 758»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485 860 = навчання 385 860 + резерв 100 000 (33 %)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 за участь; резерв закриває касовий розрив перших місяців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без цін, «комплаєнс-аудит», юридичні послуги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пакетів з цінами, нормативами годин і результатом; без аудиту та юрпослуг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КВЕД 70.22, ПКУ 291.5.2; зрозуміло для співбесіди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200 000 → 750 000 грн/міс; 20 220 000 за 36 міс.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62 000 → 234 000 грн/міс;</w:t>
            </w:r>
            <w:r>
              <w:t xml:space="preserve"> </w:t>
            </w:r>
            <w:r>
              <w:rPr>
                <w:bCs/>
                <w:b/>
              </w:rPr>
              <w:t xml:space="preserve">6 546 000</w:t>
            </w:r>
            <w:r>
              <w:t xml:space="preserve"> </w:t>
            </w:r>
            <w:r>
              <w:t xml:space="preserve">за 36 міс. (1 404 000 / 2 334 000 / 2 808 000 за роками)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реалістично для команди з 3 осіб; побудовано від кількості послуг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Податки та ЄСВ за 36 міс.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2 746 134 (на нереальному доході)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1 278 364</w:t>
            </w:r>
            <w:r>
              <w:t xml:space="preserve"> </w:t>
            </w:r>
            <w:r>
              <w:t xml:space="preserve">(ПДФО 324 000; ВЗ працівників 90 000; ЄСВ працівників 396 000; ЄП 327 300; ВЗ ФОП 65 460; ЄСВ ФОП 75 604); покриття гранту у М30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умова п. 23 виконується із запасом 28 %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Стрес-тести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дохід −20 %: податки 1 199 812 (покриття М31); −30 %: 1 160 536 (М32); старт на 3 міс. пізніше: 1 266 304 (М30); зарплати +15 %: 1 399 864 (М28)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умова «податки ≥ грант» стійка; слабке місце — ліквідність у М2–М6 за поганого сценарію, тому резерв і мінімальні вилучення в перший рік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«рентабельність 100 %», прибуток 3 303 695, потік 7 926 305, окупність 36 міс.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операційний прибуток 2 618 636 (рентабельність 67 %: 51/61/81 % за роками); окупність 1,7 року; ROI 176 % за 36 міс.; IRR 36,8 % річних; беззбитковість з М3; залишок коштів на М36 — 1 908 636; мінімальний залишок 66 699 (М5)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усе з однієї таблиці, звірено скриптом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перезаписана формула, ручні підсумки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чистий шаблон Дії, формули цілі; виправлено лише 3 клітинки «Всього» (BM27, BM46, BM74), які в шаблоні завжди дають 0, і формули ЄП/ВЗ ФОП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вимога № 1527; примітки у рядках 85–87 таблиці пояснюють правки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Бюджет гранту версії 2 і ліміти п. 7: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Сума, грн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Ліміт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Комп'ютерна техніка та обладнання робочих місць (ноутбуки 3, монітори 3, БФП, зарядна станція, мережа/NAS, гарнітури, екран, шредер, сейф)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ліміту (пп. 1,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Меблі для 3 робочих місць і переговорної зони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ліміту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Ліцензійне ПЗ на 12 міс. (LIGA360, YouControl, Microsoft 365, CRM, документообіг/КЕП, антивірус, відеозв'язок)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Вебсайт з базою знань та інтеграцією з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Налаштування та інтеграція цифрових рішень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Маркетинг та 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Фірмовий стиль і промоматеріали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Оренда офісу, 12 місяців × 15 000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Разом грант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Власні кошти: навчання ICA 385 860 + оборотний резерв 100 000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485 860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32,7 % бюджету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Загальний бюджет проєкту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1 485 860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Три поля у версії 2, які може заповнити лише заявниця</w:t>
      </w:r>
      <w:r>
        <w:t xml:space="preserve"> </w:t>
      </w:r>
      <w:r>
        <w:t xml:space="preserve">(позначені квадратними дужками; перед поданням їх треба замінити фактами):</w:t>
      </w:r>
      <w:r>
        <w:t xml:space="preserve"> </w:t>
      </w:r>
      <w:r>
        <w:rPr>
          <w:rStyle w:val="VerbatimChar"/>
        </w:rPr>
        <w:t xml:space="preserve">Бізнес план!B11</w:t>
      </w:r>
      <w:r>
        <w:t xml:space="preserve"> </w:t>
      </w:r>
      <w:r>
        <w:t xml:space="preserve">— роки роботи директором ліцею;</w:t>
      </w:r>
      <w:r>
        <w:t xml:space="preserve"> </w:t>
      </w:r>
      <w:r>
        <w:rPr>
          <w:rStyle w:val="VerbatimChar"/>
        </w:rPr>
        <w:t xml:space="preserve">B16</w:t>
      </w:r>
      <w:r>
        <w:t xml:space="preserve"> </w:t>
      </w:r>
      <w:r>
        <w:t xml:space="preserve">— рівень вищої освіти і спеціальність;</w:t>
      </w:r>
      <w:r>
        <w:t xml:space="preserve"> </w:t>
      </w:r>
      <w:r>
        <w:rPr>
          <w:rStyle w:val="VerbatimChar"/>
        </w:rPr>
        <w:t xml:space="preserve">B51</w:t>
      </w:r>
      <w:r>
        <w:t xml:space="preserve"> </w:t>
      </w:r>
      <w:r>
        <w:t xml:space="preserve">— площа приміщення та реквізити договору оренди. Також оновити дату у</w:t>
      </w:r>
      <w:r>
        <w:t xml:space="preserve"> </w:t>
      </w:r>
      <w:r>
        <w:rPr>
          <w:rStyle w:val="VerbatimChar"/>
        </w:rPr>
        <w:t xml:space="preserve">B78</w:t>
      </w:r>
      <w:r>
        <w:t xml:space="preserve"> </w:t>
      </w:r>
      <w:r>
        <w:t xml:space="preserve">на день подання.</w:t>
      </w:r>
    </w:p>
    <w:p>
      <w:r>
        <w:pict>
          <v:rect style="width:0;height:1.5pt" o:hralign="center" o:hrstd="t" o:hr="t"/>
        </w:pict>
      </w:r>
    </w:p>
    <w:bookmarkEnd w:id="24"/>
    <w:bookmarkStart w:id="25" w:name="X33003dfffbae8a3178d7248abdbe7b4237956ba"/>
    <w:p>
      <w:pPr>
        <w:pStyle w:val="Heading2"/>
      </w:pPr>
      <w:r>
        <w:t xml:space="preserve">6. Де взяти текст відмови і як його читати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Кабінет у Дії</w:t>
      </w:r>
      <w:r>
        <w:t xml:space="preserve"> </w:t>
      </w:r>
      <w:r>
        <w:t xml:space="preserve">(my.diia.gov.ua → «Мої заяви» → заява на грант): регіональний центр зайнятості надсилає повідомлення про рішення саме туди (п. 21 Порядку). Зберегти скріншот і текст повністю.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Письмовий запит до Черкаського обласного центру зайнятості</w:t>
      </w:r>
      <w:r>
        <w:t xml:space="preserve"> </w:t>
      </w:r>
      <w:r>
        <w:t xml:space="preserve">(або через гарячу лінію Державної служби зайнятості 15-45): попросити надати копію рішення із зазначенням</w:t>
      </w:r>
      <w:r>
        <w:t xml:space="preserve"> </w:t>
      </w:r>
      <w:r>
        <w:rPr>
          <w:bCs/>
          <w:b/>
        </w:rPr>
        <w:t xml:space="preserve">підстави з п. 19 Порядку</w:t>
      </w:r>
      <w:r>
        <w:t xml:space="preserve">, кількості балів банку та балів за співбесіду. Це інформація про саму заявницю, її зобов'язані надати.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Що означають типові формулювання: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Формулювання у рішенні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це означає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робити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«невідповідність вимогам пунктів 4 та/або 9 Порядку»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 діяльності ФОП &lt; 6 міс. або інша умова допуску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чекати 17.02.2027; версія 2 вже це враховує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«набрання 98 і менше балів за результатами перевірки банком»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балів за кредитною історією/фінансовими/нефінансовими критеріями або «інформація для відображення» з реєстрів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взяти кредитний звіт, перевірити реєстри; підвищити власну участь, оренду 12+ міс., депозит (розділ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«негативна ділова репутація»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спрацював стоп-критерій дод. 1 (прострочений кредит, виконавче провадження, податковий борг, судова справа)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усунути причину і отримати підтвердження (довідка про відсутність боргу, закриття провадження) до подання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«набрання підсумкового бала менше 130»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 + співбесіда не дотягнули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версія 2 + підготовка до співбесіди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«відсутність/невідповідність у бізнес-плані напрямів витрат… та видатків на зарплату і податки у сумі гранту»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не показав, що зарплата + податки покриють грант, або витрати поза п.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версії 2 зарплата 1 800 000 + податки 1 278 364 ≫ 1 000 000; усі витрати за п.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«неузгодженість відомостей у заяві, бізнес-плані та на співбесіді»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різні цифри/КВЕД/адреси у трьох джерелах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подавати заяву в Дії з тими самими цифрами, що у версії 2 (сума, дохід, 2 робочі місця, окупність 2 роки, власні кошти 485 860)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«неподання доопрацьованого бізнес-плану у строк»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повертали на доопрацювання, а відповідь не надійшла за 10 робочих днів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наступного разу стежити за кабінетом Дії щодня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90cbd8d4968bc9ac378715e3dbbfa716a7d616f"/>
    <w:p>
      <w:pPr>
        <w:pStyle w:val="Heading2"/>
      </w:pPr>
      <w:r>
        <w:t xml:space="preserve">7. Порівняння з аналізом ChatGPT від 16.10.2026</w:t>
      </w:r>
    </w:p>
    <w:p>
      <w:pPr>
        <w:pStyle w:val="FirstParagraph"/>
      </w:pPr>
      <w:r>
        <w:t xml:space="preserve">Аналіз ChatGPT якісно виявив арифметичні дефекти файла (32 зауваження) і правильно вказав на оренду, ремонт, КВЕД і «аудит». Відмінності цього висновку: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Цей аналіз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 діяльності ФОП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«універсальної вимоги 6 місяців немає» — це було правильно до 06.10.2026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 06.10.2026 вимога є (постанова № 1214); саме вона визначає дату повторного подання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Сума гранту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залишено 1 799 898 з надбавкою +20 %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без надбавок: покривається податками навіть при −30 % доходу і не потребує зобов'язання на 2 місця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«умовний аванс 360 000 за 24 місяці»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місяців за 180 000 у межах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залишено 613 758 «за умови документів»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вилучено як головний ризик неоплати банком і зауважень комісії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Дохід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збережено 20 220 000 за 36 міс. «як припущення»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перебудовано від кількості послуг: 6 546 000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Власні кошти у формі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помилкою шаблону «E96 = 2 185 758»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 задум шаблону («Разом» = загальний бюджет); у версії 2 підписано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«XLSX не є готовим файлом для Дії»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 06.10.2026 Положення № 1527 прямо вимагає XLSX + PDF, сформований з XLSX; обидва додаються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подання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визначено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етап 16–25 лютого 2027 р. (або 1–12 березня)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0ca46263efa96b95d4c0a6ab05430bf2382f791"/>
    <w:p>
      <w:pPr>
        <w:pStyle w:val="Heading2"/>
      </w:pPr>
      <w:r>
        <w:t xml:space="preserve">8. Чесні застереження та зобов'язання за договором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Гарантії схвалення немає.</w:t>
      </w:r>
      <w:r>
        <w:t xml:space="preserve"> </w:t>
      </w:r>
      <w:r>
        <w:t xml:space="preserve">Рішення ухвалює Державний центр зайнятості за балами й у межах коштів Фонду; при перевищенні бюджету гранти отримують заяви з найбільшою кількістю балів, решта переходить на наступний період без переоцінки.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Правила змінюються швидко</w:t>
      </w:r>
      <w:r>
        <w:t xml:space="preserve"> </w:t>
      </w:r>
      <w:r>
        <w:t xml:space="preserve">(три зміни за 2026 рік). Перед поданням звірити чинну редакцію Порядку, наказу № 2 і форму шаблону на сайті Дії. Поля «мінімальна зарплата 2027» і ЄСВ ФОП оновити після ухвалення бюджету-2027.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Після отримання гранту</w:t>
      </w:r>
      <w:r>
        <w:t xml:space="preserve"> </w:t>
      </w:r>
      <w:r>
        <w:t xml:space="preserve">(п. 22–23, 25 Порядку): укласти договір і подати документи для рахунка за 10 робочих днів; витратити кошти і створити робоче місце за 3 місяці (інакше повернення всієї суми); утримувати працівника на обов'язковому місці не менше 24 місяців при строку 36 (звільненого замінити); сплатити за 36 місяців податків, зборів і ЄСВ не менше суми гранту (різницю повертають протягом 2 місяців після завершення строку); не відчужувати придбане майно; повідомляти центр зайнятості про зміну адреси або переміщення обладнання за 10 робочих днів; зміни цільового призначення — лише через заяву і рішення ДЦЗ (п. 32).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Податковий статус гранту</w:t>
      </w:r>
      <w:r>
        <w:t xml:space="preserve"> </w:t>
      </w:r>
      <w:r>
        <w:t xml:space="preserve">у моделі прийнято як «не включається до доходу ЄП» (п. 292.11 ПКУ). Якщо бухгалтер або ДПС вважатимуть інакше, додаткові ЄП + ВЗ становитимуть 60 000 грн — закласти в резерв.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Альтернативи, які не рекомендовано:</w:t>
      </w:r>
      <w:r>
        <w:t xml:space="preserve"> </w:t>
      </w:r>
      <w:r>
        <w:t xml:space="preserve">закрити ФОП і подати як фізична особа на «започаткування» (стеля 300 000/500 000 грн, втрата безперервності, ризик трактування як обходу правил); просити 60 місяців і 1,5–2,5 млн (зобов'язання до 2032 року, 54 місяці зайнятості на кожному обов'язковому місці).</w:t>
      </w:r>
    </w:p>
    <w:p>
      <w:r>
        <w:pict>
          <v:rect style="width:0;height:1.5pt" o:hralign="center" o:hrstd="t" o:hr="t"/>
        </w:pict>
      </w:r>
    </w:p>
    <w:bookmarkEnd w:id="27"/>
    <w:bookmarkStart w:id="36" w:name="X57d4d6d21a326043c6e287c4349638043e35683"/>
    <w:p>
      <w:pPr>
        <w:pStyle w:val="Heading2"/>
      </w:pPr>
      <w:r>
        <w:t xml:space="preserve">9. Нормативна база (посилання)</w:t>
      </w:r>
    </w:p>
    <w:p>
      <w:pPr>
        <w:numPr>
          <w:ilvl w:val="0"/>
          <w:numId w:val="1004"/>
        </w:numPr>
        <w:pStyle w:val="Compact"/>
      </w:pPr>
      <w:r>
        <w:t xml:space="preserve">Постанова КМУ № 738 (чинна редакція з Порядком надання грантів на започаткування або масштабування власної справи):</w:t>
      </w:r>
      <w:r>
        <w:t xml:space="preserve"> </w:t>
      </w:r>
      <w:hyperlink r:id="rId28">
        <w:r>
          <w:rPr>
            <w:rStyle w:val="Hyperlink"/>
          </w:rPr>
          <w:t xml:space="preserve">https://zakon.rada.gov.ua/laws/show/738-2022-п</w:t>
        </w:r>
      </w:hyperlink>
    </w:p>
    <w:p>
      <w:pPr>
        <w:numPr>
          <w:ilvl w:val="0"/>
          <w:numId w:val="1004"/>
        </w:numPr>
        <w:pStyle w:val="Compact"/>
      </w:pPr>
      <w:r>
        <w:t xml:space="preserve">Постанова КМУ № 616 від 15.05.2026 (новий Порядок з 01.09.2026):</w:t>
      </w:r>
      <w:r>
        <w:t xml:space="preserve"> </w:t>
      </w:r>
      <w:hyperlink r:id="rId29">
        <w:r>
          <w:rPr>
            <w:rStyle w:val="Hyperlink"/>
          </w:rPr>
          <w:t xml:space="preserve">https://zakon.rada.gov.ua/laws/show/616-2026-п</w:t>
        </w:r>
      </w:hyperlink>
    </w:p>
    <w:p>
      <w:pPr>
        <w:numPr>
          <w:ilvl w:val="0"/>
          <w:numId w:val="1004"/>
        </w:numPr>
        <w:pStyle w:val="Compact"/>
      </w:pPr>
      <w:r>
        <w:t xml:space="preserve">Постанова КМУ № 1214 від 30.09.2026 (вимога 6 місяців, XLSX + PDF, нові підстави відмови):</w:t>
      </w:r>
      <w:r>
        <w:t xml:space="preserve"> </w:t>
      </w:r>
      <w:hyperlink r:id="rId30">
        <w:r>
          <w:rPr>
            <w:rStyle w:val="Hyperlink"/>
          </w:rPr>
          <w:t xml:space="preserve">https://zakon.rada.gov.ua/laws/show/1214-2026-п</w:t>
        </w:r>
      </w:hyperlink>
    </w:p>
    <w:p>
      <w:pPr>
        <w:numPr>
          <w:ilvl w:val="0"/>
          <w:numId w:val="1004"/>
        </w:numPr>
        <w:pStyle w:val="Compact"/>
      </w:pPr>
      <w:r>
        <w:t xml:space="preserve">Постанова КМУ № 1527 від 26.11.2025 (Положення про бізнес-плани):</w:t>
      </w:r>
      <w:r>
        <w:t xml:space="preserve"> </w:t>
      </w:r>
      <w:hyperlink r:id="rId31">
        <w:r>
          <w:rPr>
            <w:rStyle w:val="Hyperlink"/>
          </w:rPr>
          <w:t xml:space="preserve">https://zakon.rada.gov.ua/laws/show/1527-2025-п</w:t>
        </w:r>
      </w:hyperlink>
    </w:p>
    <w:p>
      <w:pPr>
        <w:numPr>
          <w:ilvl w:val="0"/>
          <w:numId w:val="1004"/>
        </w:numPr>
        <w:pStyle w:val="Compact"/>
      </w:pPr>
      <w:r>
        <w:t xml:space="preserve">Наказ Мінекономіки № 2 від 22.07.2026 (оцінювання, критерії, строки подання):</w:t>
      </w:r>
      <w:r>
        <w:t xml:space="preserve"> </w:t>
      </w:r>
      <w:hyperlink r:id="rId32">
        <w:r>
          <w:rPr>
            <w:rStyle w:val="Hyperlink"/>
          </w:rPr>
          <w:t xml:space="preserve">https://zakon.rada.gov.ua/laws/show/z1185-26</w:t>
        </w:r>
      </w:hyperlink>
    </w:p>
    <w:p>
      <w:pPr>
        <w:numPr>
          <w:ilvl w:val="0"/>
          <w:numId w:val="1004"/>
        </w:numPr>
        <w:pStyle w:val="Compact"/>
      </w:pPr>
      <w:r>
        <w:t xml:space="preserve">Послуга в Дії та чинний шаблон бізнес-плану:</w:t>
      </w:r>
      <w:r>
        <w:t xml:space="preserve"> </w:t>
      </w:r>
      <w:hyperlink r:id="rId33">
        <w:r>
          <w:rPr>
            <w:rStyle w:val="Hyperlink"/>
          </w:rPr>
          <w:t xml:space="preserve">https://diia.gov.ua/services/zapochatkuvannia-ta-masshtabuvannia-vlasnoi-spravy</w:t>
        </w:r>
      </w:hyperlink>
    </w:p>
    <w:p>
      <w:pPr>
        <w:numPr>
          <w:ilvl w:val="0"/>
          <w:numId w:val="1004"/>
        </w:numPr>
        <w:pStyle w:val="Compact"/>
      </w:pPr>
      <w:r>
        <w:t xml:space="preserve">Податковий кодекс (ст. 291–293, п. 292.11):</w:t>
      </w:r>
      <w:r>
        <w:t xml:space="preserve"> </w:t>
      </w:r>
      <w:hyperlink r:id="rId34">
        <w:r>
          <w:rPr>
            <w:rStyle w:val="Hyperlink"/>
          </w:rPr>
          <w:t xml:space="preserve">https://zakon.rada.gov.ua/laws/show/2755-17</w:t>
        </w:r>
      </w:hyperlink>
    </w:p>
    <w:p>
      <w:pPr>
        <w:numPr>
          <w:ilvl w:val="0"/>
          <w:numId w:val="1004"/>
        </w:numPr>
        <w:pStyle w:val="Compact"/>
      </w:pPr>
      <w:r>
        <w:t xml:space="preserve">Закон «Про запобігання корупції», ст. 62:</w:t>
      </w:r>
      <w:r>
        <w:t xml:space="preserve"> </w:t>
      </w:r>
      <w:hyperlink r:id="rId35">
        <w:r>
          <w:rPr>
            <w:rStyle w:val="Hyperlink"/>
          </w:rPr>
          <w:t xml:space="preserve">https://zakon.rada.gov.ua/laws/show/1700-18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37" w:name="Xc26aae5d0ffed303c0b0688403342eb1e137d32"/>
    <w:p>
      <w:pPr>
        <w:pStyle w:val="Heading2"/>
      </w:pPr>
      <w:r>
        <w:t xml:space="preserve">10. Файли в репозиторії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02_БП_Федоренко_версія_2.xlsx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виправлений бізнес-план в офіційному шаблоні Дії; після заповнення трьох полів «[уточнити]» і дати — подається разом із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02_БП_Федоренко_версія_2.pdf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сформований з цього XLSX (вимога Положення № 1527); після правок у XLSX сформувати заново (Файл → Експорт у 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03_Фінансова_модель_і_бали.xlsx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допоміжна модель: припущення, пакети послуг, помісячний план, сценарії, калькулятор балів за дод. 3, перевірка лімітів п. 7; не подається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04_Чеклист_подання_та_співбесіда.md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покроковий чек-лист до подання, перелік документів, запитання співбесіди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tools/model.py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tools/build_bp.py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tools/verify_bp.py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tools/build_model_xlsx.py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скрипти: єдине джерело цифр, збирання форми з чистого шаблону, незалежна перевірка, побудова моделі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FOP_Fedorenko_*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БП_грант_власна_справа І (1).xlsx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вихідні матеріали (подана версія І та аналіз ChatGPT)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iia.gov.ua/services/zapochatkuvannia-ta-masshtabuvannia-vlasnoi-spravy" TargetMode="External" /><Relationship Type="http://schemas.openxmlformats.org/officeDocument/2006/relationships/hyperlink" Id="rId30" Target="https://zakon.rada.gov.ua/laws/show/1214-2026-&#1087;" TargetMode="External" /><Relationship Type="http://schemas.openxmlformats.org/officeDocument/2006/relationships/hyperlink" Id="rId31" Target="https://zakon.rada.gov.ua/laws/show/1527-2025-&#1087;" TargetMode="External" /><Relationship Type="http://schemas.openxmlformats.org/officeDocument/2006/relationships/hyperlink" Id="rId35" Target="https://zakon.rada.gov.ua/laws/show/1700-18" TargetMode="External" /><Relationship Type="http://schemas.openxmlformats.org/officeDocument/2006/relationships/hyperlink" Id="rId34" Target="https://zakon.rada.gov.ua/laws/show/2755-17" TargetMode="External" /><Relationship Type="http://schemas.openxmlformats.org/officeDocument/2006/relationships/hyperlink" Id="rId29" Target="https://zakon.rada.gov.ua/laws/show/616-2026-&#1087;" TargetMode="External" /><Relationship Type="http://schemas.openxmlformats.org/officeDocument/2006/relationships/hyperlink" Id="rId28" Target="https://zakon.rada.gov.ua/laws/show/738-2022-&#1087;" TargetMode="External" /><Relationship Type="http://schemas.openxmlformats.org/officeDocument/2006/relationships/hyperlink" Id="rId32" Target="https://zakon.rada.gov.ua/laws/show/z1185-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iia.gov.ua/services/zapochatkuvannia-ta-masshtabuvannia-vlasnoi-spravy" TargetMode="External" /><Relationship Type="http://schemas.openxmlformats.org/officeDocument/2006/relationships/hyperlink" Id="rId30" Target="https://zakon.rada.gov.ua/laws/show/1214-2026-&#1087;" TargetMode="External" /><Relationship Type="http://schemas.openxmlformats.org/officeDocument/2006/relationships/hyperlink" Id="rId31" Target="https://zakon.rada.gov.ua/laws/show/1527-2025-&#1087;" TargetMode="External" /><Relationship Type="http://schemas.openxmlformats.org/officeDocument/2006/relationships/hyperlink" Id="rId35" Target="https://zakon.rada.gov.ua/laws/show/1700-18" TargetMode="External" /><Relationship Type="http://schemas.openxmlformats.org/officeDocument/2006/relationships/hyperlink" Id="rId34" Target="https://zakon.rada.gov.ua/laws/show/2755-17" TargetMode="External" /><Relationship Type="http://schemas.openxmlformats.org/officeDocument/2006/relationships/hyperlink" Id="rId29" Target="https://zakon.rada.gov.ua/laws/show/616-2026-&#1087;" TargetMode="External" /><Relationship Type="http://schemas.openxmlformats.org/officeDocument/2006/relationships/hyperlink" Id="rId28" Target="https://zakon.rada.gov.ua/laws/show/738-2022-&#1087;" TargetMode="External" /><Relationship Type="http://schemas.openxmlformats.org/officeDocument/2006/relationships/hyperlink" Id="rId32" Target="https://zakon.rada.gov.ua/laws/show/z1185-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2026-10-18T05:51:40Z</dcterms:created>
  <dcterms:modified xsi:type="dcterms:W3CDTF">2026-10-18T05:51:40Z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