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СЛУЖБОВА КАРТКА — КЛІЄНТУ НЕ НАДСИЛАТИ</w:t>
      </w:r>
    </w:p>
    <w:p>
      <w:pPr>
        <w:jc w:val="center"/>
      </w:pPr>
      <w:hyperlink r:id="rId9">
        <w:r>
          <w:rPr>
            <w:color w:val="0563C1"/>
            <w:u w:val="single"/>
            <w:b/>
          </w:rPr>
          <w:t>UA-2026-08-07-008904-a</w:t>
        </w:r>
      </w:hyperlink>
    </w:p>
    <w:p>
      <w:pPr>
        <w:jc w:val="center"/>
      </w:pPr>
      <w:r>
        <w:rPr>
          <w:sz w:val="18"/>
        </w:rPr>
        <w:t>Картку сформовано 31.08.2026 13:45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515"/>
          </w:tcPr>
          <w:p>
            <w:r/>
            <w:r>
              <w:rPr>
                <w:b/>
              </w:rPr>
              <w:t>Закупівля</w:t>
            </w:r>
          </w:p>
        </w:tc>
        <w:tc>
          <w:tcPr>
            <w:tcW w:type="dxa" w:w="6576"/>
          </w:tcPr>
          <w:p>
            <w:r>
              <w:t>UA-2026-08-07-008904-a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Предмет</w:t>
            </w:r>
          </w:p>
        </w:tc>
        <w:tc>
          <w:tcPr>
            <w:tcW w:type="dxa" w:w="6576"/>
          </w:tcPr>
          <w:p>
            <w:r>
              <w:t>Поточний ремонт приміщень будівлі пральні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Класифікація для Clarity</w:t>
            </w:r>
          </w:p>
        </w:tc>
        <w:tc>
          <w:tcPr>
            <w:tcW w:type="dxa" w:w="6576"/>
          </w:tcPr>
          <w:p>
            <w:r>
              <w:t>роботи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Замовник</w:t>
            </w:r>
          </w:p>
        </w:tc>
        <w:tc>
          <w:tcPr>
            <w:tcW w:type="dxa" w:w="6576"/>
          </w:tcPr>
          <w:p>
            <w:r>
              <w:t>КНП «ТЯЧІВСЬКА РАЙОННА ЛІКАРНЯ» (ЄДРПОУ 01992682)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Стадія</w:t>
            </w:r>
          </w:p>
        </w:tc>
        <w:tc>
          <w:tcPr>
            <w:tcW w:type="dxa" w:w="6576"/>
          </w:tcPr>
          <w:p>
            <w:r>
              <w:t>розгляд пропозиції (awards)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Лист відправлено учаснику</w:t>
            </w:r>
          </w:p>
        </w:tc>
        <w:tc>
          <w:tcPr>
            <w:tcW w:type="dxa" w:w="6576"/>
          </w:tcPr>
          <w:p>
            <w:r>
              <w:t>2026-08-31 13:45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Кому фактично доставлено</w:t>
            </w:r>
          </w:p>
        </w:tc>
        <w:tc>
          <w:tcPr>
            <w:tcW w:type="dxa" w:w="6576"/>
          </w:tcPr>
          <w:p>
            <w:r>
              <w:t>ppvetik1@gmail.com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УЧАСНИК</w:t>
            </w:r>
          </w:p>
        </w:tc>
        <w:tc>
          <w:tcPr>
            <w:tcW w:type="dxa" w:w="6576"/>
          </w:tcPr>
          <w:p>
            <w:r>
              <w:t>ТЗОВ «ІРБУДТРАНС»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ЄДРПОУ учасника</w:t>
            </w:r>
          </w:p>
        </w:tc>
        <w:tc>
          <w:tcPr>
            <w:tcW w:type="dxa" w:w="6576"/>
          </w:tcPr>
          <w:p>
            <w:r>
              <w:t>37406974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Контактна особа</w:t>
            </w:r>
          </w:p>
        </w:tc>
        <w:tc>
          <w:tcPr>
            <w:tcW w:type="dxa" w:w="6576"/>
          </w:tcPr>
          <w:p>
            <w:r>
              <w:t>Тов Ірбудтранс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Телефон</w:t>
            </w:r>
          </w:p>
        </w:tc>
        <w:tc>
          <w:tcPr>
            <w:tcW w:type="dxa" w:w="6576"/>
          </w:tcPr>
          <w:p>
            <w:r>
              <w:t>+380979684440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E-mail</w:t>
            </w:r>
          </w:p>
        </w:tc>
        <w:tc>
          <w:tcPr>
            <w:tcW w:type="dxa" w:w="6576"/>
          </w:tcPr>
          <w:p>
            <w:r>
              <w:t>irbudtrans19@gmail.com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Регіон</w:t>
            </w:r>
          </w:p>
        </w:tc>
        <w:tc>
          <w:tcPr>
            <w:tcW w:type="dxa" w:w="6576"/>
          </w:tcPr>
          <w:p>
            <w:r>
              <w:t>Закарпатська область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Дата відхилення</w:t>
            </w:r>
          </w:p>
        </w:tc>
        <w:tc>
          <w:tcPr>
            <w:tcW w:type="dxa" w:w="6576"/>
          </w:tcPr>
          <w:p>
            <w:r>
              <w:t>2026-08-28 14:00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ПРОТОКОЛ / рішення</w:t>
            </w:r>
          </w:p>
        </w:tc>
        <w:tc>
          <w:tcPr>
            <w:tcW w:type="dxa" w:w="6576"/>
          </w:tcPr>
          <w:p>
            <w:hyperlink r:id="rId10">
              <w:r>
                <w:rPr>
                  <w:color w:val="0563C1"/>
                  <w:u w:val="single"/>
                </w:rPr>
                <w:t>Протокол уповноваженої особи.pdf</w:t>
              </w:r>
            </w:hyperlink>
            <w:r>
              <w:rPr>
                <w:sz w:val="14"/>
              </w:rPr>
              <w:t xml:space="preserve">  </w:t>
            </w:r>
            <w:hyperlink r:id="rId11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ВИМОГА про усунення за 24 год</w:t>
            </w:r>
          </w:p>
        </w:tc>
        <w:tc>
          <w:tcPr>
            <w:tcW w:type="dxa" w:w="6576"/>
          </w:tcPr>
          <w:p>
            <w:hyperlink r:id="rId12">
              <w:r>
                <w:rPr>
                  <w:color w:val="0563C1"/>
                  <w:u w:val="single"/>
                </w:rPr>
                <w:t>Повідомлення про усунення невідповідностей.pdf</w:t>
              </w:r>
            </w:hyperlink>
            <w:r>
              <w:rPr>
                <w:sz w:val="14"/>
              </w:rPr>
              <w:t xml:space="preserve">  </w:t>
            </w:r>
            <w:hyperlink r:id="rId13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ДОКУМЕНТИ УЧАСНИКА, названі в рішенні</w:t>
            </w:r>
          </w:p>
        </w:tc>
        <w:tc>
          <w:tcPr>
            <w:tcW w:type="dxa" w:w="6576"/>
          </w:tcPr>
          <w:p>
            <w:hyperlink r:id="rId14">
              <w:r>
                <w:rPr>
                  <w:color w:val="0563C1"/>
                  <w:u w:val="single"/>
                </w:rPr>
                <w:t>Довідка про наявність працівників.pdf</w:t>
              </w:r>
            </w:hyperlink>
            <w:r>
              <w:rPr>
                <w:sz w:val="14"/>
              </w:rPr>
              <w:t xml:space="preserve">  </w:t>
            </w:r>
            <w:hyperlink r:id="rId15">
              <w:r>
                <w:rPr>
                  <w:color w:val="0563C1"/>
                  <w:u w:val="single"/>
                </w:rPr>
                <w:t>Prozorro</w:t>
              </w:r>
            </w:hyperlink>
          </w:p>
          <w:p>
            <w:hyperlink r:id="rId16">
              <w:r>
                <w:rPr>
                  <w:color w:val="0563C1"/>
                  <w:u w:val="single"/>
                </w:rPr>
                <w:t>Банківська гарантія № 445.pdf</w:t>
              </w:r>
            </w:hyperlink>
            <w:r>
              <w:rPr>
                <w:sz w:val="14"/>
              </w:rPr>
              <w:t xml:space="preserve">  </w:t>
            </w:r>
            <w:hyperlink r:id="rId17">
              <w:r>
                <w:rPr>
                  <w:color w:val="0563C1"/>
                  <w:u w:val="single"/>
                </w:rPr>
                <w:t>Prozorro</w:t>
              </w:r>
            </w:hyperlink>
          </w:p>
          <w:p>
            <w:hyperlink r:id="rId18">
              <w:r>
                <w:rPr>
                  <w:color w:val="0563C1"/>
                  <w:u w:val="single"/>
                </w:rPr>
                <w:t>Аналогічний договір з актами.pdf</w:t>
              </w:r>
            </w:hyperlink>
            <w:r>
              <w:rPr>
                <w:sz w:val="14"/>
              </w:rPr>
              <w:t xml:space="preserve">  </w:t>
            </w:r>
            <w:hyperlink r:id="rId19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Решта документів пропозиції</w:t>
            </w:r>
          </w:p>
        </w:tc>
        <w:tc>
          <w:tcPr>
            <w:tcW w:type="dxa" w:w="6576"/>
          </w:tcPr>
          <w:p>
            <w:hyperlink r:id="rId20">
              <w:r>
                <w:rPr>
                  <w:color w:val="0563C1"/>
                  <w:u w:val="single"/>
                </w:rPr>
                <w:t>Статут.pdf</w:t>
              </w:r>
            </w:hyperlink>
            <w:r>
              <w:rPr>
                <w:sz w:val="14"/>
              </w:rPr>
              <w:t xml:space="preserve">  </w:t>
            </w:r>
            <w:hyperlink r:id="rId21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ДОКУМЕНТИ ТД — де шукати вимогу</w:t>
            </w:r>
          </w:p>
        </w:tc>
        <w:tc>
          <w:tcPr>
            <w:tcW w:type="dxa" w:w="6576"/>
          </w:tcPr>
          <w:p>
            <w:hyperlink r:id="rId22">
              <w:r>
                <w:rPr>
                  <w:color w:val="0563C1"/>
                  <w:u w:val="single"/>
                </w:rPr>
                <w:t>Тендерна документація.pdf</w:t>
              </w:r>
            </w:hyperlink>
            <w:r>
              <w:rPr>
                <w:sz w:val="14"/>
              </w:rPr>
              <w:t xml:space="preserve">  </w:t>
            </w:r>
            <w:hyperlink r:id="rId23">
              <w:r>
                <w:rPr>
                  <w:color w:val="0563C1"/>
                  <w:u w:val="single"/>
                </w:rPr>
                <w:t>Prozorro</w:t>
              </w:r>
            </w:hyperlink>
          </w:p>
          <w:p>
            <w:hyperlink r:id="rId24">
              <w:r>
                <w:rPr>
                  <w:color w:val="0563C1"/>
                  <w:u w:val="single"/>
                </w:rPr>
                <w:t>Додаток 2 Кваліфікаційні критерії.docx</w:t>
              </w:r>
            </w:hyperlink>
            <w:r>
              <w:rPr>
                <w:sz w:val="14"/>
              </w:rPr>
              <w:t xml:space="preserve">  </w:t>
            </w:r>
            <w:hyperlink r:id="rId25">
              <w:r>
                <w:rPr>
                  <w:color w:val="0563C1"/>
                  <w:u w:val="single"/>
                </w:rPr>
                <w:t>Prozorro</w:t>
              </w:r>
            </w:hyperlink>
          </w:p>
          <w:p>
            <w:hyperlink r:id="rId26">
              <w:r>
                <w:rPr>
                  <w:color w:val="0563C1"/>
                  <w:u w:val="single"/>
                </w:rPr>
                <w:t>Додаток 4 Проєкт договору.docx</w:t>
              </w:r>
            </w:hyperlink>
            <w:r>
              <w:rPr>
                <w:sz w:val="14"/>
              </w:rPr>
              <w:t xml:space="preserve">  </w:t>
            </w:r>
            <w:hyperlink r:id="rId27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Мотивованість рішення</w:t>
            </w:r>
          </w:p>
        </w:tc>
        <w:tc>
          <w:tcPr>
            <w:tcW w:type="dxa" w:w="6576"/>
          </w:tcPr>
          <w:p>
            <w:r>
              <w:t>усі підстави мають посилання на норму або пункт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Строк на скаргу</w:t>
            </w:r>
          </w:p>
        </w:tc>
        <w:tc>
          <w:tcPr>
            <w:tcW w:type="dxa" w:w="6576"/>
          </w:tcPr>
          <w:p>
            <w:r>
              <w:t>4 вересня 2026 р. · до 04.09.2026 23:59 за Києвом</w:t>
            </w:r>
          </w:p>
          <w:p>
            <w:r>
              <w:t>лишилось 106 год (4.4 дн.)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Плата до АМКУ за скаргу</w:t>
            </w:r>
          </w:p>
        </w:tc>
        <w:tc>
          <w:tcPr>
            <w:tcW w:type="dxa" w:w="6576"/>
          </w:tcPr>
          <w:p>
            <w:r>
              <w:t>24 272 грн  (ставка 0,6% від вартості ЛОТУ 4 045 480 грн, ПКМУ № 292 — звірити чинність)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Вартість лоту</w:t>
            </w:r>
          </w:p>
        </w:tc>
        <w:tc>
          <w:tcPr>
            <w:tcW w:type="dxa" w:w="6576"/>
          </w:tcPr>
          <w:p>
            <w:r>
              <w:t>4 045 480 грн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Ціна пропозиції учасника</w:t>
            </w:r>
          </w:p>
        </w:tc>
        <w:tc>
          <w:tcPr>
            <w:tcW w:type="dxa" w:w="6576"/>
          </w:tcPr>
          <w:p>
            <w:r>
              <w:t>2 251 738 грн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Різниця з переможцем</w:t>
            </w:r>
          </w:p>
        </w:tc>
        <w:tc>
          <w:tcPr>
            <w:tcW w:type="dxa" w:w="6576"/>
          </w:tcPr>
          <w:p>
            <w:r>
              <w:t>358 162 грн ДЕШЕВШЕ за переможця (2 609 900 грн у ТОВ «Переможець»)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Уже втрачено на платі за подання пропозиції</w:t>
            </w:r>
          </w:p>
        </w:tc>
        <w:tc>
          <w:tcPr>
            <w:tcW w:type="dxa" w:w="6576"/>
          </w:tcPr>
          <w:p>
            <w:r>
              <w:t>2 702.09 грн безповоротно (з 8 106.26 грн; ПКМУ № 565  дві третини повертає майданчик) — від ціни пропозиції 2 251 738 грн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Підстав у рішенні</w:t>
            </w:r>
          </w:p>
        </w:tc>
        <w:tc>
          <w:tcPr>
            <w:tcW w:type="dxa" w:w="6576"/>
          </w:tcPr>
          <w:p>
            <w:r>
              <w:t>3 — C01 R01, C02 R04, C03 R06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Варіант листа</w:t>
            </w:r>
          </w:p>
        </w:tc>
        <w:tc>
          <w:tcPr>
            <w:tcW w:type="dxa" w:w="6576"/>
          </w:tcPr>
          <w:p>
            <w:r>
              <w:t>B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Статус звернення</w:t>
            </w:r>
          </w:p>
        </w:tc>
        <w:tc>
          <w:tcPr>
            <w:tcW w:type="dxa" w:w="6576"/>
          </w:tcPr>
          <w:p>
            <w:r>
              <w:t>SENT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Відхилень цього учасника за день</w:t>
            </w:r>
          </w:p>
        </w:tc>
        <w:tc>
          <w:tcPr>
            <w:tcW w:type="dxa" w:w="6576"/>
          </w:tcPr>
          <w:p>
            <w:r>
              <w:t>1 — тільки ця закупівля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Інші відхилені в цій закупівлі</w:t>
            </w:r>
          </w:p>
        </w:tc>
        <w:tc>
          <w:tcPr>
            <w:tcW w:type="dxa" w:w="6576"/>
          </w:tcPr>
          <w:p>
            <w:r>
              <w:t>немає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Та сама підстава в інших учасників</w:t>
            </w:r>
          </w:p>
        </w:tc>
        <w:tc>
          <w:tcPr>
            <w:tcW w:type="dxa" w:w="6576"/>
          </w:tcPr>
          <w:p>
            <w:r>
              <w:t>не виявлено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━━ C01 · R01/R01_STAFF_AVAILABILITY</w:t>
            </w:r>
          </w:p>
        </w:tc>
        <w:tc>
          <w:tcPr>
            <w:tcW w:type="dxa" w:w="6576"/>
          </w:tcPr>
          <w:p>
            <w:r>
              <w:rPr>
                <w:i/>
              </w:rPr>
              <w:t>«Тендерна пропозиція учасника не відповідає вимогам п. 1 Розділу III тендерної документації, оскільки надана довідка про наявність працівників не містить інформації про інженерно-технічний персонал, чим порушено вимоги ч. 1 ст. 31 Закону України «Про публічні закупівлі» та п. 44 Особливостей, затверджених постановою КМУ від 12.10.2022 № 1178.»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теми (усі, не одна)</w:t>
            </w:r>
          </w:p>
        </w:tc>
        <w:tc>
          <w:tcPr>
            <w:tcW w:type="dxa" w:w="6576"/>
          </w:tcPr>
          <w:p>
            <w:r>
              <w:t>R01 наявність працівників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норми в цій підставі</w:t>
            </w:r>
          </w:p>
        </w:tc>
        <w:tc>
          <w:tcPr>
            <w:tcW w:type="dxa" w:w="6576"/>
          </w:tcPr>
          <w:p>
            <w:r>
              <w:t>ст. 31, ч. 1, п. 1, п. 44, Розділ III, п. 44 Особливостей, ПКМУ № 1178, Закону України «Про публічні закупівлі»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документ, про який мова</w:t>
            </w:r>
          </w:p>
        </w:tc>
        <w:tc>
          <w:tcPr>
            <w:tcW w:type="dxa" w:w="6576"/>
          </w:tcPr>
          <w:p>
            <w:r>
              <w:t>довідка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ФАЙЛ УЧАСНИКА</w:t>
            </w:r>
          </w:p>
        </w:tc>
        <w:tc>
          <w:tcPr>
            <w:tcW w:type="dxa" w:w="6576"/>
          </w:tcPr>
          <w:p>
            <w:hyperlink r:id="rId14">
              <w:r>
                <w:rPr>
                  <w:color w:val="0563C1"/>
                  <w:u w:val="single"/>
                </w:rPr>
                <w:t>Довідка про наявність працівників.pdf</w:t>
              </w:r>
            </w:hyperlink>
            <w:r>
              <w:rPr>
                <w:sz w:val="14"/>
              </w:rPr>
              <w:t xml:space="preserve">  </w:t>
            </w:r>
            <w:hyperlink r:id="rId15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де шукати вимогу в ТД</w:t>
            </w:r>
          </w:p>
        </w:tc>
        <w:tc>
          <w:tcPr>
            <w:tcW w:type="dxa" w:w="6576"/>
          </w:tcPr>
          <w:p>
            <w:r>
              <w:t>п. 1, п. 44, Розділ III — у документах ТД вище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дефект за словами замовника</w:t>
            </w:r>
          </w:p>
        </w:tc>
        <w:tc>
          <w:tcPr>
            <w:tcW w:type="dxa" w:w="6576"/>
          </w:tcPr>
          <w:p>
            <w:r>
              <w:t>не відповідає, не містить, порушено вимогу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наскрізні теми</w:t>
            </w:r>
          </w:p>
        </w:tc>
        <w:tc>
          <w:tcPr>
            <w:tcW w:type="dxa" w:w="6576"/>
          </w:tcPr>
          <w:p>
            <w: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дослівний запит у Clarity</w:t>
            </w:r>
          </w:p>
        </w:tc>
        <w:tc>
          <w:tcPr>
            <w:tcW w:type="dxa" w:w="6576"/>
          </w:tcPr>
          <w:p>
            <w:r>
              <w:t>не відповідає довідка вимогам розділу  [HIGH]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C01 · ЩО ПЕРЕВІРИТИ ПЕРЕД РОЗМОВОЮ</w:t>
            </w:r>
          </w:p>
        </w:tc>
        <w:tc>
          <w:tcPr>
            <w:tcW w:type="dxa" w:w="6576"/>
          </w:tcPr>
          <w:p>
            <w:r>
              <w:t>• чи вимагала ТД саме «довідка» — і в якому пункті</w:t>
            </w:r>
          </w:p>
          <w:p>
            <w:r>
              <w:t>• чи є цей документ в іншому файлі пропозиції</w:t>
            </w:r>
          </w:p>
          <w:p>
            <w:r>
              <w:t>• чи стосується вимога предмета закупівлі</w:t>
            </w:r>
          </w:p>
          <w:p>
            <w:r>
              <w:t>• чи підтверджує поданий документ саме те, що вимагала ТД</w:t>
            </w:r>
          </w:p>
          <w:p>
            <w:r>
              <w:t>• чи не змінилася норма від дати закупівлі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━━ C02 · R04/R04_NO_NOTICE · R04/R04_UNCLEAR_NOTICE · R01/R01_EXPERIENCE_PROOF · R01/R01_EXPERIENCE_SUBJECT</w:t>
            </w:r>
          </w:p>
        </w:tc>
        <w:tc>
          <w:tcPr>
            <w:tcW w:type="dxa" w:w="6576"/>
          </w:tcPr>
          <w:p>
            <w:r>
              <w:rPr>
                <w:i/>
              </w:rPr>
              <w:t>«Крім того, учасник протягом 24 годин не усунув невідповідності, а саме не надав акти виконаних робіт за аналогічним договором, що вимагалось Додатком 3.»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теми (усі, не одна)</w:t>
            </w:r>
          </w:p>
        </w:tc>
        <w:tc>
          <w:tcPr>
            <w:tcW w:type="dxa" w:w="6576"/>
          </w:tcPr>
          <w:p>
            <w:r>
              <w:t>R04 замовник не надав можливості виправити; R04 неконкретне повідомлення; R01 підтвердження виконання договору; R01 предмет аналогічного договору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норми в цій підставі</w:t>
            </w:r>
          </w:p>
        </w:tc>
        <w:tc>
          <w:tcPr>
            <w:tcW w:type="dxa" w:w="6576"/>
          </w:tcPr>
          <w:p>
            <w:r>
              <w:t>Додаток 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документ, про який мова</w:t>
            </w:r>
          </w:p>
        </w:tc>
        <w:tc>
          <w:tcPr>
            <w:tcW w:type="dxa" w:w="6576"/>
          </w:tcPr>
          <w:p>
            <w:r>
              <w:t>акт виконаних робіт, аналогічний договір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ФАЙЛ УЧАСНИКА</w:t>
            </w:r>
          </w:p>
        </w:tc>
        <w:tc>
          <w:tcPr>
            <w:tcW w:type="dxa" w:w="6576"/>
          </w:tcPr>
          <w:p>
            <w:hyperlink r:id="rId18">
              <w:r>
                <w:rPr>
                  <w:color w:val="0563C1"/>
                  <w:u w:val="single"/>
                </w:rPr>
                <w:t>Аналогічний договір з актами.pdf</w:t>
              </w:r>
            </w:hyperlink>
            <w:r>
              <w:rPr>
                <w:sz w:val="14"/>
              </w:rPr>
              <w:t xml:space="preserve">  </w:t>
            </w:r>
            <w:hyperlink r:id="rId19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де шукати вимогу в ТД</w:t>
            </w:r>
          </w:p>
        </w:tc>
        <w:tc>
          <w:tcPr>
            <w:tcW w:type="dxa" w:w="6576"/>
          </w:tcPr>
          <w:p>
            <w:r>
              <w:t>Додаток 3 — у документах ТД вище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дефект за словами замовника</w:t>
            </w:r>
          </w:p>
        </w:tc>
        <w:tc>
          <w:tcPr>
            <w:tcW w:type="dxa" w:w="6576"/>
          </w:tcPr>
          <w:p>
            <w:r>
              <w:t>не надано, не усунуто за 24 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наскрізні теми</w:t>
            </w:r>
          </w:p>
        </w:tc>
        <w:tc>
          <w:tcPr>
            <w:tcW w:type="dxa" w:w="6576"/>
          </w:tcPr>
          <w:p>
            <w:r>
              <w:t>X06_CORRECTABILITY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дослівний запит у Clarity</w:t>
            </w:r>
          </w:p>
        </w:tc>
        <w:tc>
          <w:tcPr>
            <w:tcW w:type="dxa" w:w="6576"/>
          </w:tcPr>
          <w:p>
            <w:r>
              <w:t>не надано акт виконаних робіт аналогічний договір годин невідповідності  [HIGH]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ЩО ПЕРЕВІРИТИ ПЕРЕД РОЗМОВОЮ</w:t>
            </w:r>
          </w:p>
        </w:tc>
        <w:tc>
          <w:tcPr>
            <w:tcW w:type="dxa" w:w="6576"/>
          </w:tcPr>
          <w:p>
            <w:r>
              <w:t>• чи вимагала ТД саме «акт виконаних робіт» — і в якому пункті</w:t>
            </w:r>
          </w:p>
          <w:p>
            <w:r>
              <w:t>• чи є цей документ в іншому файлі пропозиції</w:t>
            </w:r>
          </w:p>
          <w:p>
            <w:r>
              <w:t>• чи стосується вимога предмета закупівлі</w:t>
            </w:r>
          </w:p>
          <w:p>
            <w:r>
              <w:t>• чи було повідомлення про усунення і чи названо в ньому конкретний документ</w:t>
            </w:r>
          </w:p>
          <w:p>
            <w:r>
              <w:t>• чи підлягала ця невідповідність усуненню взагалі</w:t>
            </w:r>
          </w:p>
          <w:p>
            <w:r>
              <w:t>• чи підтверджує поданий документ саме те, що вимагала ТД</w:t>
            </w:r>
          </w:p>
          <w:p>
            <w:r>
              <w:t>• чи не змінилася норма від дати закупівлі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C02 · позначки скрипта</w:t>
            </w:r>
          </w:p>
        </w:tc>
        <w:tc>
          <w:tcPr>
            <w:tcW w:type="dxa" w:w="6576"/>
          </w:tcPr>
          <w:p>
            <w:r>
              <w:t>замовник стверджує, що невідповідність не усунуто — перевіряти зміст і конкретність повідомлення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━━ C03 · R06/R06_AMOUNT_VALIDITY</w:t>
            </w:r>
          </w:p>
        </w:tc>
        <w:tc>
          <w:tcPr>
            <w:tcW w:type="dxa" w:w="6576"/>
          </w:tcPr>
          <w:p>
            <w:r>
              <w:rPr>
                <w:i/>
              </w:rPr>
              <w:t>«Також строк дії банківської гарантії менший ніж вимагав п. 7 Додатку 4.»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теми (усі, не одна)</w:t>
            </w:r>
          </w:p>
        </w:tc>
        <w:tc>
          <w:tcPr>
            <w:tcW w:type="dxa" w:w="6576"/>
          </w:tcPr>
          <w:p>
            <w:r>
              <w:t>R06 сума і строк дії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норми в цій підставі</w:t>
            </w:r>
          </w:p>
        </w:tc>
        <w:tc>
          <w:tcPr>
            <w:tcW w:type="dxa" w:w="6576"/>
          </w:tcPr>
          <w:p>
            <w:r>
              <w:t>п. 7, Додаток 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документ, про який мова</w:t>
            </w:r>
          </w:p>
        </w:tc>
        <w:tc>
          <w:tcPr>
            <w:tcW w:type="dxa" w:w="6576"/>
          </w:tcPr>
          <w:p>
            <w:r>
              <w:t>банківська гарантія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ФАЙЛ УЧАСНИКА</w:t>
            </w:r>
          </w:p>
        </w:tc>
        <w:tc>
          <w:tcPr>
            <w:tcW w:type="dxa" w:w="6576"/>
          </w:tcPr>
          <w:p>
            <w:hyperlink r:id="rId16">
              <w:r>
                <w:rPr>
                  <w:color w:val="0563C1"/>
                  <w:u w:val="single"/>
                </w:rPr>
                <w:t>Банківська гарантія № 445.pdf</w:t>
              </w:r>
            </w:hyperlink>
            <w:r>
              <w:rPr>
                <w:sz w:val="14"/>
              </w:rPr>
              <w:t xml:space="preserve">  </w:t>
            </w:r>
            <w:hyperlink r:id="rId17">
              <w:r>
                <w:rPr>
                  <w:color w:val="0563C1"/>
                  <w:u w:val="single"/>
                </w:rPr>
                <w:t>Prozorro</w:t>
              </w:r>
            </w:hyperlink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де шукати вимогу в ТД</w:t>
            </w:r>
          </w:p>
        </w:tc>
        <w:tc>
          <w:tcPr>
            <w:tcW w:type="dxa" w:w="6576"/>
          </w:tcPr>
          <w:p>
            <w:r>
              <w:t>п. 7, Додаток 4 — у документах ТД вище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дефект за словами замовника</w:t>
            </w:r>
          </w:p>
        </w:tc>
        <w:tc>
          <w:tcPr>
            <w:tcW w:type="dxa" w:w="6576"/>
          </w:tcPr>
          <w:p>
            <w:r>
              <w:t>менше ніж вимагалось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наскрізні теми</w:t>
            </w:r>
          </w:p>
        </w:tc>
        <w:tc>
          <w:tcPr>
            <w:tcW w:type="dxa" w:w="6576"/>
          </w:tcPr>
          <w:p>
            <w: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дослівний запит у Clarity</w:t>
            </w:r>
          </w:p>
        </w:tc>
        <w:tc>
          <w:tcPr>
            <w:tcW w:type="dxa" w:w="6576"/>
          </w:tcPr>
          <w:p>
            <w:r>
              <w:t>менше ніж вимагалось банківська гарантія строк менший  [HIGH]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C03 · ЩО ПЕРЕВІРИТИ ПЕРЕД РОЗМОВОЮ</w:t>
            </w:r>
          </w:p>
        </w:tc>
        <w:tc>
          <w:tcPr>
            <w:tcW w:type="dxa" w:w="6576"/>
          </w:tcPr>
          <w:p>
            <w:r>
              <w:t>• чи вимагала ТД саме «банківська гарантія» — і в якому пункті</w:t>
            </w:r>
          </w:p>
          <w:p>
            <w:r>
              <w:t>• чи є цей документ в іншому файлі пропозиції</w:t>
            </w:r>
          </w:p>
          <w:p>
            <w:r>
              <w:t>• чи стосується вимога предмета закупівлі</w:t>
            </w:r>
          </w:p>
          <w:p>
            <w:r>
              <w:t>• звірити суму, строк дії та форму гарантії з вимогою ТД</w:t>
            </w:r>
          </w:p>
          <w:p>
            <w:r>
              <w:t>• чи не змінилася норма від дати закупівлі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Перспектива оскарження</w:t>
            </w:r>
          </w:p>
        </w:tc>
        <w:tc>
          <w:tcPr>
            <w:tcW w:type="dxa" w:w="6576"/>
          </w:tcPr>
          <w:p>
            <w:r>
              <w:rPr>
                <w:i/>
              </w:rPr>
              <w:t>заповнити вручну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Що пропонуємо</w:t>
            </w:r>
          </w:p>
        </w:tc>
        <w:tc>
          <w:tcPr>
            <w:tcW w:type="dxa" w:w="6576"/>
          </w:tcPr>
          <w:p>
            <w:r>
              <w:rPr>
                <w:i/>
              </w:rPr>
              <w:t>заповнити вручну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Що показав аналіз</w:t>
            </w:r>
          </w:p>
        </w:tc>
        <w:tc>
          <w:tcPr>
            <w:tcW w:type="dxa" w:w="6576"/>
          </w:tcPr>
          <w:p>
            <w:r>
              <w:rPr>
                <w:i/>
              </w:rPr>
              <w:t>заповнити вручну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</w:rPr>
              <w:t>З чого починати розмову</w:t>
            </w:r>
          </w:p>
        </w:tc>
        <w:tc>
          <w:tcPr>
            <w:tcW w:type="dxa" w:w="6576"/>
          </w:tcPr>
          <w:p>
            <w:r>
              <w:rPr>
                <w:i/>
              </w:rPr>
              <w:t>заповнити вручну</w:t>
            </w:r>
          </w:p>
        </w:tc>
      </w:tr>
    </w:tbl>
    <w:p/>
    <w:p>
      <w:pPr>
        <w:jc w:val="center"/>
      </w:pPr>
      <w:r>
        <w:rPr>
          <w:b/>
          <w:sz w:val="22"/>
        </w:rPr>
        <w:t>КЛЮЧОВІ СЛОВА ДЛЯ CLARITY APP</w:t>
      </w:r>
    </w:p>
    <w:p>
      <w:r>
        <w:rPr>
          <w:i/>
          <w:sz w:val="16"/>
        </w:rPr>
        <w:t>Запити копіювати в Clarity вручну — скрипт до нього не звертається. Кількість знайдених рішень НЕ є оцінкою перспективи скарги.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Підстава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За кого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Запит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Навіщо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відповідає довідка вимогам розділу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та сама фактична підстава відхилення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надано акт виконаних робіт аналогічний договір годин невідповідності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та сама фактична підстава відхилення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менше ніж вимагалось банківська гарантія строк менший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та сама фактична підстава відхилення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замовника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скаржник не підтвердив кваліфікаційний критерій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протилежна практика: чим відповість замовник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замовника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невідповідність не підлягала усуненню протягом 24 годин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протилежна практика: чим відповість замовник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замовника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забезпечення не підлягає виправленню 24 години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протилежна практика: чим відповість замовник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довідка про наявність працівників відповідної кваліфікації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підтема: наявність працівників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замовник не надав можливість усунути невідповідність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підтема: замовник не надав можливості виправити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сума банківської гарантії менша вимоги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підтема: сума і строк дії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учасника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довідка документ надано у складі тендерної пропозиції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практика, де документ визнали поданим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повідомлення про усунення невідповідностей не містить конкретного переліку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підтема: неконкретне повідомлення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учасника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банківська гарантія документ надано у складі тендерної пропозиції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практика, де документ визнали поданим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відповідає довідка вимогам розділу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окремий прохід: поведінка цього замовника (§6.5)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надав додатки до аналогічного договору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підтема: підтвердження виконання договору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менше ніж вимагалось банківська гарантія строк менший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окремий прохід: поведінка цього замовника (§6.5)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учасника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невідповідність могла бути усунена протягом 24 годин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наскрізна тема X06_CORRECTABILITY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за учасника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акт виконаних робіт документ надано у складі тендерної пропозиції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практика, де документ визнали поданим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надано акт виконаних робіт аналогічний договір годин невідповідності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окремий прохід: поведінка цього замовника (§6.5)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підтверджено наявність працівника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наказ про прийняття працівника відсутній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трудова книжка працівника тендерна пропозиція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цивільно правовий договір з працівником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працівник залучений за договором надання послуг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відхилення без повідомлення про усунення невідповідностей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 розміщено вимогу про усунення невідповідностей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замовник не зазначив які документи потрібно подати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неконкретна вимога про усунення невідповідностей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повідомлення не містить посилання на вимогу документації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нейтрально</w:t>
            </w:r>
          </w:p>
        </w:tc>
        <w:tc>
          <w:tcPr>
            <w:tcW w:type="dxa" w:w="4082"/>
          </w:tcPr>
          <w:p>
            <w:r>
              <w:rPr>
                <w:sz w:val="16"/>
              </w:rPr>
              <w:t>відсутній акт виконаних робіт за аналогічним договором</w:t>
            </w:r>
          </w:p>
        </w:tc>
        <w:tc>
          <w:tcPr>
            <w:tcW w:type="dxa" w:w="3288"/>
          </w:tcPr>
          <w:p>
            <w:r>
              <w:rPr>
                <w:sz w:val="16"/>
              </w:rPr>
              <w:t>зі словника теми</w:t>
            </w:r>
          </w:p>
        </w:tc>
      </w:tr>
    </w:tbl>
    <w:p>
      <w:r>
        <w:rPr>
          <w:i/>
          <w:sz w:val="16"/>
        </w:rPr>
        <w:t>Фільтри Clarity: джерело: Prozorro · статус скарги: вирішені; відхилені · предмет оскарження: результат кваліфікації · класифікація: роботи · дата: спочатку актуальна практика, далі обережне розширення</w:t>
      </w:r>
    </w:p>
    <w:p/>
    <w:p>
      <w:pPr>
        <w:jc w:val="center"/>
      </w:pPr>
      <w:r>
        <w:rPr>
          <w:b/>
          <w:sz w:val="20"/>
        </w:rPr>
        <w:t>── ТЕКСТ НАДІСЛАНОГО ЛИСТА ──</w:t>
      </w:r>
    </w:p>
    <w:p>
      <w:r>
        <w:rPr>
          <w:b/>
        </w:rPr>
        <w:t xml:space="preserve">Тема: </w:t>
      </w:r>
      <w:r>
        <w:t>Щодо закупівлі UA-2026-08-07-008904-a — ТЗОВ «ІРБУДТРАНС»</w:t>
      </w:r>
    </w:p>
    <w:p>
      <w:pPr>
        <w:spacing w:after="0"/>
      </w:pPr>
      <w:r>
        <w:t>Шановний Ірбудтрансе!</w:t>
      </w:r>
    </w:p>
    <w:p>
      <w:pPr>
        <w:spacing w:after="0"/>
      </w:pPr>
    </w:p>
    <w:p>
      <w:pPr>
        <w:spacing w:after="0"/>
      </w:pPr>
      <w:r>
        <w:t>Побачив рішення замовника у закупівлі UA-2026-08-07-008904-a щодо ТЗОВ «ІРБУДТРАНС». У протоколі замовник зазначив: «Тендерна пропозиція учасника не відповідає вимогам п. 1 Розділу III тендерної документації, оскільки надана довідка про наявність працівників не містить інформації про інженерно-технічний персонал, чим порушено вимоги ч. 1 ст. 31 Закону України «Про публічні…».</w:t>
      </w:r>
    </w:p>
    <w:p>
      <w:pPr>
        <w:spacing w:after="0"/>
      </w:pPr>
    </w:p>
    <w:p>
      <w:pPr>
        <w:spacing w:after="0"/>
      </w:pPr>
      <w:r>
        <w:t>У такій ситуації головне питання, на мій погляд, не тільки в тому, чи можна оскаржувати, а в тому, чи є в цьому практичний сенс.</w:t>
      </w:r>
    </w:p>
    <w:p>
      <w:pPr>
        <w:spacing w:after="0"/>
      </w:pPr>
    </w:p>
    <w:p>
      <w:pPr>
        <w:spacing w:after="0"/>
      </w:pPr>
      <w:r>
        <w:t>Я займаюся незалежним аналізом закупівель у будівництві. Моє завдання — не знайти привід для скарги, а допомогти підприємству зрозуміти, що робити далі на основі документів.</w:t>
      </w:r>
    </w:p>
    <w:p>
      <w:pPr>
        <w:spacing w:after="0"/>
      </w:pPr>
    </w:p>
    <w:p>
      <w:pPr>
        <w:spacing w:after="0"/>
      </w:pPr>
      <w:r>
        <w:t>Такий другий погляд може бути корисним і раніше: перед участю в закупівлі або перед поданням пропозиції, коли потрібно незалежно звірити її з вимогами тендерної документації.</w:t>
      </w:r>
    </w:p>
    <w:p>
      <w:pPr>
        <w:spacing w:after="0"/>
      </w:pPr>
    </w:p>
    <w:p>
      <w:pPr>
        <w:spacing w:after="0"/>
      </w:pPr>
      <w:r>
        <w:t>Якщо ця закупівля для Вас ще актуальна, можете просто відповісти на лист. Я коротко перегляну ситуацію і скажу, чи бачу сенс аналізувати її детальніше.</w:t>
      </w:r>
    </w:p>
    <w:p>
      <w:pPr>
        <w:spacing w:after="0"/>
      </w:pPr>
    </w:p>
    <w:p>
      <w:pPr>
        <w:spacing w:after="0"/>
      </w:pPr>
      <w:r>
        <w:t>Якщо ні — можете зберегти мій контакт на майбутнє. Для первинного погляду на іншу закупівлю достатньо надіслати UA-ID і коротко написати, яке рішення потрібно прийняти.</w:t>
      </w:r>
    </w:p>
    <w:p>
      <w:pPr>
        <w:spacing w:after="0"/>
      </w:pPr>
    </w:p>
    <w:p>
      <w:pPr>
        <w:spacing w:after="0"/>
      </w:pPr>
      <w:r>
        <w:t>З повагою,</w:t>
      </w:r>
    </w:p>
    <w:p>
      <w:pPr>
        <w:spacing w:after="0"/>
      </w:pPr>
      <w:r>
        <w:t>Віталій Щасливий</w:t>
      </w:r>
    </w:p>
    <w:p>
      <w:pPr>
        <w:spacing w:after="0"/>
      </w:pPr>
      <w:r>
        <w:t>радник з публічних закупівель у будівництві</w:t>
      </w:r>
    </w:p>
    <w:p>
      <w:pPr>
        <w:spacing w:after="0"/>
      </w:pPr>
      <w:r>
        <w:t>TenderWin</w:t>
      </w:r>
    </w:p>
    <w:p>
      <w:pPr>
        <w:spacing w:after="0"/>
      </w:pPr>
      <w:r>
        <w:t>+380 50 310 14 92</w:t>
      </w:r>
    </w:p>
    <w:p>
      <w:pPr>
        <w:spacing w:after="0"/>
      </w:pPr>
      <w:r>
        <w:t>vitalii@tenderwin.com.ua</w:t>
      </w:r>
    </w:p>
    <w:p>
      <w:pPr>
        <w:spacing w:after="0"/>
      </w:pPr>
    </w:p>
    <w:p>
      <w:pPr>
        <w:spacing w:after="0"/>
      </w:pPr>
      <w:r>
        <w:t>P.S. Якщо такі звернення Вам неактуальні, достатньо відповісти «стоп».</w:t>
      </w:r>
    </w:p>
    <w:p>
      <w:pPr>
        <w:spacing w:after="0"/>
      </w:pPr>
    </w:p>
    <w:p/>
    <w:p>
      <w:r>
        <w:rPr>
          <w:i/>
          <w:sz w:val="16"/>
        </w:rPr>
        <w:t>Плата до АМКУ рахується від вартості ЛОТУ, плата за подання пропозиції — від ЦІНИ ПРОПОЗИЦІЇ. Ставки взяті з коду (ПКМУ № 292, ПКМУ № 565): перед розмовою з клієнтом звірити їх чинність і строки.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zorro.gov.ua/tender/UA-2026-08-07-008904-a" TargetMode="External"/><Relationship Id="rId10" Type="http://schemas.openxmlformats.org/officeDocument/2006/relationships/hyperlink" Target="dokumenty/01_rishennia_01_&#1055;&#1088;&#1086;&#1090;&#1086;&#1082;&#1086;&#1083; &#1091;&#1087;&#1086;&#1074;&#1085;&#1086;&#1074;&#1072;&#1078;&#1077;&#1085;&#1086;&#1111; &#1086;&#1089;&#1086;&#1073;&#1080;.pdf" TargetMode="External"/><Relationship Id="rId11" Type="http://schemas.openxmlformats.org/officeDocument/2006/relationships/hyperlink" Target="https://p/proto" TargetMode="External"/><Relationship Id="rId12" Type="http://schemas.openxmlformats.org/officeDocument/2006/relationships/hyperlink" Target="dokumenty/02_vymoga_24h_02_&#1055;&#1086;&#1074;&#1110;&#1076;&#1086;&#1084;&#1083;&#1077;&#1085;&#1085;&#1103; &#1087;&#1088;&#1086; &#1091;&#1089;&#1091;&#1085;&#1077;&#1085;&#1085;&#1103; &#1085;&#1077;&#1074;&#1110;&#1076;&#1087;&#1086;&#1074;&#1110;&#1076;&#1085;&#1086;&#1089;&#1090;&#1077;&#1081;.pdf" TargetMode="External"/><Relationship Id="rId13" Type="http://schemas.openxmlformats.org/officeDocument/2006/relationships/hyperlink" Target="https://p/n24" TargetMode="External"/><Relationship Id="rId14" Type="http://schemas.openxmlformats.org/officeDocument/2006/relationships/hyperlink" Target="dokumenty/04_propozycia_06_&#1044;&#1086;&#1074;&#1110;&#1076;&#1082;&#1072; &#1087;&#1088;&#1086; &#1085;&#1072;&#1103;&#1074;&#1085;&#1110;&#1089;&#1090;&#1100; &#1087;&#1088;&#1072;&#1094;&#1110;&#1074;&#1085;&#1080;&#1082;&#1110;&#1074;.pdf" TargetMode="External"/><Relationship Id="rId15" Type="http://schemas.openxmlformats.org/officeDocument/2006/relationships/hyperlink" Target="https://p/b1" TargetMode="External"/><Relationship Id="rId16" Type="http://schemas.openxmlformats.org/officeDocument/2006/relationships/hyperlink" Target="dokumenty/04_propozycia_07_&#1041;&#1072;&#1085;&#1082;&#1110;&#1074;&#1089;&#1100;&#1082;&#1072; &#1075;&#1072;&#1088;&#1072;&#1085;&#1090;&#1110;&#1103; _ 445.pdf" TargetMode="External"/><Relationship Id="rId17" Type="http://schemas.openxmlformats.org/officeDocument/2006/relationships/hyperlink" Target="https://p/b2" TargetMode="External"/><Relationship Id="rId18" Type="http://schemas.openxmlformats.org/officeDocument/2006/relationships/hyperlink" Target="dokumenty/04_propozycia_08_&#1040;&#1085;&#1072;&#1083;&#1086;&#1075;&#1110;&#1095;&#1085;&#1080;&#1081; &#1076;&#1086;&#1075;&#1086;&#1074;&#1110;&#1088; &#1079; &#1072;&#1082;&#1090;&#1072;&#1084;&#1080;.pdf" TargetMode="External"/><Relationship Id="rId19" Type="http://schemas.openxmlformats.org/officeDocument/2006/relationships/hyperlink" Target="https://p/b3" TargetMode="External"/><Relationship Id="rId20" Type="http://schemas.openxmlformats.org/officeDocument/2006/relationships/hyperlink" Target="dokumenty/04_propozycia_09_&#1057;&#1090;&#1072;&#1090;&#1091;&#1090;.pdf" TargetMode="External"/><Relationship Id="rId21" Type="http://schemas.openxmlformats.org/officeDocument/2006/relationships/hyperlink" Target="https://p/b4" TargetMode="External"/><Relationship Id="rId22" Type="http://schemas.openxmlformats.org/officeDocument/2006/relationships/hyperlink" Target="dokumenty/03_TD_03_&#1058;&#1077;&#1085;&#1076;&#1077;&#1088;&#1085;&#1072; &#1076;&#1086;&#1082;&#1091;&#1084;&#1077;&#1085;&#1090;&#1072;&#1094;&#1110;&#1103;.pdf" TargetMode="External"/><Relationship Id="rId23" Type="http://schemas.openxmlformats.org/officeDocument/2006/relationships/hyperlink" Target="https://p/td1" TargetMode="External"/><Relationship Id="rId24" Type="http://schemas.openxmlformats.org/officeDocument/2006/relationships/hyperlink" Target="dokumenty/03_TD_04_&#1044;&#1086;&#1076;&#1072;&#1090;&#1086;&#1082; 2 &#1050;&#1074;&#1072;&#1083;&#1110;&#1092;&#1110;&#1082;&#1072;&#1094;&#1110;&#1081;&#1085;&#1110; &#1082;&#1088;&#1080;&#1090;&#1077;&#1088;&#1110;&#1111;.docx" TargetMode="External"/><Relationship Id="rId25" Type="http://schemas.openxmlformats.org/officeDocument/2006/relationships/hyperlink" Target="https://p/td2" TargetMode="External"/><Relationship Id="rId26" Type="http://schemas.openxmlformats.org/officeDocument/2006/relationships/hyperlink" Target="dokumenty/03_TD_05_&#1044;&#1086;&#1076;&#1072;&#1090;&#1086;&#1082; 4 &#1055;&#1088;&#1086;&#1108;&#1082;&#1090; &#1076;&#1086;&#1075;&#1086;&#1074;&#1086;&#1088;&#1091;.docx" TargetMode="External"/><Relationship Id="rId27" Type="http://schemas.openxmlformats.org/officeDocument/2006/relationships/hyperlink" Target="https://p/t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