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B4DDC" w14:textId="4213F61A" w:rsidR="00F526EE" w:rsidRDefault="00FC45DD" w:rsidP="00FC45D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Data table of Figure 1</w:t>
      </w:r>
      <w:r w:rsidR="00F526EE" w:rsidRPr="00A877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="00F526EE" w:rsidRPr="00FC45DD">
        <w:rPr>
          <w:rFonts w:ascii="Times New Roman" w:eastAsia="Times New Roman" w:hAnsi="Times New Roman" w:cs="Times New Roman"/>
          <w:sz w:val="24"/>
          <w:szCs w:val="24"/>
        </w:rPr>
        <w:t xml:space="preserve">Number of benzodiazepines </w:t>
      </w:r>
      <w:r w:rsidR="00F779B5" w:rsidRPr="00FC45DD">
        <w:rPr>
          <w:rFonts w:ascii="Times New Roman" w:eastAsia="Times New Roman" w:hAnsi="Times New Roman" w:cs="Times New Roman"/>
          <w:sz w:val="24"/>
          <w:szCs w:val="24"/>
        </w:rPr>
        <w:t>administered</w:t>
      </w:r>
      <w:r w:rsidR="00F526EE" w:rsidRPr="00FC45DD">
        <w:rPr>
          <w:rFonts w:ascii="Times New Roman" w:eastAsia="Times New Roman" w:hAnsi="Times New Roman" w:cs="Times New Roman"/>
          <w:sz w:val="24"/>
          <w:szCs w:val="24"/>
        </w:rPr>
        <w:t xml:space="preserve"> before the first non-benzodiazepine anti-seizure medication from the beginning of SE.</w:t>
      </w:r>
    </w:p>
    <w:p w14:paraId="12D520EC" w14:textId="0E3038B8" w:rsidR="00FC45DD" w:rsidRDefault="00FC45DD" w:rsidP="00FC45D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AFCAAC2" w14:textId="77777777" w:rsidR="00FC45DD" w:rsidRPr="00A87774" w:rsidRDefault="00FC45DD" w:rsidP="00FC45D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93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43"/>
        <w:gridCol w:w="1024"/>
        <w:gridCol w:w="1024"/>
        <w:gridCol w:w="1024"/>
        <w:gridCol w:w="1024"/>
        <w:gridCol w:w="978"/>
        <w:gridCol w:w="978"/>
        <w:gridCol w:w="978"/>
        <w:gridCol w:w="876"/>
      </w:tblGrid>
      <w:tr w:rsidR="00F526EE" w:rsidRPr="00A87774" w14:paraId="5D377AAA" w14:textId="77777777" w:rsidTr="005148F5">
        <w:tc>
          <w:tcPr>
            <w:tcW w:w="1443" w:type="dxa"/>
          </w:tcPr>
          <w:p w14:paraId="1E76EB0F" w14:textId="77777777" w:rsidR="00F526EE" w:rsidRPr="00A87774" w:rsidRDefault="00F526EE" w:rsidP="005148F5">
            <w:pPr>
              <w:spacing w:line="48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A87774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Number of BZDs given before first non-BZD ASM</w:t>
            </w:r>
          </w:p>
        </w:tc>
        <w:tc>
          <w:tcPr>
            <w:tcW w:w="1024" w:type="dxa"/>
          </w:tcPr>
          <w:p w14:paraId="532454EC" w14:textId="77777777" w:rsidR="00F526EE" w:rsidRPr="00A87774" w:rsidRDefault="00F526EE" w:rsidP="005148F5">
            <w:pPr>
              <w:spacing w:line="48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A87774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1024" w:type="dxa"/>
          </w:tcPr>
          <w:p w14:paraId="33DABD99" w14:textId="77777777" w:rsidR="00F526EE" w:rsidRPr="00A87774" w:rsidRDefault="00F526EE" w:rsidP="005148F5">
            <w:pPr>
              <w:spacing w:line="48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A87774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1024" w:type="dxa"/>
          </w:tcPr>
          <w:p w14:paraId="69A86495" w14:textId="77777777" w:rsidR="00F526EE" w:rsidRPr="00A87774" w:rsidRDefault="00F526EE" w:rsidP="005148F5">
            <w:pPr>
              <w:spacing w:line="48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A87774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1024" w:type="dxa"/>
          </w:tcPr>
          <w:p w14:paraId="7C278556" w14:textId="77777777" w:rsidR="00F526EE" w:rsidRPr="00A87774" w:rsidRDefault="00F526EE" w:rsidP="005148F5">
            <w:pPr>
              <w:spacing w:line="48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A87774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978" w:type="dxa"/>
          </w:tcPr>
          <w:p w14:paraId="133332F3" w14:textId="77777777" w:rsidR="00F526EE" w:rsidRPr="00A87774" w:rsidRDefault="00F526EE" w:rsidP="005148F5">
            <w:pPr>
              <w:spacing w:line="48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A87774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978" w:type="dxa"/>
          </w:tcPr>
          <w:p w14:paraId="2E364DC0" w14:textId="77777777" w:rsidR="00F526EE" w:rsidRPr="00A87774" w:rsidRDefault="00F526EE" w:rsidP="005148F5">
            <w:pPr>
              <w:spacing w:line="48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A87774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978" w:type="dxa"/>
          </w:tcPr>
          <w:p w14:paraId="74517E70" w14:textId="77777777" w:rsidR="00F526EE" w:rsidRPr="00A87774" w:rsidRDefault="00F526EE" w:rsidP="005148F5">
            <w:pPr>
              <w:spacing w:line="48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A87774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876" w:type="dxa"/>
          </w:tcPr>
          <w:p w14:paraId="756C77A9" w14:textId="77777777" w:rsidR="00F526EE" w:rsidRPr="00A87774" w:rsidRDefault="00F526EE" w:rsidP="005148F5">
            <w:pPr>
              <w:spacing w:line="48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A87774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10</w:t>
            </w:r>
          </w:p>
        </w:tc>
      </w:tr>
      <w:tr w:rsidR="00FC45DD" w:rsidRPr="00A87774" w14:paraId="44C0A08B" w14:textId="77777777" w:rsidTr="00FC45DD">
        <w:trPr>
          <w:trHeight w:val="386"/>
        </w:trPr>
        <w:tc>
          <w:tcPr>
            <w:tcW w:w="9349" w:type="dxa"/>
            <w:gridSpan w:val="9"/>
          </w:tcPr>
          <w:p w14:paraId="56BA50F5" w14:textId="77777777" w:rsidR="00FC45DD" w:rsidRPr="00A87774" w:rsidRDefault="00FC45DD" w:rsidP="005148F5">
            <w:pPr>
              <w:spacing w:line="48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F526EE" w:rsidRPr="00A87774" w14:paraId="7F779293" w14:textId="77777777" w:rsidTr="005148F5">
        <w:tc>
          <w:tcPr>
            <w:tcW w:w="1443" w:type="dxa"/>
          </w:tcPr>
          <w:p w14:paraId="2CDBD0A9" w14:textId="77777777" w:rsidR="00F526EE" w:rsidRPr="00A87774" w:rsidRDefault="00F526EE" w:rsidP="005148F5">
            <w:pPr>
              <w:spacing w:line="48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A87774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Patients in the entire cohort</w:t>
            </w:r>
          </w:p>
        </w:tc>
        <w:tc>
          <w:tcPr>
            <w:tcW w:w="1024" w:type="dxa"/>
          </w:tcPr>
          <w:p w14:paraId="07E0A6E9" w14:textId="77777777" w:rsidR="00F526EE" w:rsidRPr="00A87774" w:rsidRDefault="00F526EE" w:rsidP="005148F5">
            <w:pPr>
              <w:spacing w:line="48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7774">
              <w:rPr>
                <w:rFonts w:ascii="Times New Roman" w:eastAsia="Times New Roman" w:hAnsi="Times New Roman" w:cs="Times New Roman"/>
                <w:sz w:val="18"/>
                <w:szCs w:val="18"/>
              </w:rPr>
              <w:t>76 (25.9%)</w:t>
            </w:r>
          </w:p>
        </w:tc>
        <w:tc>
          <w:tcPr>
            <w:tcW w:w="1024" w:type="dxa"/>
          </w:tcPr>
          <w:p w14:paraId="506FDF02" w14:textId="77777777" w:rsidR="00F526EE" w:rsidRPr="00A87774" w:rsidRDefault="00F526EE" w:rsidP="005148F5">
            <w:pPr>
              <w:spacing w:line="48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7774">
              <w:rPr>
                <w:rFonts w:ascii="Times New Roman" w:eastAsia="Times New Roman" w:hAnsi="Times New Roman" w:cs="Times New Roman"/>
                <w:sz w:val="18"/>
                <w:szCs w:val="18"/>
              </w:rPr>
              <w:t>111 (37.9%)</w:t>
            </w:r>
          </w:p>
        </w:tc>
        <w:tc>
          <w:tcPr>
            <w:tcW w:w="1024" w:type="dxa"/>
          </w:tcPr>
          <w:p w14:paraId="6ECB2990" w14:textId="77777777" w:rsidR="00F526EE" w:rsidRPr="00A87774" w:rsidRDefault="00F526EE" w:rsidP="005148F5">
            <w:pPr>
              <w:spacing w:line="48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7774">
              <w:rPr>
                <w:rFonts w:ascii="Times New Roman" w:eastAsia="Times New Roman" w:hAnsi="Times New Roman" w:cs="Times New Roman"/>
                <w:sz w:val="18"/>
                <w:szCs w:val="18"/>
              </w:rPr>
              <w:t>61 (20.8%)</w:t>
            </w:r>
          </w:p>
        </w:tc>
        <w:tc>
          <w:tcPr>
            <w:tcW w:w="1024" w:type="dxa"/>
          </w:tcPr>
          <w:p w14:paraId="0306715A" w14:textId="77777777" w:rsidR="00F526EE" w:rsidRPr="00A87774" w:rsidRDefault="00F526EE" w:rsidP="005148F5">
            <w:pPr>
              <w:spacing w:line="48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7774">
              <w:rPr>
                <w:rFonts w:ascii="Times New Roman" w:eastAsia="Times New Roman" w:hAnsi="Times New Roman" w:cs="Times New Roman"/>
                <w:sz w:val="18"/>
                <w:szCs w:val="18"/>
              </w:rPr>
              <w:t>28 (9.6%)</w:t>
            </w:r>
          </w:p>
        </w:tc>
        <w:tc>
          <w:tcPr>
            <w:tcW w:w="978" w:type="dxa"/>
          </w:tcPr>
          <w:p w14:paraId="29373CE0" w14:textId="77777777" w:rsidR="00F526EE" w:rsidRPr="00A87774" w:rsidRDefault="00F526EE" w:rsidP="005148F5">
            <w:pPr>
              <w:spacing w:line="48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7774">
              <w:rPr>
                <w:rFonts w:ascii="Times New Roman" w:eastAsia="Times New Roman" w:hAnsi="Times New Roman" w:cs="Times New Roman"/>
                <w:sz w:val="18"/>
                <w:szCs w:val="18"/>
              </w:rPr>
              <w:t>8 (2.7%)</w:t>
            </w:r>
          </w:p>
        </w:tc>
        <w:tc>
          <w:tcPr>
            <w:tcW w:w="978" w:type="dxa"/>
          </w:tcPr>
          <w:p w14:paraId="4727132D" w14:textId="77777777" w:rsidR="00F526EE" w:rsidRPr="00A87774" w:rsidRDefault="00F526EE" w:rsidP="005148F5">
            <w:pPr>
              <w:spacing w:line="48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7774">
              <w:rPr>
                <w:rFonts w:ascii="Times New Roman" w:eastAsia="Times New Roman" w:hAnsi="Times New Roman" w:cs="Times New Roman"/>
                <w:sz w:val="18"/>
                <w:szCs w:val="18"/>
              </w:rPr>
              <w:t>5 (1.7%)</w:t>
            </w:r>
          </w:p>
        </w:tc>
        <w:tc>
          <w:tcPr>
            <w:tcW w:w="978" w:type="dxa"/>
          </w:tcPr>
          <w:p w14:paraId="41177FDC" w14:textId="77777777" w:rsidR="00F526EE" w:rsidRPr="00A87774" w:rsidRDefault="00F526EE" w:rsidP="005148F5">
            <w:pPr>
              <w:spacing w:line="48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7774">
              <w:rPr>
                <w:rFonts w:ascii="Times New Roman" w:eastAsia="Times New Roman" w:hAnsi="Times New Roman" w:cs="Times New Roman"/>
                <w:sz w:val="18"/>
                <w:szCs w:val="18"/>
              </w:rPr>
              <w:t>3 (1.0%)</w:t>
            </w:r>
          </w:p>
        </w:tc>
        <w:tc>
          <w:tcPr>
            <w:tcW w:w="876" w:type="dxa"/>
          </w:tcPr>
          <w:p w14:paraId="3D9104F2" w14:textId="77777777" w:rsidR="00F526EE" w:rsidRPr="00A87774" w:rsidRDefault="00F526EE" w:rsidP="005148F5">
            <w:pPr>
              <w:spacing w:line="48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7774">
              <w:rPr>
                <w:rFonts w:ascii="Times New Roman" w:eastAsia="Times New Roman" w:hAnsi="Times New Roman" w:cs="Times New Roman"/>
                <w:sz w:val="18"/>
                <w:szCs w:val="18"/>
              </w:rPr>
              <w:t>1 (0.3%)</w:t>
            </w:r>
          </w:p>
        </w:tc>
      </w:tr>
      <w:tr w:rsidR="00F526EE" w:rsidRPr="00A87774" w14:paraId="6D320D3A" w14:textId="77777777" w:rsidTr="005148F5">
        <w:tc>
          <w:tcPr>
            <w:tcW w:w="1443" w:type="dxa"/>
          </w:tcPr>
          <w:p w14:paraId="293F095D" w14:textId="77777777" w:rsidR="00F526EE" w:rsidRPr="00A87774" w:rsidRDefault="00F526EE" w:rsidP="005148F5">
            <w:pPr>
              <w:spacing w:line="48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A87774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Patients with out-of-hospital onset</w:t>
            </w:r>
          </w:p>
        </w:tc>
        <w:tc>
          <w:tcPr>
            <w:tcW w:w="1024" w:type="dxa"/>
          </w:tcPr>
          <w:p w14:paraId="72570747" w14:textId="77777777" w:rsidR="00F526EE" w:rsidRPr="00A87774" w:rsidRDefault="00F526EE" w:rsidP="005148F5">
            <w:pPr>
              <w:spacing w:line="48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7774">
              <w:rPr>
                <w:rFonts w:ascii="Times New Roman" w:eastAsia="Times New Roman" w:hAnsi="Times New Roman" w:cs="Times New Roman"/>
                <w:sz w:val="18"/>
                <w:szCs w:val="18"/>
              </w:rPr>
              <w:t>51 (25.4%)</w:t>
            </w:r>
          </w:p>
        </w:tc>
        <w:tc>
          <w:tcPr>
            <w:tcW w:w="1024" w:type="dxa"/>
          </w:tcPr>
          <w:p w14:paraId="0FBF2E79" w14:textId="77777777" w:rsidR="00F526EE" w:rsidRPr="00A87774" w:rsidRDefault="00F526EE" w:rsidP="005148F5">
            <w:pPr>
              <w:spacing w:line="48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7774">
              <w:rPr>
                <w:rFonts w:ascii="Times New Roman" w:eastAsia="Times New Roman" w:hAnsi="Times New Roman" w:cs="Times New Roman"/>
                <w:sz w:val="18"/>
                <w:szCs w:val="18"/>
              </w:rPr>
              <w:t>72 (35.8%)</w:t>
            </w:r>
          </w:p>
        </w:tc>
        <w:tc>
          <w:tcPr>
            <w:tcW w:w="1024" w:type="dxa"/>
          </w:tcPr>
          <w:p w14:paraId="34669F37" w14:textId="77777777" w:rsidR="00F526EE" w:rsidRPr="00A87774" w:rsidRDefault="00F526EE" w:rsidP="005148F5">
            <w:pPr>
              <w:spacing w:line="48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7774">
              <w:rPr>
                <w:rFonts w:ascii="Times New Roman" w:eastAsia="Times New Roman" w:hAnsi="Times New Roman" w:cs="Times New Roman"/>
                <w:sz w:val="18"/>
                <w:szCs w:val="18"/>
              </w:rPr>
              <w:t>43 (21.4%)</w:t>
            </w:r>
          </w:p>
        </w:tc>
        <w:tc>
          <w:tcPr>
            <w:tcW w:w="1024" w:type="dxa"/>
          </w:tcPr>
          <w:p w14:paraId="5FF6D0DA" w14:textId="77777777" w:rsidR="00F526EE" w:rsidRPr="00A87774" w:rsidRDefault="00F526EE" w:rsidP="005148F5">
            <w:pPr>
              <w:spacing w:line="48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7774">
              <w:rPr>
                <w:rFonts w:ascii="Times New Roman" w:eastAsia="Times New Roman" w:hAnsi="Times New Roman" w:cs="Times New Roman"/>
                <w:sz w:val="18"/>
                <w:szCs w:val="18"/>
              </w:rPr>
              <w:t>20 (10.0%)</w:t>
            </w:r>
          </w:p>
        </w:tc>
        <w:tc>
          <w:tcPr>
            <w:tcW w:w="978" w:type="dxa"/>
          </w:tcPr>
          <w:p w14:paraId="1AB72D2A" w14:textId="77777777" w:rsidR="00F526EE" w:rsidRPr="00A87774" w:rsidRDefault="00F526EE" w:rsidP="005148F5">
            <w:pPr>
              <w:spacing w:line="48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7774">
              <w:rPr>
                <w:rFonts w:ascii="Times New Roman" w:eastAsia="Times New Roman" w:hAnsi="Times New Roman" w:cs="Times New Roman"/>
                <w:sz w:val="18"/>
                <w:szCs w:val="18"/>
              </w:rPr>
              <w:t>7 (3.5%)</w:t>
            </w:r>
          </w:p>
        </w:tc>
        <w:tc>
          <w:tcPr>
            <w:tcW w:w="978" w:type="dxa"/>
          </w:tcPr>
          <w:p w14:paraId="004C624D" w14:textId="77777777" w:rsidR="00F526EE" w:rsidRPr="00A87774" w:rsidRDefault="00F526EE" w:rsidP="005148F5">
            <w:pPr>
              <w:spacing w:line="48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7774">
              <w:rPr>
                <w:rFonts w:ascii="Times New Roman" w:eastAsia="Times New Roman" w:hAnsi="Times New Roman" w:cs="Times New Roman"/>
                <w:sz w:val="18"/>
                <w:szCs w:val="18"/>
              </w:rPr>
              <w:t>4 (2.0%)</w:t>
            </w:r>
          </w:p>
        </w:tc>
        <w:tc>
          <w:tcPr>
            <w:tcW w:w="978" w:type="dxa"/>
          </w:tcPr>
          <w:p w14:paraId="0D63E6BD" w14:textId="77777777" w:rsidR="00F526EE" w:rsidRPr="00A87774" w:rsidRDefault="00F526EE" w:rsidP="005148F5">
            <w:pPr>
              <w:spacing w:line="48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7774">
              <w:rPr>
                <w:rFonts w:ascii="Times New Roman" w:eastAsia="Times New Roman" w:hAnsi="Times New Roman" w:cs="Times New Roman"/>
                <w:sz w:val="18"/>
                <w:szCs w:val="18"/>
              </w:rPr>
              <w:t>3 (1.5%)</w:t>
            </w:r>
          </w:p>
        </w:tc>
        <w:tc>
          <w:tcPr>
            <w:tcW w:w="876" w:type="dxa"/>
          </w:tcPr>
          <w:p w14:paraId="4C978E11" w14:textId="77777777" w:rsidR="00F526EE" w:rsidRPr="00A87774" w:rsidRDefault="00F526EE" w:rsidP="005148F5">
            <w:pPr>
              <w:spacing w:line="48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7774">
              <w:rPr>
                <w:rFonts w:ascii="Times New Roman" w:eastAsia="Times New Roman" w:hAnsi="Times New Roman" w:cs="Times New Roman"/>
                <w:sz w:val="18"/>
                <w:szCs w:val="18"/>
              </w:rPr>
              <w:t>1 (0.5%)</w:t>
            </w:r>
          </w:p>
        </w:tc>
      </w:tr>
      <w:tr w:rsidR="00F526EE" w:rsidRPr="00A87774" w14:paraId="09B0BED6" w14:textId="77777777" w:rsidTr="005148F5">
        <w:tc>
          <w:tcPr>
            <w:tcW w:w="1443" w:type="dxa"/>
          </w:tcPr>
          <w:p w14:paraId="3432616F" w14:textId="77777777" w:rsidR="00F526EE" w:rsidRPr="00A87774" w:rsidRDefault="00F526EE" w:rsidP="005148F5">
            <w:pPr>
              <w:spacing w:line="48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A87774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Patients with in-hospital onset</w:t>
            </w:r>
          </w:p>
        </w:tc>
        <w:tc>
          <w:tcPr>
            <w:tcW w:w="1024" w:type="dxa"/>
          </w:tcPr>
          <w:p w14:paraId="0BD0A071" w14:textId="77777777" w:rsidR="00F526EE" w:rsidRPr="00A87774" w:rsidRDefault="00F526EE" w:rsidP="005148F5">
            <w:pPr>
              <w:spacing w:line="48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7774">
              <w:rPr>
                <w:rFonts w:ascii="Times New Roman" w:eastAsia="Times New Roman" w:hAnsi="Times New Roman" w:cs="Times New Roman"/>
                <w:sz w:val="18"/>
                <w:szCs w:val="18"/>
              </w:rPr>
              <w:t>25 (27.2%)</w:t>
            </w:r>
          </w:p>
        </w:tc>
        <w:tc>
          <w:tcPr>
            <w:tcW w:w="1024" w:type="dxa"/>
          </w:tcPr>
          <w:p w14:paraId="5DA7BC9B" w14:textId="77777777" w:rsidR="00F526EE" w:rsidRPr="00A87774" w:rsidRDefault="00F526EE" w:rsidP="005148F5">
            <w:pPr>
              <w:spacing w:line="48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7774">
              <w:rPr>
                <w:rFonts w:ascii="Times New Roman" w:eastAsia="Times New Roman" w:hAnsi="Times New Roman" w:cs="Times New Roman"/>
                <w:sz w:val="18"/>
                <w:szCs w:val="18"/>
              </w:rPr>
              <w:t>39 (42.4%)</w:t>
            </w:r>
          </w:p>
        </w:tc>
        <w:tc>
          <w:tcPr>
            <w:tcW w:w="1024" w:type="dxa"/>
          </w:tcPr>
          <w:p w14:paraId="06FB70EF" w14:textId="77777777" w:rsidR="00F526EE" w:rsidRPr="00A87774" w:rsidRDefault="00F526EE" w:rsidP="005148F5">
            <w:pPr>
              <w:spacing w:line="48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7774">
              <w:rPr>
                <w:rFonts w:ascii="Times New Roman" w:eastAsia="Times New Roman" w:hAnsi="Times New Roman" w:cs="Times New Roman"/>
                <w:sz w:val="18"/>
                <w:szCs w:val="18"/>
              </w:rPr>
              <w:t>18 (19.6%)</w:t>
            </w:r>
          </w:p>
        </w:tc>
        <w:tc>
          <w:tcPr>
            <w:tcW w:w="1024" w:type="dxa"/>
          </w:tcPr>
          <w:p w14:paraId="77284681" w14:textId="77777777" w:rsidR="00F526EE" w:rsidRPr="00A87774" w:rsidRDefault="00F526EE" w:rsidP="005148F5">
            <w:pPr>
              <w:spacing w:line="48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7774">
              <w:rPr>
                <w:rFonts w:ascii="Times New Roman" w:eastAsia="Times New Roman" w:hAnsi="Times New Roman" w:cs="Times New Roman"/>
                <w:sz w:val="18"/>
                <w:szCs w:val="18"/>
              </w:rPr>
              <w:t>8 (8.7%)</w:t>
            </w:r>
          </w:p>
        </w:tc>
        <w:tc>
          <w:tcPr>
            <w:tcW w:w="978" w:type="dxa"/>
          </w:tcPr>
          <w:p w14:paraId="5F25C037" w14:textId="77777777" w:rsidR="00F526EE" w:rsidRPr="00A87774" w:rsidRDefault="00F526EE" w:rsidP="005148F5">
            <w:pPr>
              <w:spacing w:line="48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7774">
              <w:rPr>
                <w:rFonts w:ascii="Times New Roman" w:eastAsia="Times New Roman" w:hAnsi="Times New Roman" w:cs="Times New Roman"/>
                <w:sz w:val="18"/>
                <w:szCs w:val="18"/>
              </w:rPr>
              <w:t>1 (1.1%)</w:t>
            </w:r>
          </w:p>
        </w:tc>
        <w:tc>
          <w:tcPr>
            <w:tcW w:w="978" w:type="dxa"/>
          </w:tcPr>
          <w:p w14:paraId="464BF9D6" w14:textId="77777777" w:rsidR="00F526EE" w:rsidRPr="00A87774" w:rsidRDefault="00F526EE" w:rsidP="005148F5">
            <w:pPr>
              <w:spacing w:line="48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7774">
              <w:rPr>
                <w:rFonts w:ascii="Times New Roman" w:eastAsia="Times New Roman" w:hAnsi="Times New Roman" w:cs="Times New Roman"/>
                <w:sz w:val="18"/>
                <w:szCs w:val="18"/>
              </w:rPr>
              <w:t>1 (1.1%)</w:t>
            </w:r>
          </w:p>
        </w:tc>
        <w:tc>
          <w:tcPr>
            <w:tcW w:w="978" w:type="dxa"/>
          </w:tcPr>
          <w:p w14:paraId="6BBC6A3F" w14:textId="77777777" w:rsidR="00F526EE" w:rsidRPr="00A87774" w:rsidRDefault="00F526EE" w:rsidP="005148F5">
            <w:pPr>
              <w:spacing w:line="48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7774">
              <w:rPr>
                <w:rFonts w:ascii="Times New Roman" w:eastAsia="Times New Roman" w:hAnsi="Times New Roman" w:cs="Times New Roman"/>
                <w:sz w:val="18"/>
                <w:szCs w:val="18"/>
              </w:rPr>
              <w:t>0 (0%)</w:t>
            </w:r>
          </w:p>
        </w:tc>
        <w:tc>
          <w:tcPr>
            <w:tcW w:w="876" w:type="dxa"/>
          </w:tcPr>
          <w:p w14:paraId="3644D51E" w14:textId="77777777" w:rsidR="00F526EE" w:rsidRPr="00A87774" w:rsidRDefault="00F526EE" w:rsidP="005148F5">
            <w:pPr>
              <w:spacing w:line="48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87774">
              <w:rPr>
                <w:rFonts w:ascii="Times New Roman" w:eastAsia="Times New Roman" w:hAnsi="Times New Roman" w:cs="Times New Roman"/>
                <w:sz w:val="18"/>
                <w:szCs w:val="18"/>
              </w:rPr>
              <w:t>0 (0%)</w:t>
            </w:r>
          </w:p>
        </w:tc>
      </w:tr>
    </w:tbl>
    <w:p w14:paraId="5C95D089" w14:textId="77777777" w:rsidR="00F526EE" w:rsidRPr="00A87774" w:rsidRDefault="00F526EE" w:rsidP="00F526EE">
      <w:pPr>
        <w:spacing w:line="48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6E0BD5" w14:textId="77777777" w:rsidR="00F526EE" w:rsidRPr="00A87774" w:rsidRDefault="00F526EE" w:rsidP="00F526EE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87774">
        <w:rPr>
          <w:rFonts w:ascii="Times New Roman" w:eastAsia="Times New Roman" w:hAnsi="Times New Roman" w:cs="Times New Roman"/>
          <w:b/>
          <w:sz w:val="24"/>
          <w:szCs w:val="24"/>
        </w:rPr>
        <w:t>Legend:</w:t>
      </w:r>
      <w:r w:rsidRPr="00A877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87774">
        <w:rPr>
          <w:rFonts w:ascii="Times New Roman" w:eastAsia="Times New Roman" w:hAnsi="Times New Roman" w:cs="Times New Roman"/>
          <w:b/>
          <w:sz w:val="24"/>
          <w:szCs w:val="24"/>
        </w:rPr>
        <w:t>BZD:</w:t>
      </w:r>
      <w:r w:rsidRPr="00A87774">
        <w:rPr>
          <w:rFonts w:ascii="Times New Roman" w:eastAsia="Times New Roman" w:hAnsi="Times New Roman" w:cs="Times New Roman"/>
          <w:sz w:val="24"/>
          <w:szCs w:val="24"/>
        </w:rPr>
        <w:t xml:space="preserve"> Benzodiazepine. </w:t>
      </w:r>
      <w:r w:rsidRPr="00A87774">
        <w:rPr>
          <w:rFonts w:ascii="Times New Roman" w:eastAsia="Times New Roman" w:hAnsi="Times New Roman" w:cs="Times New Roman"/>
          <w:b/>
          <w:sz w:val="24"/>
          <w:szCs w:val="24"/>
        </w:rPr>
        <w:t>non-BZD ASM:</w:t>
      </w:r>
      <w:r w:rsidRPr="00A87774">
        <w:rPr>
          <w:rFonts w:ascii="Times New Roman" w:eastAsia="Times New Roman" w:hAnsi="Times New Roman" w:cs="Times New Roman"/>
          <w:sz w:val="24"/>
          <w:szCs w:val="24"/>
        </w:rPr>
        <w:t xml:space="preserve"> Non-benzodiazepine anti-seizure medication.</w:t>
      </w:r>
    </w:p>
    <w:p w14:paraId="3852AFC1" w14:textId="77777777" w:rsidR="00D25952" w:rsidRDefault="00D25952"/>
    <w:sectPr w:rsidR="00D25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6EE"/>
    <w:rsid w:val="00361654"/>
    <w:rsid w:val="00D25952"/>
    <w:rsid w:val="00F526EE"/>
    <w:rsid w:val="00F779B5"/>
    <w:rsid w:val="00FC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FEE8C"/>
  <w15:chartTrackingRefBased/>
  <w15:docId w15:val="{E5EF53F7-E354-4005-9E3D-F2BC4E1E5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6EE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Amengual Gual</dc:creator>
  <cp:keywords/>
  <dc:description/>
  <cp:lastModifiedBy>Marta Amengual Gual</cp:lastModifiedBy>
  <cp:revision>4</cp:revision>
  <dcterms:created xsi:type="dcterms:W3CDTF">2021-07-06T11:55:00Z</dcterms:created>
  <dcterms:modified xsi:type="dcterms:W3CDTF">2021-07-06T14:19:00Z</dcterms:modified>
</cp:coreProperties>
</file>