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0D65" w14:textId="3BC03DD7" w:rsidR="00EE2BEC" w:rsidRDefault="00EE2BEC" w:rsidP="004D74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table of Figure 2</w:t>
      </w:r>
      <w:r w:rsidRPr="00A87774">
        <w:rPr>
          <w:rFonts w:ascii="Times New Roman" w:eastAsia="Times New Roman" w:hAnsi="Times New Roman" w:cs="Times New Roman"/>
          <w:b/>
          <w:bCs/>
          <w:sz w:val="24"/>
          <w:szCs w:val="24"/>
        </w:rPr>
        <w:t xml:space="preserve">. </w:t>
      </w:r>
      <w:r w:rsidRPr="00EE2BEC">
        <w:rPr>
          <w:rFonts w:ascii="Times New Roman" w:eastAsia="Times New Roman" w:hAnsi="Times New Roman" w:cs="Times New Roman"/>
          <w:sz w:val="24"/>
          <w:szCs w:val="24"/>
        </w:rPr>
        <w:t>Number of benzodiazepines administered after 30 minutes from seizure onset</w:t>
      </w:r>
      <w:r w:rsidRPr="00EE2BEC" w:rsidDel="000A02C2">
        <w:rPr>
          <w:rFonts w:ascii="Times New Roman" w:eastAsia="Times New Roman" w:hAnsi="Times New Roman" w:cs="Times New Roman"/>
          <w:sz w:val="24"/>
          <w:szCs w:val="24"/>
        </w:rPr>
        <w:t xml:space="preserve"> </w:t>
      </w:r>
      <w:r w:rsidRPr="00EE2BEC">
        <w:rPr>
          <w:rFonts w:ascii="Times New Roman" w:eastAsia="Times New Roman" w:hAnsi="Times New Roman" w:cs="Times New Roman"/>
          <w:sz w:val="24"/>
          <w:szCs w:val="24"/>
        </w:rPr>
        <w:t>and before the first non-benzodiazepine anti-seizure medication.</w:t>
      </w:r>
    </w:p>
    <w:p w14:paraId="59112883" w14:textId="77777777" w:rsidR="00EE2BEC" w:rsidRPr="00EE2BEC" w:rsidRDefault="00EE2BEC" w:rsidP="00EE2BEC">
      <w:pPr>
        <w:spacing w:line="480" w:lineRule="auto"/>
        <w:rPr>
          <w:rFonts w:ascii="Times New Roman" w:eastAsia="Times New Roman" w:hAnsi="Times New Roman" w:cs="Times New Roman"/>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2"/>
        <w:gridCol w:w="948"/>
        <w:gridCol w:w="949"/>
        <w:gridCol w:w="949"/>
        <w:gridCol w:w="837"/>
        <w:gridCol w:w="837"/>
        <w:gridCol w:w="837"/>
        <w:gridCol w:w="837"/>
        <w:gridCol w:w="837"/>
        <w:gridCol w:w="837"/>
      </w:tblGrid>
      <w:tr w:rsidR="00EE2BEC" w:rsidRPr="00A87774" w14:paraId="40C8464B" w14:textId="77777777" w:rsidTr="005148F5">
        <w:tc>
          <w:tcPr>
            <w:tcW w:w="1482" w:type="dxa"/>
          </w:tcPr>
          <w:p w14:paraId="2519AC3B" w14:textId="77777777" w:rsidR="00EE2BEC" w:rsidRPr="00A87774" w:rsidRDefault="00EE2BEC" w:rsidP="00EE2BEC">
            <w:pPr>
              <w:spacing w:after="0" w:line="240" w:lineRule="auto"/>
              <w:rPr>
                <w:rFonts w:ascii="Times New Roman" w:eastAsia="Times New Roman" w:hAnsi="Times New Roman" w:cs="Times New Roman"/>
                <w:b/>
                <w:bCs/>
                <w:sz w:val="18"/>
                <w:szCs w:val="18"/>
              </w:rPr>
            </w:pPr>
            <w:r w:rsidRPr="00A87774">
              <w:rPr>
                <w:rFonts w:ascii="Times New Roman" w:eastAsia="Times New Roman" w:hAnsi="Times New Roman" w:cs="Times New Roman"/>
                <w:b/>
                <w:bCs/>
                <w:sz w:val="18"/>
                <w:szCs w:val="18"/>
              </w:rPr>
              <w:t>Number of BZDs administered after 30 minutes from seizure onset and before first non-BZD ASM</w:t>
            </w:r>
          </w:p>
        </w:tc>
        <w:tc>
          <w:tcPr>
            <w:tcW w:w="948" w:type="dxa"/>
          </w:tcPr>
          <w:p w14:paraId="64F115D2"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0</w:t>
            </w:r>
          </w:p>
        </w:tc>
        <w:tc>
          <w:tcPr>
            <w:tcW w:w="949" w:type="dxa"/>
          </w:tcPr>
          <w:p w14:paraId="0FDEFEF8"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1</w:t>
            </w:r>
          </w:p>
        </w:tc>
        <w:tc>
          <w:tcPr>
            <w:tcW w:w="949" w:type="dxa"/>
          </w:tcPr>
          <w:p w14:paraId="78E83639"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2</w:t>
            </w:r>
          </w:p>
        </w:tc>
        <w:tc>
          <w:tcPr>
            <w:tcW w:w="837" w:type="dxa"/>
          </w:tcPr>
          <w:p w14:paraId="7F752981"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3</w:t>
            </w:r>
          </w:p>
        </w:tc>
        <w:tc>
          <w:tcPr>
            <w:tcW w:w="837" w:type="dxa"/>
          </w:tcPr>
          <w:p w14:paraId="4CC6435B"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4</w:t>
            </w:r>
          </w:p>
        </w:tc>
        <w:tc>
          <w:tcPr>
            <w:tcW w:w="837" w:type="dxa"/>
          </w:tcPr>
          <w:p w14:paraId="6D12DFE2"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5</w:t>
            </w:r>
          </w:p>
        </w:tc>
        <w:tc>
          <w:tcPr>
            <w:tcW w:w="837" w:type="dxa"/>
          </w:tcPr>
          <w:p w14:paraId="0823DB8A"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6</w:t>
            </w:r>
          </w:p>
        </w:tc>
        <w:tc>
          <w:tcPr>
            <w:tcW w:w="837" w:type="dxa"/>
          </w:tcPr>
          <w:p w14:paraId="62A9E91D"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7</w:t>
            </w:r>
          </w:p>
        </w:tc>
        <w:tc>
          <w:tcPr>
            <w:tcW w:w="837" w:type="dxa"/>
          </w:tcPr>
          <w:p w14:paraId="2B60EF47"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10</w:t>
            </w:r>
          </w:p>
        </w:tc>
      </w:tr>
      <w:tr w:rsidR="00EE2BEC" w:rsidRPr="00A87774" w14:paraId="5F7822C8" w14:textId="77777777" w:rsidTr="005148F5">
        <w:trPr>
          <w:trHeight w:val="179"/>
        </w:trPr>
        <w:tc>
          <w:tcPr>
            <w:tcW w:w="8513" w:type="dxa"/>
            <w:gridSpan w:val="9"/>
          </w:tcPr>
          <w:p w14:paraId="5E3D7A5E"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778C6128" w14:textId="77777777" w:rsidR="00EE2BEC" w:rsidRPr="00A87774" w:rsidRDefault="00EE2BEC" w:rsidP="00EE2BEC">
            <w:pPr>
              <w:spacing w:after="0" w:line="240" w:lineRule="auto"/>
              <w:rPr>
                <w:rFonts w:ascii="Times New Roman" w:eastAsia="Times New Roman" w:hAnsi="Times New Roman" w:cs="Times New Roman"/>
                <w:sz w:val="18"/>
                <w:szCs w:val="18"/>
              </w:rPr>
            </w:pPr>
          </w:p>
        </w:tc>
      </w:tr>
      <w:tr w:rsidR="00EE2BEC" w:rsidRPr="00A87774" w14:paraId="3B54A451" w14:textId="77777777" w:rsidTr="005148F5">
        <w:tc>
          <w:tcPr>
            <w:tcW w:w="1482" w:type="dxa"/>
          </w:tcPr>
          <w:p w14:paraId="1EDB3830"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Patients in the entire cohort</w:t>
            </w:r>
          </w:p>
        </w:tc>
        <w:tc>
          <w:tcPr>
            <w:tcW w:w="948" w:type="dxa"/>
          </w:tcPr>
          <w:p w14:paraId="5B0741A2"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125 (42.7%)</w:t>
            </w:r>
          </w:p>
        </w:tc>
        <w:tc>
          <w:tcPr>
            <w:tcW w:w="949" w:type="dxa"/>
          </w:tcPr>
          <w:p w14:paraId="406DC688"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76 (25.9%)</w:t>
            </w:r>
          </w:p>
          <w:p w14:paraId="4E6631B6"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418DF8F2" w14:textId="77777777" w:rsidR="00EE2BEC" w:rsidRPr="00A87774" w:rsidRDefault="00EE2BEC" w:rsidP="00EE2BEC">
            <w:pPr>
              <w:spacing w:after="0" w:line="240" w:lineRule="auto"/>
            </w:pPr>
            <w:r w:rsidRPr="00A87774">
              <w:rPr>
                <w:rFonts w:ascii="Times New Roman" w:eastAsia="Times New Roman" w:hAnsi="Times New Roman" w:cs="Times New Roman"/>
                <w:sz w:val="18"/>
                <w:szCs w:val="18"/>
              </w:rPr>
              <w:t>[0, 32]</w:t>
            </w:r>
          </w:p>
          <w:p w14:paraId="7E942FFB" w14:textId="77777777" w:rsidR="00EE2BEC" w:rsidRPr="00A87774" w:rsidRDefault="00EE2BEC" w:rsidP="00EE2BEC">
            <w:pPr>
              <w:spacing w:after="0" w:line="240" w:lineRule="auto"/>
            </w:pPr>
            <w:r w:rsidRPr="00A87774">
              <w:rPr>
                <w:rFonts w:ascii="Times New Roman" w:eastAsia="Times New Roman" w:hAnsi="Times New Roman" w:cs="Times New Roman"/>
                <w:sz w:val="18"/>
                <w:szCs w:val="18"/>
              </w:rPr>
              <w:t>[1, 26]</w:t>
            </w:r>
          </w:p>
          <w:p w14:paraId="1601A8BF" w14:textId="77777777" w:rsidR="00EE2BEC" w:rsidRPr="00A87774" w:rsidRDefault="00EE2BEC" w:rsidP="00EE2BEC">
            <w:pPr>
              <w:spacing w:after="0" w:line="240" w:lineRule="auto"/>
            </w:pPr>
            <w:r w:rsidRPr="00A87774">
              <w:rPr>
                <w:rFonts w:ascii="Times New Roman" w:eastAsia="Times New Roman" w:hAnsi="Times New Roman" w:cs="Times New Roman"/>
                <w:sz w:val="18"/>
                <w:szCs w:val="18"/>
              </w:rPr>
              <w:t>[2, 10]</w:t>
            </w:r>
          </w:p>
          <w:p w14:paraId="58B364E7" w14:textId="493F03D1" w:rsidR="00EE2BEC" w:rsidRPr="00A87774" w:rsidRDefault="00EE2BEC" w:rsidP="00EE2BEC">
            <w:pPr>
              <w:spacing w:after="0" w:line="240" w:lineRule="auto"/>
            </w:pPr>
            <w:r w:rsidRPr="00A87774">
              <w:rPr>
                <w:rFonts w:ascii="Times New Roman" w:eastAsia="Times New Roman" w:hAnsi="Times New Roman" w:cs="Times New Roman"/>
                <w:sz w:val="18"/>
                <w:szCs w:val="18"/>
              </w:rPr>
              <w:t>[3, 6]</w:t>
            </w:r>
          </w:p>
          <w:p w14:paraId="7532D0A0"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2]</w:t>
            </w:r>
          </w:p>
          <w:p w14:paraId="397A7ABE"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949" w:type="dxa"/>
          </w:tcPr>
          <w:p w14:paraId="2AC3A52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61 (20.8%)</w:t>
            </w:r>
          </w:p>
          <w:p w14:paraId="2EA40371"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6524CEF4"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32]</w:t>
            </w:r>
          </w:p>
          <w:p w14:paraId="50245CB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22]</w:t>
            </w:r>
          </w:p>
          <w:p w14:paraId="1E062F9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6]</w:t>
            </w:r>
          </w:p>
          <w:p w14:paraId="6E5CED3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1]</w:t>
            </w:r>
          </w:p>
          <w:p w14:paraId="7E05B271"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3B9B9A4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18 (6.1%)</w:t>
            </w:r>
          </w:p>
          <w:p w14:paraId="5B7B628C"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27808840"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9]</w:t>
            </w:r>
          </w:p>
          <w:p w14:paraId="08F7CE9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6]</w:t>
            </w:r>
          </w:p>
          <w:p w14:paraId="25BDAB23"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3]</w:t>
            </w:r>
          </w:p>
          <w:p w14:paraId="785B123D"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58D794A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(1.4%)</w:t>
            </w:r>
          </w:p>
          <w:p w14:paraId="616F03D0"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7AF23C65"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w:t>
            </w:r>
          </w:p>
          <w:p w14:paraId="3A03D5D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40308422"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2049E811"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4E58943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(1.0%)</w:t>
            </w:r>
          </w:p>
          <w:p w14:paraId="373BCD9D"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0C4BD7A1"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w:t>
            </w:r>
          </w:p>
          <w:p w14:paraId="549BFBE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tc>
        <w:tc>
          <w:tcPr>
            <w:tcW w:w="837" w:type="dxa"/>
          </w:tcPr>
          <w:p w14:paraId="7F1C9507"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(1.4%)</w:t>
            </w:r>
          </w:p>
          <w:p w14:paraId="068E16E5"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141111A8"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3]</w:t>
            </w:r>
          </w:p>
          <w:p w14:paraId="6DDF11E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21BF9E45"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4F278991"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(0.3%)</w:t>
            </w:r>
          </w:p>
          <w:p w14:paraId="3AD56AF9"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2875B07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4600AA0A"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22881A6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(0.3%)</w:t>
            </w:r>
          </w:p>
          <w:p w14:paraId="5A6A8470"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4367A96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7ADAEA1F" w14:textId="77777777" w:rsidR="00EE2BEC" w:rsidRPr="00A87774" w:rsidRDefault="00EE2BEC" w:rsidP="00EE2BEC">
            <w:pPr>
              <w:spacing w:after="0" w:line="240" w:lineRule="auto"/>
              <w:rPr>
                <w:rFonts w:ascii="Times New Roman" w:eastAsia="Times New Roman" w:hAnsi="Times New Roman" w:cs="Times New Roman"/>
                <w:sz w:val="18"/>
                <w:szCs w:val="18"/>
              </w:rPr>
            </w:pPr>
          </w:p>
        </w:tc>
      </w:tr>
      <w:tr w:rsidR="00EE2BEC" w:rsidRPr="00A87774" w14:paraId="1A9E6060" w14:textId="77777777" w:rsidTr="005148F5">
        <w:tc>
          <w:tcPr>
            <w:tcW w:w="1482" w:type="dxa"/>
          </w:tcPr>
          <w:p w14:paraId="39309769"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Patients with out-of-hospital onset</w:t>
            </w:r>
          </w:p>
        </w:tc>
        <w:tc>
          <w:tcPr>
            <w:tcW w:w="948" w:type="dxa"/>
          </w:tcPr>
          <w:p w14:paraId="182D64C6"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65 (32.3%)</w:t>
            </w:r>
          </w:p>
        </w:tc>
        <w:tc>
          <w:tcPr>
            <w:tcW w:w="949" w:type="dxa"/>
          </w:tcPr>
          <w:p w14:paraId="207FBA4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58 (28.9%)</w:t>
            </w:r>
          </w:p>
          <w:p w14:paraId="5F1AE28E"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25723F7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27]</w:t>
            </w:r>
          </w:p>
          <w:p w14:paraId="2AF9CF4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15]</w:t>
            </w:r>
          </w:p>
          <w:p w14:paraId="4C92048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9]</w:t>
            </w:r>
          </w:p>
          <w:p w14:paraId="18C577A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5]</w:t>
            </w:r>
          </w:p>
          <w:p w14:paraId="6A8D1B9C"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2]</w:t>
            </w:r>
          </w:p>
          <w:p w14:paraId="426921DD"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949" w:type="dxa"/>
          </w:tcPr>
          <w:p w14:paraId="5644EE3B"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50 (24.9%)</w:t>
            </w:r>
          </w:p>
          <w:p w14:paraId="2D742A32"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5C83950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28]</w:t>
            </w:r>
          </w:p>
          <w:p w14:paraId="3EFA3292"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18]</w:t>
            </w:r>
          </w:p>
          <w:p w14:paraId="1F72E7E1"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3]</w:t>
            </w:r>
          </w:p>
          <w:p w14:paraId="1636583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1]</w:t>
            </w:r>
          </w:p>
          <w:p w14:paraId="3DE3EA29"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6B9B041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16 (8.0%)</w:t>
            </w:r>
          </w:p>
          <w:p w14:paraId="34F95826"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5CB789A3"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8]</w:t>
            </w:r>
          </w:p>
          <w:p w14:paraId="08281845"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6]</w:t>
            </w:r>
          </w:p>
          <w:p w14:paraId="0537D1A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2]</w:t>
            </w:r>
          </w:p>
          <w:p w14:paraId="4973C60B"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798178EC"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(2.0%)</w:t>
            </w:r>
          </w:p>
          <w:p w14:paraId="7708E945"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2BE9FFD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w:t>
            </w:r>
          </w:p>
          <w:p w14:paraId="4B09AE9B"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4D7C4AAC"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34498493"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036FB7F3"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(1.0%)</w:t>
            </w:r>
          </w:p>
          <w:p w14:paraId="6FF08FC2"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7AC8054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w:t>
            </w:r>
          </w:p>
          <w:p w14:paraId="668056AD"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648A26D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(2.0%)</w:t>
            </w:r>
          </w:p>
          <w:p w14:paraId="23016AA4"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0864C935"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3]</w:t>
            </w:r>
          </w:p>
          <w:p w14:paraId="1D87AF80"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796492A5"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225AB948"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(0.5%)</w:t>
            </w:r>
          </w:p>
          <w:p w14:paraId="0D82C405"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6CA6A484"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50025EB4"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05F7F7E3"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(0.5%)</w:t>
            </w:r>
          </w:p>
          <w:p w14:paraId="14ED6070"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7199592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22FE8E1B" w14:textId="77777777" w:rsidR="00EE2BEC" w:rsidRPr="00A87774" w:rsidRDefault="00EE2BEC" w:rsidP="00EE2BEC">
            <w:pPr>
              <w:spacing w:after="0" w:line="240" w:lineRule="auto"/>
              <w:rPr>
                <w:rFonts w:ascii="Times New Roman" w:eastAsia="Times New Roman" w:hAnsi="Times New Roman" w:cs="Times New Roman"/>
                <w:sz w:val="18"/>
                <w:szCs w:val="18"/>
              </w:rPr>
            </w:pPr>
          </w:p>
        </w:tc>
      </w:tr>
      <w:tr w:rsidR="00EE2BEC" w:rsidRPr="00A87774" w14:paraId="507D27FC" w14:textId="77777777" w:rsidTr="0090482A">
        <w:trPr>
          <w:trHeight w:val="1646"/>
        </w:trPr>
        <w:tc>
          <w:tcPr>
            <w:tcW w:w="1482" w:type="dxa"/>
          </w:tcPr>
          <w:p w14:paraId="48E4100D" w14:textId="77777777" w:rsidR="00EE2BEC" w:rsidRPr="00A87774" w:rsidRDefault="00EE2BEC" w:rsidP="00EE2BEC">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Patients with in-hospital onset</w:t>
            </w:r>
          </w:p>
        </w:tc>
        <w:tc>
          <w:tcPr>
            <w:tcW w:w="948" w:type="dxa"/>
          </w:tcPr>
          <w:p w14:paraId="7048A001"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60 (65.2%)</w:t>
            </w:r>
          </w:p>
        </w:tc>
        <w:tc>
          <w:tcPr>
            <w:tcW w:w="949" w:type="dxa"/>
          </w:tcPr>
          <w:p w14:paraId="2D2F4C0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18 (19.6%)</w:t>
            </w:r>
          </w:p>
          <w:p w14:paraId="0A84D0E9"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244F33B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5]</w:t>
            </w:r>
          </w:p>
          <w:p w14:paraId="0D80C33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11]</w:t>
            </w:r>
          </w:p>
          <w:p w14:paraId="1FCEAC04"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56A9D96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0E9005B1"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949" w:type="dxa"/>
          </w:tcPr>
          <w:p w14:paraId="463704DB"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11 (12.0%)</w:t>
            </w:r>
          </w:p>
          <w:p w14:paraId="47C2302E"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7FBF40C1"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4]</w:t>
            </w:r>
          </w:p>
          <w:p w14:paraId="67242977"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4]</w:t>
            </w:r>
          </w:p>
          <w:p w14:paraId="7157B616"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3]</w:t>
            </w:r>
          </w:p>
          <w:p w14:paraId="4CF14D7F"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6036E35E"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(2.2%)</w:t>
            </w:r>
          </w:p>
          <w:p w14:paraId="34BD6C02"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61E560EA"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37C3E932"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71D5E420"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359D8BF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c>
          <w:tcPr>
            <w:tcW w:w="837" w:type="dxa"/>
          </w:tcPr>
          <w:p w14:paraId="780F9C1B"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(1.1%)</w:t>
            </w:r>
          </w:p>
          <w:p w14:paraId="09E4B10C" w14:textId="77777777" w:rsidR="00EE2BEC" w:rsidRPr="00A87774" w:rsidRDefault="00EE2BEC" w:rsidP="00EE2BEC">
            <w:pPr>
              <w:spacing w:after="0" w:line="240" w:lineRule="auto"/>
              <w:rPr>
                <w:rFonts w:ascii="Times New Roman" w:eastAsia="Times New Roman" w:hAnsi="Times New Roman" w:cs="Times New Roman"/>
                <w:sz w:val="18"/>
                <w:szCs w:val="18"/>
              </w:rPr>
            </w:pPr>
          </w:p>
          <w:p w14:paraId="2568C8F1"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3FF18624" w14:textId="77777777" w:rsidR="00EE2BEC" w:rsidRPr="00A87774" w:rsidRDefault="00EE2BEC" w:rsidP="00EE2BEC">
            <w:pPr>
              <w:spacing w:after="0" w:line="240" w:lineRule="auto"/>
              <w:rPr>
                <w:rFonts w:ascii="Times New Roman" w:eastAsia="Times New Roman" w:hAnsi="Times New Roman" w:cs="Times New Roman"/>
                <w:sz w:val="18"/>
                <w:szCs w:val="18"/>
              </w:rPr>
            </w:pPr>
          </w:p>
        </w:tc>
        <w:tc>
          <w:tcPr>
            <w:tcW w:w="837" w:type="dxa"/>
          </w:tcPr>
          <w:p w14:paraId="2FB3DC96"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c>
          <w:tcPr>
            <w:tcW w:w="837" w:type="dxa"/>
          </w:tcPr>
          <w:p w14:paraId="2222213D"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c>
          <w:tcPr>
            <w:tcW w:w="837" w:type="dxa"/>
          </w:tcPr>
          <w:p w14:paraId="1261E439" w14:textId="77777777" w:rsidR="00EE2BEC" w:rsidRPr="00A87774" w:rsidRDefault="00EE2BEC" w:rsidP="00EE2BEC">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r>
    </w:tbl>
    <w:p w14:paraId="4EA0C064" w14:textId="77777777" w:rsidR="00EE2BEC" w:rsidRDefault="00EE2BEC" w:rsidP="00EE2BEC">
      <w:pPr>
        <w:spacing w:after="0" w:line="240" w:lineRule="auto"/>
        <w:ind w:firstLine="706"/>
        <w:rPr>
          <w:rFonts w:ascii="Times New Roman" w:eastAsia="Times New Roman" w:hAnsi="Times New Roman" w:cs="Times New Roman"/>
          <w:b/>
          <w:bCs/>
          <w:sz w:val="24"/>
          <w:szCs w:val="24"/>
        </w:rPr>
      </w:pPr>
    </w:p>
    <w:p w14:paraId="319ADA2D" w14:textId="77777777" w:rsidR="0090482A" w:rsidRDefault="0090482A" w:rsidP="00EE2BEC">
      <w:pPr>
        <w:spacing w:after="0" w:line="240" w:lineRule="auto"/>
        <w:ind w:firstLine="706"/>
        <w:rPr>
          <w:rFonts w:ascii="Times New Roman" w:eastAsia="Times New Roman" w:hAnsi="Times New Roman" w:cs="Times New Roman"/>
          <w:b/>
          <w:bCs/>
          <w:sz w:val="24"/>
          <w:szCs w:val="24"/>
        </w:rPr>
      </w:pPr>
    </w:p>
    <w:p w14:paraId="348FE4F6" w14:textId="398154B1" w:rsidR="00EE2BEC" w:rsidRPr="00A87774" w:rsidRDefault="00EE2BEC" w:rsidP="00EE2BEC">
      <w:pPr>
        <w:spacing w:after="0" w:line="240" w:lineRule="auto"/>
        <w:ind w:firstLine="706"/>
        <w:rPr>
          <w:rFonts w:ascii="Times New Roman" w:eastAsia="Times New Roman" w:hAnsi="Times New Roman" w:cs="Times New Roman"/>
          <w:sz w:val="20"/>
          <w:szCs w:val="20"/>
        </w:rPr>
      </w:pPr>
      <w:r w:rsidRPr="00A87774">
        <w:rPr>
          <w:rFonts w:ascii="Times New Roman" w:eastAsia="Times New Roman" w:hAnsi="Times New Roman" w:cs="Times New Roman"/>
          <w:b/>
          <w:bCs/>
          <w:sz w:val="24"/>
          <w:szCs w:val="24"/>
        </w:rPr>
        <w:t>Legend:</w:t>
      </w:r>
      <w:r w:rsidRPr="00A87774">
        <w:rPr>
          <w:rFonts w:ascii="Times New Roman" w:eastAsia="Times New Roman" w:hAnsi="Times New Roman" w:cs="Times New Roman"/>
          <w:sz w:val="24"/>
          <w:szCs w:val="24"/>
        </w:rPr>
        <w:t xml:space="preserve"> </w:t>
      </w:r>
      <w:r w:rsidRPr="00A87774">
        <w:rPr>
          <w:rFonts w:ascii="Times New Roman" w:eastAsia="Times New Roman" w:hAnsi="Times New Roman" w:cs="Times New Roman"/>
          <w:b/>
          <w:bCs/>
          <w:sz w:val="24"/>
          <w:szCs w:val="24"/>
        </w:rPr>
        <w:t>BZD:</w:t>
      </w:r>
      <w:r w:rsidRPr="00A87774">
        <w:rPr>
          <w:rFonts w:ascii="Times New Roman" w:eastAsia="Times New Roman" w:hAnsi="Times New Roman" w:cs="Times New Roman"/>
          <w:sz w:val="24"/>
          <w:szCs w:val="24"/>
        </w:rPr>
        <w:t xml:space="preserve"> Benzodiazepine. </w:t>
      </w:r>
      <w:r w:rsidRPr="00A87774">
        <w:rPr>
          <w:rFonts w:ascii="Times New Roman" w:eastAsia="Times New Roman" w:hAnsi="Times New Roman" w:cs="Times New Roman"/>
          <w:b/>
          <w:bCs/>
          <w:sz w:val="24"/>
          <w:szCs w:val="24"/>
        </w:rPr>
        <w:t>non-BZD ASM:</w:t>
      </w:r>
      <w:r w:rsidRPr="00A87774">
        <w:rPr>
          <w:rFonts w:ascii="Times New Roman" w:eastAsia="Times New Roman" w:hAnsi="Times New Roman" w:cs="Times New Roman"/>
          <w:sz w:val="24"/>
          <w:szCs w:val="24"/>
        </w:rPr>
        <w:t xml:space="preserve"> Non-benzodiazepine anti-seizure medication. The first number within [ , ] represents the number of BZDs already </w:t>
      </w:r>
      <w:r w:rsidRPr="00A87774">
        <w:rPr>
          <w:rFonts w:ascii="Times New Roman" w:eastAsia="Times New Roman" w:hAnsi="Times New Roman" w:cs="Times New Roman"/>
          <w:color w:val="231F20"/>
          <w:sz w:val="24"/>
          <w:szCs w:val="24"/>
        </w:rPr>
        <w:t>administered during the first 30 minutes after seizure onset. The second number within [ , ] represents the number of patients who received the mentioned number of BZDs. For example, in the entire cohort, 76 patients received one BZD after the first 30 minutes from seizure onset and before the first non-BZD ASM; of those 76 patients, 32 patients had not received any BZD within the first 30 minutes, 26 patients had received one BZD, 10 patients had received two BZDs, etc.</w:t>
      </w:r>
      <w:r w:rsidRPr="00A87774">
        <w:rPr>
          <w:rFonts w:ascii="Times New Roman" w:eastAsia="Times New Roman" w:hAnsi="Times New Roman" w:cs="Times New Roman"/>
          <w:color w:val="231F20"/>
          <w:sz w:val="20"/>
          <w:szCs w:val="20"/>
        </w:rPr>
        <w:t xml:space="preserve"> </w:t>
      </w:r>
    </w:p>
    <w:p w14:paraId="7E239CC0" w14:textId="77777777" w:rsidR="00EE2BEC" w:rsidRPr="00A87774" w:rsidRDefault="00EE2BEC" w:rsidP="004D7420">
      <w:pPr>
        <w:spacing w:line="480" w:lineRule="auto"/>
        <w:rPr>
          <w:rFonts w:ascii="Times New Roman" w:eastAsia="Times New Roman" w:hAnsi="Times New Roman" w:cs="Times New Roman"/>
          <w:b/>
          <w:bCs/>
          <w:sz w:val="24"/>
          <w:szCs w:val="24"/>
        </w:rPr>
        <w:sectPr w:rsidR="00EE2BEC" w:rsidRPr="00A87774">
          <w:pgSz w:w="12240" w:h="15840"/>
          <w:pgMar w:top="1440" w:right="1440" w:bottom="1440" w:left="1440" w:header="720" w:footer="720" w:gutter="0"/>
          <w:cols w:space="720" w:equalWidth="0">
            <w:col w:w="9360"/>
          </w:cols>
        </w:sectPr>
      </w:pPr>
    </w:p>
    <w:p w14:paraId="37417D0B" w14:textId="37373E7C" w:rsidR="00EE2BEC" w:rsidRDefault="00EE2BEC" w:rsidP="004D742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Data table of Figure 3</w:t>
      </w:r>
      <w:r w:rsidRPr="00A87774">
        <w:rPr>
          <w:rFonts w:ascii="Times New Roman" w:eastAsia="Times New Roman" w:hAnsi="Times New Roman" w:cs="Times New Roman"/>
          <w:b/>
          <w:bCs/>
          <w:sz w:val="24"/>
          <w:szCs w:val="24"/>
        </w:rPr>
        <w:t xml:space="preserve">. </w:t>
      </w:r>
      <w:r w:rsidRPr="00CF10D6">
        <w:rPr>
          <w:rFonts w:ascii="Times New Roman" w:eastAsia="Times New Roman" w:hAnsi="Times New Roman" w:cs="Times New Roman"/>
          <w:sz w:val="24"/>
          <w:szCs w:val="24"/>
        </w:rPr>
        <w:t>Number of benzodiazepines administered after 45 minutes from seizure onset and before the first non-benzodiazepine anti-seizure medication</w:t>
      </w:r>
      <w:r w:rsidRPr="00A87774">
        <w:rPr>
          <w:rFonts w:ascii="Times New Roman" w:eastAsia="Times New Roman" w:hAnsi="Times New Roman" w:cs="Times New Roman"/>
          <w:b/>
          <w:bCs/>
          <w:sz w:val="24"/>
          <w:szCs w:val="24"/>
        </w:rPr>
        <w:t xml:space="preserve">. </w:t>
      </w:r>
    </w:p>
    <w:p w14:paraId="5D64FE7A" w14:textId="77777777" w:rsidR="004D7420" w:rsidRDefault="004D7420" w:rsidP="004D7420">
      <w:pPr>
        <w:spacing w:after="0" w:line="240" w:lineRule="auto"/>
        <w:ind w:firstLine="720"/>
        <w:rPr>
          <w:rFonts w:ascii="Times New Roman" w:eastAsia="Times New Roman" w:hAnsi="Times New Roman" w:cs="Times New Roman"/>
          <w:b/>
          <w:bCs/>
          <w:sz w:val="24"/>
          <w:szCs w:val="24"/>
        </w:rPr>
      </w:pPr>
    </w:p>
    <w:p w14:paraId="54729B40" w14:textId="77777777" w:rsidR="00EE2BEC" w:rsidRPr="00A87774" w:rsidRDefault="00EE2BEC" w:rsidP="0090482A">
      <w:pPr>
        <w:spacing w:after="0" w:line="240" w:lineRule="auto"/>
        <w:ind w:firstLine="720"/>
        <w:rPr>
          <w:rFonts w:ascii="Times New Roman" w:eastAsia="Times New Roman" w:hAnsi="Times New Roman" w:cs="Times New Roman"/>
          <w:b/>
          <w:bCs/>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996"/>
        <w:gridCol w:w="996"/>
        <w:gridCol w:w="996"/>
        <w:gridCol w:w="951"/>
        <w:gridCol w:w="951"/>
        <w:gridCol w:w="939"/>
        <w:gridCol w:w="939"/>
        <w:gridCol w:w="939"/>
      </w:tblGrid>
      <w:tr w:rsidR="00EE2BEC" w:rsidRPr="00A87774" w14:paraId="7C952A9F" w14:textId="77777777" w:rsidTr="005148F5">
        <w:tc>
          <w:tcPr>
            <w:tcW w:w="1643" w:type="dxa"/>
          </w:tcPr>
          <w:p w14:paraId="6666DC3F" w14:textId="77777777" w:rsidR="00EE2BEC" w:rsidRPr="00A87774" w:rsidRDefault="00EE2BEC" w:rsidP="0090482A">
            <w:pPr>
              <w:spacing w:after="0" w:line="240" w:lineRule="auto"/>
              <w:rPr>
                <w:rFonts w:ascii="Times New Roman" w:eastAsia="Times New Roman" w:hAnsi="Times New Roman" w:cs="Times New Roman"/>
                <w:b/>
                <w:bCs/>
                <w:sz w:val="18"/>
                <w:szCs w:val="18"/>
              </w:rPr>
            </w:pPr>
            <w:r w:rsidRPr="00A87774">
              <w:rPr>
                <w:rFonts w:ascii="Times New Roman" w:eastAsia="Times New Roman" w:hAnsi="Times New Roman" w:cs="Times New Roman"/>
                <w:b/>
                <w:bCs/>
                <w:sz w:val="18"/>
                <w:szCs w:val="18"/>
              </w:rPr>
              <w:t>Number of BZDs administered after 45 minutes from seizure onset and before first non-BZD ASM</w:t>
            </w:r>
          </w:p>
        </w:tc>
        <w:tc>
          <w:tcPr>
            <w:tcW w:w="996" w:type="dxa"/>
          </w:tcPr>
          <w:p w14:paraId="131C4125"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0</w:t>
            </w:r>
          </w:p>
        </w:tc>
        <w:tc>
          <w:tcPr>
            <w:tcW w:w="996" w:type="dxa"/>
          </w:tcPr>
          <w:p w14:paraId="3DFBDD44"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1</w:t>
            </w:r>
          </w:p>
        </w:tc>
        <w:tc>
          <w:tcPr>
            <w:tcW w:w="996" w:type="dxa"/>
          </w:tcPr>
          <w:p w14:paraId="026455B8"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2</w:t>
            </w:r>
          </w:p>
        </w:tc>
        <w:tc>
          <w:tcPr>
            <w:tcW w:w="951" w:type="dxa"/>
          </w:tcPr>
          <w:p w14:paraId="5E39296A"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3</w:t>
            </w:r>
          </w:p>
        </w:tc>
        <w:tc>
          <w:tcPr>
            <w:tcW w:w="951" w:type="dxa"/>
          </w:tcPr>
          <w:p w14:paraId="51F6C2D7"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4</w:t>
            </w:r>
          </w:p>
        </w:tc>
        <w:tc>
          <w:tcPr>
            <w:tcW w:w="939" w:type="dxa"/>
          </w:tcPr>
          <w:p w14:paraId="029DA234"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5</w:t>
            </w:r>
          </w:p>
        </w:tc>
        <w:tc>
          <w:tcPr>
            <w:tcW w:w="939" w:type="dxa"/>
          </w:tcPr>
          <w:p w14:paraId="74644E2C"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6</w:t>
            </w:r>
          </w:p>
        </w:tc>
        <w:tc>
          <w:tcPr>
            <w:tcW w:w="939" w:type="dxa"/>
          </w:tcPr>
          <w:p w14:paraId="4717F169"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10</w:t>
            </w:r>
          </w:p>
        </w:tc>
      </w:tr>
      <w:tr w:rsidR="00EE2BEC" w:rsidRPr="00A87774" w14:paraId="37D34195" w14:textId="77777777" w:rsidTr="005148F5">
        <w:tc>
          <w:tcPr>
            <w:tcW w:w="9350" w:type="dxa"/>
            <w:gridSpan w:val="9"/>
          </w:tcPr>
          <w:p w14:paraId="01912208" w14:textId="77777777" w:rsidR="00EE2BEC" w:rsidRPr="00A87774" w:rsidRDefault="00EE2BEC" w:rsidP="0090482A">
            <w:pPr>
              <w:spacing w:after="0" w:line="240" w:lineRule="auto"/>
              <w:rPr>
                <w:rFonts w:ascii="Times New Roman" w:eastAsia="Times New Roman" w:hAnsi="Times New Roman" w:cs="Times New Roman"/>
                <w:sz w:val="18"/>
                <w:szCs w:val="18"/>
              </w:rPr>
            </w:pPr>
          </w:p>
        </w:tc>
      </w:tr>
      <w:tr w:rsidR="00EE2BEC" w:rsidRPr="00A87774" w14:paraId="4BA4DE32" w14:textId="77777777" w:rsidTr="0090482A">
        <w:trPr>
          <w:trHeight w:val="1844"/>
        </w:trPr>
        <w:tc>
          <w:tcPr>
            <w:tcW w:w="1643" w:type="dxa"/>
          </w:tcPr>
          <w:p w14:paraId="3E87BF35"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Patients in the entire cohort</w:t>
            </w:r>
          </w:p>
        </w:tc>
        <w:tc>
          <w:tcPr>
            <w:tcW w:w="996" w:type="dxa"/>
          </w:tcPr>
          <w:p w14:paraId="78BF1D88"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164 (56.0%)</w:t>
            </w:r>
          </w:p>
          <w:p w14:paraId="56DCDCF8"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72160BF4"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52D58521"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96" w:type="dxa"/>
          </w:tcPr>
          <w:p w14:paraId="646115A2"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59 (20.1%)</w:t>
            </w:r>
          </w:p>
          <w:p w14:paraId="7B87CF19"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2420FDD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25]</w:t>
            </w:r>
          </w:p>
          <w:p w14:paraId="20B6585A"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16]</w:t>
            </w:r>
          </w:p>
          <w:p w14:paraId="0E68403A"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10]</w:t>
            </w:r>
          </w:p>
          <w:p w14:paraId="5074A824"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7]</w:t>
            </w:r>
          </w:p>
          <w:p w14:paraId="26635A5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[5, 1]</w:t>
            </w:r>
          </w:p>
          <w:p w14:paraId="4C8CF58C"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96" w:type="dxa"/>
          </w:tcPr>
          <w:p w14:paraId="56B4DC11"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48 (16.4%)</w:t>
            </w:r>
          </w:p>
          <w:p w14:paraId="736B5AB4"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7883A61F"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27]</w:t>
            </w:r>
          </w:p>
          <w:p w14:paraId="6D88E17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15]</w:t>
            </w:r>
          </w:p>
          <w:p w14:paraId="373F0D04"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3]</w:t>
            </w:r>
          </w:p>
          <w:p w14:paraId="08E32A7F"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3]</w:t>
            </w:r>
          </w:p>
          <w:p w14:paraId="0DE20E06"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51" w:type="dxa"/>
          </w:tcPr>
          <w:p w14:paraId="3440C56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12 (4.1%)</w:t>
            </w:r>
          </w:p>
          <w:p w14:paraId="33E12C33"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60697412"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5]</w:t>
            </w:r>
          </w:p>
          <w:p w14:paraId="4896C4AF"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5]</w:t>
            </w:r>
          </w:p>
          <w:p w14:paraId="5B0447DD"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4E45BE67"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64A65C71"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51" w:type="dxa"/>
          </w:tcPr>
          <w:p w14:paraId="5D3551E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5 (1.7%)</w:t>
            </w:r>
          </w:p>
          <w:p w14:paraId="61934E73"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6B357B9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7DD2A285"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2]</w:t>
            </w:r>
          </w:p>
          <w:p w14:paraId="14B1CCB8"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040760D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2A1A380D"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39" w:type="dxa"/>
          </w:tcPr>
          <w:p w14:paraId="4AE50371"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(0.3%)</w:t>
            </w:r>
          </w:p>
          <w:p w14:paraId="4EC1F325"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0199BE44"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tc>
        <w:tc>
          <w:tcPr>
            <w:tcW w:w="939" w:type="dxa"/>
          </w:tcPr>
          <w:p w14:paraId="0224F8C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(1.0%)</w:t>
            </w:r>
          </w:p>
          <w:p w14:paraId="5F693F2A"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63A9152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w:t>
            </w:r>
          </w:p>
          <w:p w14:paraId="689DFB38"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0FBB8311"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39" w:type="dxa"/>
          </w:tcPr>
          <w:p w14:paraId="279FCFFC"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(0.3%)</w:t>
            </w:r>
          </w:p>
          <w:p w14:paraId="38FAC1DA"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06EB90B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161C02D2" w14:textId="77777777" w:rsidR="00EE2BEC" w:rsidRPr="00A87774" w:rsidRDefault="00EE2BEC" w:rsidP="0090482A">
            <w:pPr>
              <w:spacing w:after="0" w:line="240" w:lineRule="auto"/>
              <w:rPr>
                <w:rFonts w:ascii="Times New Roman" w:eastAsia="Times New Roman" w:hAnsi="Times New Roman" w:cs="Times New Roman"/>
                <w:sz w:val="18"/>
                <w:szCs w:val="18"/>
              </w:rPr>
            </w:pPr>
          </w:p>
        </w:tc>
      </w:tr>
      <w:tr w:rsidR="00EE2BEC" w:rsidRPr="00A87774" w14:paraId="06BC8AF4" w14:textId="77777777" w:rsidTr="0090482A">
        <w:trPr>
          <w:trHeight w:val="1862"/>
        </w:trPr>
        <w:tc>
          <w:tcPr>
            <w:tcW w:w="1643" w:type="dxa"/>
          </w:tcPr>
          <w:p w14:paraId="0EED0EF1"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Patients with out-of-hospital onset</w:t>
            </w:r>
          </w:p>
        </w:tc>
        <w:tc>
          <w:tcPr>
            <w:tcW w:w="996" w:type="dxa"/>
          </w:tcPr>
          <w:p w14:paraId="3762E0CF"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90 (44.8%)</w:t>
            </w:r>
          </w:p>
          <w:p w14:paraId="675733F2"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1770C773"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96" w:type="dxa"/>
          </w:tcPr>
          <w:p w14:paraId="5CA035E8"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47 (23.4%)</w:t>
            </w:r>
          </w:p>
          <w:p w14:paraId="0940E8CA"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1A2F4941"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22]</w:t>
            </w:r>
          </w:p>
          <w:p w14:paraId="2319FB1C"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11]</w:t>
            </w:r>
          </w:p>
          <w:p w14:paraId="36C3395D"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9]</w:t>
            </w:r>
          </w:p>
          <w:p w14:paraId="7A7C769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4]</w:t>
            </w:r>
          </w:p>
          <w:p w14:paraId="13DEFFA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[5, 1]</w:t>
            </w:r>
          </w:p>
          <w:p w14:paraId="7A860EE6"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96" w:type="dxa"/>
          </w:tcPr>
          <w:p w14:paraId="03F674E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44 (21.9%)</w:t>
            </w:r>
          </w:p>
          <w:p w14:paraId="20EEC829"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0381A05E"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26]</w:t>
            </w:r>
          </w:p>
          <w:p w14:paraId="1EF1F6F7"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12]</w:t>
            </w:r>
          </w:p>
          <w:p w14:paraId="439C19C7"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3]</w:t>
            </w:r>
          </w:p>
          <w:p w14:paraId="5695BC09"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3]</w:t>
            </w:r>
          </w:p>
          <w:p w14:paraId="495B8FD1"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51" w:type="dxa"/>
          </w:tcPr>
          <w:p w14:paraId="58A92A01"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11 (5.5%)</w:t>
            </w:r>
          </w:p>
          <w:p w14:paraId="6CBD4379"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33D2745D"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5]</w:t>
            </w:r>
          </w:p>
          <w:p w14:paraId="2BC6F3E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5]</w:t>
            </w:r>
          </w:p>
          <w:p w14:paraId="0A8859F0"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2BEEFE51"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51" w:type="dxa"/>
          </w:tcPr>
          <w:p w14:paraId="0A9F30C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(2.0%)</w:t>
            </w:r>
          </w:p>
          <w:p w14:paraId="181E5952"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5F556645"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6A4149D8"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2]</w:t>
            </w:r>
          </w:p>
          <w:p w14:paraId="65BAC912"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w:t>
            </w:r>
          </w:p>
          <w:p w14:paraId="49C09D11"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39" w:type="dxa"/>
          </w:tcPr>
          <w:p w14:paraId="7D5673B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(0.5%)</w:t>
            </w:r>
          </w:p>
          <w:p w14:paraId="78A2D5F9"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19F7BA34"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4FAF2366"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39" w:type="dxa"/>
          </w:tcPr>
          <w:p w14:paraId="0CEDD6FA"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(1.5%)</w:t>
            </w:r>
          </w:p>
          <w:p w14:paraId="1B5CDCE9"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549390F0"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2]</w:t>
            </w:r>
          </w:p>
          <w:p w14:paraId="3C2C2D2A"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w:t>
            </w:r>
          </w:p>
          <w:p w14:paraId="05CD8645"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39" w:type="dxa"/>
          </w:tcPr>
          <w:p w14:paraId="38A4A8A8"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(0.5%)</w:t>
            </w:r>
          </w:p>
          <w:p w14:paraId="1FE71996"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7FCD6030"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04F00355" w14:textId="77777777" w:rsidR="00EE2BEC" w:rsidRPr="00A87774" w:rsidRDefault="00EE2BEC" w:rsidP="0090482A">
            <w:pPr>
              <w:spacing w:after="0" w:line="240" w:lineRule="auto"/>
              <w:rPr>
                <w:rFonts w:ascii="Times New Roman" w:eastAsia="Times New Roman" w:hAnsi="Times New Roman" w:cs="Times New Roman"/>
                <w:sz w:val="18"/>
                <w:szCs w:val="18"/>
              </w:rPr>
            </w:pPr>
          </w:p>
        </w:tc>
      </w:tr>
      <w:tr w:rsidR="00EE2BEC" w:rsidRPr="00A87774" w14:paraId="37EE2357" w14:textId="77777777" w:rsidTr="005148F5">
        <w:tc>
          <w:tcPr>
            <w:tcW w:w="1643" w:type="dxa"/>
          </w:tcPr>
          <w:p w14:paraId="0A2B7987" w14:textId="77777777" w:rsidR="00EE2BEC" w:rsidRPr="00A87774" w:rsidRDefault="00EE2BEC" w:rsidP="0090482A">
            <w:pPr>
              <w:spacing w:after="0" w:line="240" w:lineRule="auto"/>
              <w:rPr>
                <w:rFonts w:ascii="Times New Roman" w:eastAsia="Times New Roman" w:hAnsi="Times New Roman" w:cs="Times New Roman"/>
                <w:b/>
                <w:sz w:val="18"/>
                <w:szCs w:val="18"/>
              </w:rPr>
            </w:pPr>
            <w:r w:rsidRPr="00A87774">
              <w:rPr>
                <w:rFonts w:ascii="Times New Roman" w:eastAsia="Times New Roman" w:hAnsi="Times New Roman" w:cs="Times New Roman"/>
                <w:b/>
                <w:sz w:val="18"/>
                <w:szCs w:val="18"/>
              </w:rPr>
              <w:t>Patients with in-hospital onset</w:t>
            </w:r>
          </w:p>
        </w:tc>
        <w:tc>
          <w:tcPr>
            <w:tcW w:w="996" w:type="dxa"/>
          </w:tcPr>
          <w:p w14:paraId="40E1DD1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74 (80.4%)</w:t>
            </w:r>
          </w:p>
          <w:p w14:paraId="33EB021D"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59BCCEB4"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3B52A3C3"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96" w:type="dxa"/>
          </w:tcPr>
          <w:p w14:paraId="6C61378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12 (13.0%)</w:t>
            </w:r>
          </w:p>
          <w:p w14:paraId="689CC92D"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61DEC2F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3]</w:t>
            </w:r>
          </w:p>
          <w:p w14:paraId="39E9CAEE"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5]</w:t>
            </w:r>
          </w:p>
          <w:p w14:paraId="591AE074"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7721B3B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[3, 3]</w:t>
            </w:r>
          </w:p>
          <w:p w14:paraId="62F8F4DB"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96" w:type="dxa"/>
          </w:tcPr>
          <w:p w14:paraId="03D6735E"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4 (4.3%)</w:t>
            </w:r>
          </w:p>
          <w:p w14:paraId="55148FA6"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10D7BD7B"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1]</w:t>
            </w:r>
          </w:p>
          <w:p w14:paraId="3F8CD9EC"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3]</w:t>
            </w:r>
          </w:p>
          <w:p w14:paraId="1990FC18"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51" w:type="dxa"/>
          </w:tcPr>
          <w:p w14:paraId="6A23D186"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(1.1%)</w:t>
            </w:r>
          </w:p>
          <w:p w14:paraId="7B29F358"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136965DE"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4D75A288"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51" w:type="dxa"/>
          </w:tcPr>
          <w:p w14:paraId="34E90DAE"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1 (1.1%)</w:t>
            </w:r>
          </w:p>
          <w:p w14:paraId="6BBE909E" w14:textId="77777777" w:rsidR="00EE2BEC" w:rsidRPr="00A87774" w:rsidRDefault="00EE2BEC" w:rsidP="0090482A">
            <w:pPr>
              <w:spacing w:after="0" w:line="240" w:lineRule="auto"/>
              <w:rPr>
                <w:rFonts w:ascii="Times New Roman" w:eastAsia="Times New Roman" w:hAnsi="Times New Roman" w:cs="Times New Roman"/>
                <w:sz w:val="18"/>
                <w:szCs w:val="18"/>
              </w:rPr>
            </w:pPr>
          </w:p>
          <w:p w14:paraId="08BEF763"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[2, 1]</w:t>
            </w:r>
          </w:p>
          <w:p w14:paraId="2125395A" w14:textId="77777777" w:rsidR="00EE2BEC" w:rsidRPr="00A87774" w:rsidRDefault="00EE2BEC" w:rsidP="0090482A">
            <w:pPr>
              <w:spacing w:after="0" w:line="240" w:lineRule="auto"/>
              <w:rPr>
                <w:rFonts w:ascii="Times New Roman" w:eastAsia="Times New Roman" w:hAnsi="Times New Roman" w:cs="Times New Roman"/>
                <w:sz w:val="18"/>
                <w:szCs w:val="18"/>
              </w:rPr>
            </w:pPr>
          </w:p>
        </w:tc>
        <w:tc>
          <w:tcPr>
            <w:tcW w:w="939" w:type="dxa"/>
          </w:tcPr>
          <w:p w14:paraId="2C1607DD"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c>
          <w:tcPr>
            <w:tcW w:w="939" w:type="dxa"/>
          </w:tcPr>
          <w:p w14:paraId="64387EC7"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c>
          <w:tcPr>
            <w:tcW w:w="939" w:type="dxa"/>
          </w:tcPr>
          <w:p w14:paraId="66647BCC" w14:textId="77777777" w:rsidR="00EE2BEC" w:rsidRPr="00A87774" w:rsidRDefault="00EE2BEC" w:rsidP="0090482A">
            <w:pPr>
              <w:spacing w:after="0" w:line="240" w:lineRule="auto"/>
              <w:rPr>
                <w:rFonts w:ascii="Times New Roman" w:eastAsia="Times New Roman" w:hAnsi="Times New Roman" w:cs="Times New Roman"/>
                <w:sz w:val="18"/>
                <w:szCs w:val="18"/>
              </w:rPr>
            </w:pPr>
            <w:r w:rsidRPr="00A87774">
              <w:rPr>
                <w:rFonts w:ascii="Times New Roman" w:eastAsia="Times New Roman" w:hAnsi="Times New Roman" w:cs="Times New Roman"/>
                <w:sz w:val="18"/>
                <w:szCs w:val="18"/>
              </w:rPr>
              <w:t>0 (0%)</w:t>
            </w:r>
          </w:p>
        </w:tc>
      </w:tr>
    </w:tbl>
    <w:p w14:paraId="45CE9F77" w14:textId="77777777" w:rsidR="00EE2BEC" w:rsidRPr="00A87774" w:rsidRDefault="00EE2BEC" w:rsidP="0090482A">
      <w:pPr>
        <w:spacing w:after="0" w:line="240" w:lineRule="auto"/>
        <w:ind w:firstLine="706"/>
        <w:rPr>
          <w:rFonts w:ascii="Times New Roman" w:eastAsia="Times New Roman" w:hAnsi="Times New Roman" w:cs="Times New Roman"/>
          <w:b/>
          <w:bCs/>
          <w:sz w:val="24"/>
          <w:szCs w:val="24"/>
        </w:rPr>
      </w:pPr>
    </w:p>
    <w:p w14:paraId="5564E4BB" w14:textId="77777777" w:rsidR="00382566" w:rsidRDefault="00382566" w:rsidP="0090482A">
      <w:pPr>
        <w:spacing w:after="0" w:line="240" w:lineRule="auto"/>
        <w:ind w:firstLine="706"/>
        <w:rPr>
          <w:rFonts w:ascii="Times New Roman" w:eastAsia="Times New Roman" w:hAnsi="Times New Roman" w:cs="Times New Roman"/>
          <w:b/>
          <w:bCs/>
          <w:sz w:val="24"/>
          <w:szCs w:val="24"/>
        </w:rPr>
      </w:pPr>
    </w:p>
    <w:p w14:paraId="22C8706C" w14:textId="6DD311F5" w:rsidR="00EE2BEC" w:rsidRPr="00B47263" w:rsidRDefault="00EE2BEC" w:rsidP="0090482A">
      <w:pPr>
        <w:spacing w:after="0" w:line="240" w:lineRule="auto"/>
        <w:ind w:firstLine="706"/>
        <w:rPr>
          <w:rFonts w:ascii="Times New Roman" w:eastAsia="Times New Roman" w:hAnsi="Times New Roman" w:cs="Times New Roman"/>
          <w:sz w:val="20"/>
          <w:szCs w:val="20"/>
        </w:rPr>
      </w:pPr>
      <w:r w:rsidRPr="00A87774">
        <w:rPr>
          <w:rFonts w:ascii="Times New Roman" w:eastAsia="Times New Roman" w:hAnsi="Times New Roman" w:cs="Times New Roman"/>
          <w:b/>
          <w:bCs/>
          <w:sz w:val="24"/>
          <w:szCs w:val="24"/>
        </w:rPr>
        <w:t>Legend:</w:t>
      </w:r>
      <w:r w:rsidRPr="00A87774">
        <w:rPr>
          <w:rFonts w:ascii="Times New Roman" w:eastAsia="Times New Roman" w:hAnsi="Times New Roman" w:cs="Times New Roman"/>
          <w:sz w:val="24"/>
          <w:szCs w:val="24"/>
        </w:rPr>
        <w:t xml:space="preserve"> </w:t>
      </w:r>
      <w:r w:rsidRPr="00A87774">
        <w:rPr>
          <w:rFonts w:ascii="Times New Roman" w:eastAsia="Times New Roman" w:hAnsi="Times New Roman" w:cs="Times New Roman"/>
          <w:b/>
          <w:bCs/>
          <w:sz w:val="24"/>
          <w:szCs w:val="24"/>
        </w:rPr>
        <w:t>BZD:</w:t>
      </w:r>
      <w:r w:rsidRPr="00A87774">
        <w:rPr>
          <w:rFonts w:ascii="Times New Roman" w:eastAsia="Times New Roman" w:hAnsi="Times New Roman" w:cs="Times New Roman"/>
          <w:sz w:val="24"/>
          <w:szCs w:val="24"/>
        </w:rPr>
        <w:t xml:space="preserve"> Benzodiazepine. </w:t>
      </w:r>
      <w:r w:rsidRPr="00A87774">
        <w:rPr>
          <w:rFonts w:ascii="Times New Roman" w:eastAsia="Times New Roman" w:hAnsi="Times New Roman" w:cs="Times New Roman"/>
          <w:b/>
          <w:bCs/>
          <w:sz w:val="24"/>
          <w:szCs w:val="24"/>
        </w:rPr>
        <w:t>non-BZD ASM:</w:t>
      </w:r>
      <w:r w:rsidRPr="00A87774">
        <w:rPr>
          <w:rFonts w:ascii="Times New Roman" w:eastAsia="Times New Roman" w:hAnsi="Times New Roman" w:cs="Times New Roman"/>
          <w:sz w:val="24"/>
          <w:szCs w:val="24"/>
        </w:rPr>
        <w:t xml:space="preserve"> Non-benzodiazepine anti-seizure medication. The first number within [ , ] represents the number of BZDs already </w:t>
      </w:r>
      <w:r w:rsidRPr="00A87774">
        <w:rPr>
          <w:rFonts w:ascii="Times New Roman" w:eastAsia="Times New Roman" w:hAnsi="Times New Roman" w:cs="Times New Roman"/>
          <w:color w:val="231F20"/>
          <w:sz w:val="24"/>
          <w:szCs w:val="24"/>
        </w:rPr>
        <w:t>administered during the first 45 minutes after seizure onset. The second number within [ , ] represents the number of patients who received the mentioned number of BZDs. For example, in the entire cohort, 59 patients received one BZD after the first 45 minutes from seizure onset and before the first non-BZD ASM; of those 59 patients, 25 patients had not received any BZD within the first 45 minutes, 16 patients had received one BZD, 10 patients had received two BZDs, etc.</w:t>
      </w:r>
      <w:r w:rsidRPr="5521C1DE">
        <w:rPr>
          <w:rFonts w:ascii="Times New Roman" w:eastAsia="Times New Roman" w:hAnsi="Times New Roman" w:cs="Times New Roman"/>
          <w:color w:val="231F20"/>
          <w:sz w:val="20"/>
          <w:szCs w:val="20"/>
        </w:rPr>
        <w:t xml:space="preserve"> </w:t>
      </w:r>
    </w:p>
    <w:p w14:paraId="7E8DB10D" w14:textId="77777777" w:rsidR="00EE2BEC" w:rsidRPr="00B47263" w:rsidRDefault="00EE2BEC" w:rsidP="00EE2BEC">
      <w:pPr>
        <w:spacing w:line="480" w:lineRule="auto"/>
        <w:rPr>
          <w:rFonts w:ascii="Times New Roman" w:eastAsia="Times New Roman" w:hAnsi="Times New Roman" w:cs="Times New Roman"/>
          <w:sz w:val="24"/>
          <w:szCs w:val="24"/>
        </w:rPr>
      </w:pPr>
    </w:p>
    <w:p w14:paraId="37250914" w14:textId="77777777" w:rsidR="00D25952" w:rsidRDefault="00D25952"/>
    <w:sectPr w:rsidR="00D25952">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EC"/>
    <w:rsid w:val="00382566"/>
    <w:rsid w:val="003A3BA1"/>
    <w:rsid w:val="004D7420"/>
    <w:rsid w:val="0090482A"/>
    <w:rsid w:val="00CF10D6"/>
    <w:rsid w:val="00D25952"/>
    <w:rsid w:val="00E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526E"/>
  <w15:chartTrackingRefBased/>
  <w15:docId w15:val="{41294C6B-05C9-4BC0-90D0-9CA6F21D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BE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Amengual Gual</dc:creator>
  <cp:keywords/>
  <dc:description/>
  <cp:lastModifiedBy>Marta Amengual Gual</cp:lastModifiedBy>
  <cp:revision>6</cp:revision>
  <dcterms:created xsi:type="dcterms:W3CDTF">2021-07-06T11:58:00Z</dcterms:created>
  <dcterms:modified xsi:type="dcterms:W3CDTF">2021-07-06T14:16:00Z</dcterms:modified>
</cp:coreProperties>
</file>