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Is the decision to use system thinking to analyze a professional problem a specific tactic, or is it always a part of your process?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are the largest challenges in communicating this analytic approach to others?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When analyzing a system, what are the key pieces you look for? How do you know when you have found them?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Boundaries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How do you think about the problem of defining the boundary for the system you are analyzing?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Is this an iterative process?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Are there other assumptions besides boundaries that are critical to getting a system view of a problem?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Time &amp; Narrative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role does time play in the system analysis that you do?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Do you use storytelling in your system analysis?  Is this for you, or for those you need to communicate with?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kinds of insights do you get from considering sequence and transition?  Do you think about this issue as being more like watching a movie, or a slide show?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How do you tend to express the models you create?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Is there a distinction between the process of system thinking and model building?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are your thoughts about the alignment between the mental model users have of a system and the 'true' system model?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role does language and terminology play in the modeling process?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Inputs/Outputs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Classical system theory is focused on feedback loops.  How do you think about these loops in your process?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Do you find feedback latency to be a critical part of understanding system behavior?  Is faster always better?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Applications/Trends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System thinking was formalized in the 40's and 50's then seemed to fall out of vogue.  How do you explain that?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Likewise, how do you explain the current increase in interest in the topic?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When looking for class material, I found relatively little tactical, empirical, example-based writings, most was theoretical.  Why is this? Does it point to a weakness in the systems approach?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is the difference between systems thinking and systems design?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What are the risks and limitations to system thinking?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How does system thinking align with change management processes?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