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Predicting Habitual Viewing on sweet.tv: a LambdaRank Re-ranker over Habit and Schedule Features</w:t>
      </w:r>
    </w:p>
    <w:p>
      <w:pPr>
        <w:jc w:val="center"/>
      </w:pPr>
      <w:r>
        <w:rPr>
          <w:sz w:val="19"/>
        </w:rPr>
        <w:t>Student: Tansuluu Shermatova | Team: Individual | Email: tnshermatova@edu.hse.ru</w:t>
      </w:r>
    </w:p>
    <w:p>
      <w:pPr>
        <w:jc w:val="center"/>
      </w:pPr>
      <w:r>
        <w:rPr>
          <w:sz w:val="19"/>
        </w:rPr>
        <w:t>Date: 2026-10-24 | Final Exam Quiz (GSB): TV Program Recommendation on sweet.tv</w:t>
      </w:r>
    </w:p>
    <w:p>
      <w:pPr>
        <w:jc w:val="center"/>
      </w:pPr>
      <w:r>
        <w:rPr>
          <w:sz w:val="19"/>
        </w:rPr>
        <w:t>Repository: https://github.com/tshermatova/sweettv-tv-program-recommender</w:t>
      </w:r>
    </w:p>
    <w:p>
      <w:r>
        <w:rPr>
          <w:b/>
        </w:rPr>
        <w:t xml:space="preserve">Abstract — </w:t>
      </w:r>
      <w:r>
        <w:rPr>
          <w:i w:val="0"/>
        </w:rPr>
        <w:t>I predict, for each of 1 260 users, the five TV programmes they will watch most often at screen time ≥ 0.8 during weeks 31–42 of 2020. Five methods are implemented over a shared candidate pool — popularity, association rules, personalised PageRank, content-based filtering and implicit matrix factorisation — and a LightGBM LambdaRank model re-ranks their signals. On a hold-out that splits history at 2020-05-18 and is scored against the organisers' own target rule, the re-ranker reaches MAP@5 = 0.43949 against 0.27387 for the popularity baseline. The submitted file returns Kaggle public 0.45440 / private 0.44205, above the frozen leaderboard's first place (0.44297 / 0.42912). The decisive change was not a model or a feature but the training label: copying the organisers' definition of a correct answer was worth +0.00706 on the private score, while eleven subsequent feature and capacity changes were neutral or worse.</w:t>
      </w:r>
    </w:p>
    <w:p>
      <w:r>
        <w:rPr>
          <w:b/>
        </w:rPr>
        <w:t xml:space="preserve">Index Terms — </w:t>
      </w:r>
      <w:r>
        <w:rPr>
          <w:i w:val="0"/>
        </w:rPr>
        <w:t>TV recommendation, MAP@5, learning to rank, LambdaRank, implicit feedback, personalised PageRank, association rules, candidate generation, target leakage.</w:t>
      </w:r>
    </w:p>
    <w:p>
      <w:pPr>
        <w:pStyle w:val="Heading1"/>
      </w:pPr>
      <w:r>
        <w:rPr>
          <w:color w:val="000000"/>
        </w:rPr>
        <w:t>1. Introduction</w:t>
      </w:r>
    </w:p>
    <w:p>
      <w:r>
        <w:rPr>
          <w:b/>
        </w:rPr>
        <w:t xml:space="preserve">Problem statement. </w:t>
      </w:r>
      <w:r>
        <w:rPr>
          <w:i w:val="0"/>
        </w:rPr>
        <w:t>Given a view log of 5 821 987 rows covering weeks 11–30 and the broadcast schedule for weeks 11–42, predict five programme ids per user for weeks 31–42. The answer file is built by the organisers as follows: discard schedule rows with tv_show_id = 0; for each user and programme compute screen time (watched duration / programme duration) and keep airings with screen time ≥ 0.8; count how often each programme recurs at that level; take strictly the five most frequent, in descending order. The metric is MAP@5 with denominator min(5, |relevant|).</w:t>
      </w:r>
    </w:p>
    <w:p>
      <w:r>
        <w:rPr>
          <w:b/>
        </w:rPr>
        <w:t xml:space="preserve">Motivation. </w:t>
      </w:r>
      <w:r>
        <w:rPr>
          <w:i w:val="0"/>
        </w:rPr>
        <w:t>The target is a frequency, not an affinity. A programme watched constantly but never finished is not relevant, and a film watched once and loved is not relevant either. That single property explains most of what follows, including why four of the five required methods land within 0.04 of a popularity baseline.</w:t>
      </w:r>
    </w:p>
    <w:p>
      <w:r>
        <w:rPr>
          <w:b/>
        </w:rPr>
        <w:t xml:space="preserve">Concrete example. </w:t>
      </w:r>
      <w:r>
        <w:rPr>
          <w:i w:val="0"/>
        </w:rPr>
        <w:t>The user with one recorded view in the whole log is predicted three times better (3/5 hits) than a user with 3 733 views (1/5). For a sparse viewer the five most frequent programmes simply are the mass-audience news bulletins; for a viewer with 445 programmes in their repertoire, naming which five top the frequency list is a much harder ordering problem.</w:t>
      </w:r>
    </w:p>
    <w:p>
      <w:pPr>
        <w:pStyle w:val="Heading1"/>
      </w:pPr>
      <w:r>
        <w:rPr>
          <w:color w:val="000000"/>
        </w:rPr>
        <w:t>2. Related Work</w:t>
      </w:r>
    </w:p>
    <w:p>
      <w:r>
        <w:rPr>
          <w:i w:val="0"/>
        </w:rPr>
        <w:t>Two published competition solutions informed the architecture. The winner of H&amp;M Personalized Fashion Recommendations used 100 candidates per user, six training weeks and an ensemble of LightGBM and CatBoost re-rankers, and reported that user–item interaction features mattered most while image and text features did not. Solutions to the OTTO competition built 100–172 candidates from co-visitation matrices and Word2Vec and re-ranked them with gradient-boosted trees, tuning candidate sources against measured recall.</w:t>
      </w:r>
    </w:p>
    <w:p>
      <w:r>
        <w:rPr>
          <w:b/>
        </w:rPr>
        <w:t xml:space="preserve">Alternatives considered. </w:t>
      </w:r>
      <w:r>
        <w:rPr>
          <w:i w:val="0"/>
        </w:rPr>
        <w:t>Three of their recipes were tested here and none transferred, for reasons specific to this data: negative downsampling (they have 40M rows and must; we have 1.4M and need not), a binary classifier instead of a ranker, and co-visitation as a candidate source. On this catalogue the top-20 of association rules adds zero new candidates to the pool and personalised PageRank adds zero, because both are dominated by the same popular news bulletins the popularity source already supplies.</w:t>
      </w:r>
    </w:p>
    <w:p>
      <w:pPr>
        <w:pStyle w:val="Heading1"/>
      </w:pPr>
      <w:r>
        <w:rPr>
          <w:color w:val="000000"/>
        </w:rPr>
        <w:t>3. Method</w:t>
      </w:r>
    </w:p>
    <w:p>
      <w:r>
        <w:rPr>
          <w:b/>
        </w:rPr>
        <w:t xml:space="preserve">Join rule and watched threshold. </w:t>
      </w:r>
      <w:r>
        <w:rPr>
          <w:i w:val="0"/>
        </w:rPr>
        <w:t>A view is matched to a programme when both share a channel and their intervals overlap. frac = overlap / programme duration, which cannot exceed 1.0 because the overlap is capped by the programme itself. An event enters a user's history when frac ≥ 0.20. That threshold was swept and is optimal: 0.10 and 0.35 are both worse on both hold-outs, and an absolute-seconds rule (≥ 300 s, ≥ 600 s) loses by 0.009 and 0.015 — five minutes of a fifteen-minute bulletin is a third of it, five minutes of a two-hour film is the titles. src/01_join.py, src/lib.py.</w:t>
      </w:r>
    </w:p>
    <w:p>
      <w:r>
        <w:rPr>
          <w:b/>
        </w:rPr>
        <w:t xml:space="preserve">Unlabelled airtime. </w:t>
      </w:r>
      <w:r>
        <w:rPr>
          <w:i w:val="0"/>
        </w:rPr>
        <w:t>89.2% of schedule rows carry tv_show_id = 0. They never become items and never appear in any candidate list. They are not discarded entirely: the seconds spent on them still count towards a user's channel affinity, which is computed from the raw log rather than from matched events.</w:t>
      </w:r>
    </w:p>
    <w:p>
      <w:r>
        <w:rPr>
          <w:b/>
        </w:rPr>
        <w:t xml:space="preserve">Validation split. </w:t>
      </w:r>
      <w:r>
        <w:rPr>
          <w:i w:val="0"/>
        </w:rPr>
        <w:t>History is cut at 2020-05-18, the week 20/21 boundary; the target is the ten weeks after it, scored by the organisers' rule. Temporal order is preserved and no model sees any event at or after its own cut. A second hold-out (target 04-13 to 05-18) was built as a cross-check. Models are fitted on weeks 11–30 only; weeks 31–42 contribute the broadcast grid — which programme airs on which channel at which time — and nothing else. No viewing behaviour from the test window exists in the supplied data, so there is nothing there to leak.</w:t>
      </w:r>
    </w:p>
    <w:p>
      <w:r>
        <w:rPr>
          <w:b/>
        </w:rPr>
        <w:t xml:space="preserve">Candidate pool and repeats. </w:t>
      </w:r>
      <w:r>
        <w:rPr>
          <w:i w:val="0"/>
        </w:rPr>
        <w:t>Each user's own watched programmes plus the 80 globally most popular, about 139 candidates per user, 174 092 rows for the 1 260 test users. The pool is identical for every method compared in this report. Recommending an already-watched programme is allowed and is in fact the strongest single signal: repeats alone, weighted by how often the programme airs in the target window, score 0.37471 of the final 0.43949.</w:t>
      </w:r>
    </w:p>
    <w:p>
      <w:r>
        <w:rPr>
          <w:b/>
        </w:rPr>
        <w:t xml:space="preserve">Cold start. </w:t>
      </w:r>
      <w:r>
        <w:rPr>
          <w:i w:val="0"/>
        </w:rPr>
        <w:t>There is none. All 1 260 test users appear in the view log; only two have zero matched events, eight have fewer than ten and the median is 330. For those two the model falls back to the five most popular programmes, which is also the fallback used to pad any list shorter than five — in practice padding never fires, because the popularity source guarantees at least 80 candidates per user.</w:t>
      </w:r>
    </w:p>
    <w:p>
      <w:r>
        <w:rPr>
          <w:b/>
        </w:rPr>
        <w:t xml:space="preserve">How each method produces exactly five ids. </w:t>
      </w:r>
      <w:r>
        <w:rPr>
          <w:i w:val="0"/>
        </w:rPr>
        <w:t>Each method produces a score per (user, candidate) pair; the five highest-scoring candidates for that user, in descending score, are its answer. Scores are not comparable between methods and are never mixed: the four collaborative methods enter the final model as four feature columns, not as a blended score. Ties break by candidate order, which is deterministic.</w:t>
      </w:r>
    </w:p>
    <w:p>
      <w:r>
        <w:rPr>
          <w:b/>
        </w:rPr>
        <w:t xml:space="preserve">Model and hyperparameters. </w:t>
      </w:r>
      <w:r>
        <w:rPr>
          <w:i w:val="0"/>
        </w:rPr>
        <w:t>LGBMRanker, objective lambdarank, metric MAP@5, 1600 trees, learning rate 0.015, 31 leaves, min_child_samples 50, subsample 0.8 with frequency 1, colsample_bytree 0.8, seeds 20261021 + 1000i for i = 0..4, rank-averaged. Three training windows with history cut at 06-08, 06-22 and 07-06 — the hold-out's winning geometry shifted forward by 70 days so the shipped model sees the same window shapes, only later. The training label is the organisers' rule applied to each window: that user's five most frequent airings at screen time ≥ 0.8.</w:t>
      </w:r>
    </w:p>
    <w:p>
      <w:r>
        <w:rPr>
          <w:b/>
        </w:rPr>
        <w:t xml:space="preserve">Environment and runtime. </w:t>
      </w:r>
      <w:r>
        <w:rPr>
          <w:i w:val="0"/>
        </w:rPr>
        <w:t>anaconda Python 3.11.4, numpy 1.24.3, lightgbm 4.7.0, catboost 1.2.10, gensim 4.3.0, on a MacBook Air M1 with 8 GB and no GPU. One fit takes about six minutes; the five-seed shipped model takes forty. All runs use OMP_NUM_THREADS=2 and VECLIB_MAXIMUM_THREADS=2; without them BLAS oversubscribes on the small ALS solves and the machine slows by about a factor of ten. Builder: src/36_final_feats3.py --big --seeds 5 --top5.</w:t>
      </w:r>
    </w:p>
    <w:p>
      <w:pPr>
        <w:pStyle w:val="Heading1"/>
      </w:pPr>
      <w:r>
        <w:rPr>
          <w:color w:val="000000"/>
        </w:rPr>
        <w:t>4. Experiments</w:t>
      </w:r>
    </w:p>
    <w:p>
      <w:r>
        <w:rPr>
          <w:b/>
          <w:sz w:val="19"/>
        </w:rPr>
        <w:t>Table 1. Data, join, target and candidate pool.</w:t>
      </w:r>
    </w:p>
    <w:tbl>
      <w:tblPr>
        <w:tblStyle w:val="LightGrid-Accent1"/>
        <w:tblW w:type="auto" w:w="0"/>
        <w:jc w:val="center"/>
        <w:tblLook w:firstColumn="1" w:firstRow="1" w:lastColumn="0" w:lastRow="0" w:noHBand="0" w:noVBand="1" w:val="04A0"/>
      </w:tblPr>
      <w:tblGrid>
        <w:gridCol w:w="4824"/>
        <w:gridCol w:w="4824"/>
      </w:tblGrid>
      <w:tr>
        <w:tc>
          <w:tcPr>
            <w:tcW w:type="dxa" w:w="6048"/>
          </w:tcPr>
          <w:p>
            <w:pPr>
              <w:spacing w:after="40"/>
            </w:pPr>
            <w:r/>
            <w:r>
              <w:rPr>
                <w:b/>
                <w:sz w:val="18"/>
              </w:rPr>
              <w:t>Quantity</w:t>
            </w:r>
          </w:p>
        </w:tc>
        <w:tc>
          <w:tcPr>
            <w:tcW w:type="dxa" w:w="3744"/>
          </w:tcPr>
          <w:p>
            <w:pPr>
              <w:spacing w:after="40"/>
            </w:pPr>
            <w:r/>
            <w:r>
              <w:rPr>
                <w:b/>
                <w:sz w:val="18"/>
              </w:rPr>
              <w:t>Value</w:t>
            </w:r>
          </w:p>
        </w:tc>
      </w:tr>
      <w:tr>
        <w:tc>
          <w:tcPr>
            <w:tcW w:type="dxa" w:w="6048"/>
          </w:tcPr>
          <w:p>
            <w:pPr>
              <w:spacing w:after="40"/>
            </w:pPr>
            <w:r/>
            <w:r>
              <w:rPr>
                <w:sz w:val="18"/>
              </w:rPr>
              <w:t>View log rows; users; labelled programmes</w:t>
            </w:r>
          </w:p>
        </w:tc>
        <w:tc>
          <w:tcPr>
            <w:tcW w:type="dxa" w:w="3744"/>
          </w:tcPr>
          <w:p>
            <w:pPr>
              <w:spacing w:after="40"/>
            </w:pPr>
            <w:r/>
            <w:r>
              <w:rPr>
                <w:sz w:val="18"/>
              </w:rPr>
              <w:t>5 821 987; 4 914; 4 363</w:t>
            </w:r>
          </w:p>
        </w:tc>
      </w:tr>
      <w:tr>
        <w:tc>
          <w:tcPr>
            <w:tcW w:type="dxa" w:w="6048"/>
          </w:tcPr>
          <w:p>
            <w:pPr>
              <w:spacing w:after="40"/>
            </w:pPr>
            <w:r/>
            <w:r>
              <w:rPr>
                <w:sz w:val="18"/>
              </w:rPr>
              <w:t>Schedule rows with tv_show_id ≠ 0 (weeks 11–20)</w:t>
            </w:r>
          </w:p>
        </w:tc>
        <w:tc>
          <w:tcPr>
            <w:tcW w:type="dxa" w:w="3744"/>
          </w:tcPr>
          <w:p>
            <w:pPr>
              <w:spacing w:after="40"/>
            </w:pPr>
            <w:r/>
            <w:r>
              <w:rPr>
                <w:sz w:val="18"/>
              </w:rPr>
              <w:t>115 613 of 1 074 235 (10.8%)</w:t>
            </w:r>
          </w:p>
        </w:tc>
      </w:tr>
      <w:tr>
        <w:tc>
          <w:tcPr>
            <w:tcW w:type="dxa" w:w="6048"/>
          </w:tcPr>
          <w:p>
            <w:pPr>
              <w:spacing w:after="40"/>
            </w:pPr>
            <w:r/>
            <w:r>
              <w:rPr>
                <w:sz w:val="18"/>
              </w:rPr>
              <w:t>Join events at frac ≥ 0.20; at frac ≥ 0.80</w:t>
            </w:r>
          </w:p>
        </w:tc>
        <w:tc>
          <w:tcPr>
            <w:tcW w:type="dxa" w:w="3744"/>
          </w:tcPr>
          <w:p>
            <w:pPr>
              <w:spacing w:after="40"/>
            </w:pPr>
            <w:r/>
            <w:r>
              <w:rPr>
                <w:sz w:val="18"/>
              </w:rPr>
              <w:t>3 847 696; 570 588</w:t>
            </w:r>
          </w:p>
        </w:tc>
      </w:tr>
      <w:tr>
        <w:tc>
          <w:tcPr>
            <w:tcW w:type="dxa" w:w="6048"/>
          </w:tcPr>
          <w:p>
            <w:pPr>
              <w:spacing w:after="40"/>
            </w:pPr>
            <w:r/>
            <w:r>
              <w:rPr>
                <w:sz w:val="18"/>
              </w:rPr>
              <w:t>Test users; with a target in the hold-out window</w:t>
            </w:r>
          </w:p>
        </w:tc>
        <w:tc>
          <w:tcPr>
            <w:tcW w:type="dxa" w:w="3744"/>
          </w:tcPr>
          <w:p>
            <w:pPr>
              <w:spacing w:after="40"/>
            </w:pPr>
            <w:r/>
            <w:r>
              <w:rPr>
                <w:sz w:val="18"/>
              </w:rPr>
              <w:t>1 260; 1 236 (median |R| = 5)</w:t>
            </w:r>
          </w:p>
        </w:tc>
      </w:tr>
      <w:tr>
        <w:tc>
          <w:tcPr>
            <w:tcW w:type="dxa" w:w="6048"/>
          </w:tcPr>
          <w:p>
            <w:pPr>
              <w:spacing w:after="40"/>
            </w:pPr>
            <w:r/>
            <w:r>
              <w:rPr>
                <w:sz w:val="18"/>
              </w:rPr>
              <w:t>Candidates per user; rows scored</w:t>
            </w:r>
          </w:p>
        </w:tc>
        <w:tc>
          <w:tcPr>
            <w:tcW w:type="dxa" w:w="3744"/>
          </w:tcPr>
          <w:p>
            <w:pPr>
              <w:spacing w:after="40"/>
            </w:pPr>
            <w:r/>
            <w:r>
              <w:rPr>
                <w:sz w:val="18"/>
              </w:rPr>
              <w:t>139; 174 092</w:t>
            </w:r>
          </w:p>
        </w:tc>
      </w:tr>
      <w:tr>
        <w:tc>
          <w:tcPr>
            <w:tcW w:type="dxa" w:w="6048"/>
          </w:tcPr>
          <w:p>
            <w:pPr>
              <w:spacing w:after="40"/>
            </w:pPr>
            <w:r/>
            <w:r>
              <w:rPr>
                <w:sz w:val="18"/>
              </w:rPr>
              <w:t>Candidate recall of true answers; MAP@5 ceiling</w:t>
            </w:r>
          </w:p>
        </w:tc>
        <w:tc>
          <w:tcPr>
            <w:tcW w:type="dxa" w:w="3744"/>
          </w:tcPr>
          <w:p>
            <w:pPr>
              <w:spacing w:after="40"/>
            </w:pPr>
            <w:r/>
            <w:r>
              <w:rPr>
                <w:sz w:val="18"/>
              </w:rPr>
              <w:t>0.8181; 0.8181</w:t>
            </w:r>
          </w:p>
        </w:tc>
      </w:tr>
      <w:tr>
        <w:tc>
          <w:tcPr>
            <w:tcW w:type="dxa" w:w="6048"/>
          </w:tcPr>
          <w:p>
            <w:pPr>
              <w:spacing w:after="40"/>
            </w:pPr>
            <w:r/>
            <w:r>
              <w:rPr>
                <w:sz w:val="18"/>
              </w:rPr>
              <w:t>Correct answers not in the pool; of those, premieres</w:t>
            </w:r>
          </w:p>
        </w:tc>
        <w:tc>
          <w:tcPr>
            <w:tcW w:type="dxa" w:w="3744"/>
          </w:tcPr>
          <w:p>
            <w:pPr>
              <w:spacing w:after="40"/>
            </w:pPr>
            <w:r/>
            <w:r>
              <w:rPr>
                <w:sz w:val="18"/>
              </w:rPr>
              <w:t>17.1%; 175</w:t>
            </w:r>
          </w:p>
        </w:tc>
      </w:tr>
      <w:tr>
        <w:tc>
          <w:tcPr>
            <w:tcW w:type="dxa" w:w="6048"/>
          </w:tcPr>
          <w:p>
            <w:pPr>
              <w:spacing w:after="40"/>
            </w:pPr>
            <w:r/>
            <w:r>
              <w:rPr>
                <w:sz w:val="18"/>
              </w:rPr>
              <w:t>Seed-to-seed sd of an identical configuration</w:t>
            </w:r>
          </w:p>
        </w:tc>
        <w:tc>
          <w:tcPr>
            <w:tcW w:type="dxa" w:w="3744"/>
          </w:tcPr>
          <w:p>
            <w:pPr>
              <w:spacing w:after="40"/>
            </w:pPr>
            <w:r/>
            <w:r>
              <w:rPr>
                <w:sz w:val="18"/>
              </w:rPr>
              <w:t>0.00178</w:t>
            </w:r>
          </w:p>
        </w:tc>
      </w:tr>
    </w:tbl>
    <w:p/>
    <w:p>
      <w:r>
        <w:rPr>
          <w:b/>
          <w:sz w:val="19"/>
        </w:rPr>
        <w:t>Table 2. Methods on the hold-out, scored against the organisers' target. Each method ranks the same 139 candidates per user.</w:t>
      </w:r>
    </w:p>
    <w:tbl>
      <w:tblPr>
        <w:tblStyle w:val="LightGrid-Accent1"/>
        <w:tblW w:type="auto" w:w="0"/>
        <w:jc w:val="center"/>
        <w:tblLook w:firstColumn="1" w:firstRow="1" w:lastColumn="0" w:lastRow="0" w:noHBand="0" w:noVBand="1" w:val="04A0"/>
      </w:tblPr>
      <w:tblGrid>
        <w:gridCol w:w="4824"/>
        <w:gridCol w:w="4824"/>
      </w:tblGrid>
      <w:tr>
        <w:tc>
          <w:tcPr>
            <w:tcW w:type="dxa" w:w="6048"/>
          </w:tcPr>
          <w:p>
            <w:pPr>
              <w:spacing w:after="40"/>
            </w:pPr>
            <w:r/>
            <w:r>
              <w:rPr>
                <w:b/>
                <w:sz w:val="18"/>
              </w:rPr>
              <w:t>Method</w:t>
            </w:r>
          </w:p>
        </w:tc>
        <w:tc>
          <w:tcPr>
            <w:tcW w:type="dxa" w:w="3744"/>
          </w:tcPr>
          <w:p>
            <w:pPr>
              <w:spacing w:after="40"/>
            </w:pPr>
            <w:r/>
            <w:r>
              <w:rPr>
                <w:b/>
                <w:sz w:val="18"/>
              </w:rPr>
              <w:t>MAP@5</w:t>
            </w:r>
          </w:p>
        </w:tc>
      </w:tr>
      <w:tr>
        <w:tc>
          <w:tcPr>
            <w:tcW w:type="dxa" w:w="6048"/>
          </w:tcPr>
          <w:p>
            <w:pPr>
              <w:spacing w:after="40"/>
            </w:pPr>
            <w:r/>
            <w:r>
              <w:rPr>
                <w:sz w:val="18"/>
              </w:rPr>
              <w:t>Content-based filtering</w:t>
            </w:r>
          </w:p>
        </w:tc>
        <w:tc>
          <w:tcPr>
            <w:tcW w:type="dxa" w:w="3744"/>
          </w:tcPr>
          <w:p>
            <w:pPr>
              <w:spacing w:after="40"/>
            </w:pPr>
            <w:r/>
            <w:r>
              <w:rPr>
                <w:sz w:val="18"/>
              </w:rPr>
              <w:t>0.24107</w:t>
            </w:r>
          </w:p>
        </w:tc>
      </w:tr>
      <w:tr>
        <w:tc>
          <w:tcPr>
            <w:tcW w:type="dxa" w:w="6048"/>
          </w:tcPr>
          <w:p>
            <w:pPr>
              <w:spacing w:after="40"/>
            </w:pPr>
            <w:r/>
            <w:r>
              <w:rPr>
                <w:sz w:val="18"/>
              </w:rPr>
              <w:t>Popularity (required baseline)</w:t>
            </w:r>
          </w:p>
        </w:tc>
        <w:tc>
          <w:tcPr>
            <w:tcW w:type="dxa" w:w="3744"/>
          </w:tcPr>
          <w:p>
            <w:pPr>
              <w:spacing w:after="40"/>
            </w:pPr>
            <w:r/>
            <w:r>
              <w:rPr>
                <w:sz w:val="18"/>
              </w:rPr>
              <w:t>0.27387</w:t>
            </w:r>
          </w:p>
        </w:tc>
      </w:tr>
      <w:tr>
        <w:tc>
          <w:tcPr>
            <w:tcW w:type="dxa" w:w="6048"/>
          </w:tcPr>
          <w:p>
            <w:pPr>
              <w:spacing w:after="40"/>
            </w:pPr>
            <w:r/>
            <w:r>
              <w:rPr>
                <w:sz w:val="18"/>
              </w:rPr>
              <w:t>Association rules</w:t>
            </w:r>
          </w:p>
        </w:tc>
        <w:tc>
          <w:tcPr>
            <w:tcW w:type="dxa" w:w="3744"/>
          </w:tcPr>
          <w:p>
            <w:pPr>
              <w:spacing w:after="40"/>
            </w:pPr>
            <w:r/>
            <w:r>
              <w:rPr>
                <w:sz w:val="18"/>
              </w:rPr>
              <w:t>0.27538</w:t>
            </w:r>
          </w:p>
        </w:tc>
      </w:tr>
      <w:tr>
        <w:tc>
          <w:tcPr>
            <w:tcW w:type="dxa" w:w="6048"/>
          </w:tcPr>
          <w:p>
            <w:pPr>
              <w:spacing w:after="40"/>
            </w:pPr>
            <w:r/>
            <w:r>
              <w:rPr>
                <w:sz w:val="18"/>
              </w:rPr>
              <w:t>Matrix factorisation (iALS, 64 factors)</w:t>
            </w:r>
          </w:p>
        </w:tc>
        <w:tc>
          <w:tcPr>
            <w:tcW w:type="dxa" w:w="3744"/>
          </w:tcPr>
          <w:p>
            <w:pPr>
              <w:spacing w:after="40"/>
            </w:pPr>
            <w:r/>
            <w:r>
              <w:rPr>
                <w:sz w:val="18"/>
              </w:rPr>
              <w:t>0.27931</w:t>
            </w:r>
          </w:p>
        </w:tc>
      </w:tr>
      <w:tr>
        <w:tc>
          <w:tcPr>
            <w:tcW w:type="dxa" w:w="6048"/>
          </w:tcPr>
          <w:p>
            <w:pPr>
              <w:spacing w:after="40"/>
            </w:pPr>
            <w:r/>
            <w:r>
              <w:rPr>
                <w:sz w:val="18"/>
              </w:rPr>
              <w:t>Personalised PageRank (α = 0.85)</w:t>
            </w:r>
          </w:p>
        </w:tc>
        <w:tc>
          <w:tcPr>
            <w:tcW w:type="dxa" w:w="3744"/>
          </w:tcPr>
          <w:p>
            <w:pPr>
              <w:spacing w:after="40"/>
            </w:pPr>
            <w:r/>
            <w:r>
              <w:rPr>
                <w:sz w:val="18"/>
              </w:rPr>
              <w:t>0.27982</w:t>
            </w:r>
          </w:p>
        </w:tc>
      </w:tr>
      <w:tr>
        <w:tc>
          <w:tcPr>
            <w:tcW w:type="dxa" w:w="6048"/>
          </w:tcPr>
          <w:p>
            <w:pPr>
              <w:spacing w:after="40"/>
            </w:pPr>
            <w:r/>
            <w:r>
              <w:rPr>
                <w:sz w:val="18"/>
              </w:rPr>
              <w:t>Own repeats weighted by airings</w:t>
            </w:r>
          </w:p>
        </w:tc>
        <w:tc>
          <w:tcPr>
            <w:tcW w:type="dxa" w:w="3744"/>
          </w:tcPr>
          <w:p>
            <w:pPr>
              <w:spacing w:after="40"/>
            </w:pPr>
            <w:r/>
            <w:r>
              <w:rPr>
                <w:sz w:val="18"/>
              </w:rPr>
              <w:t>0.37471</w:t>
            </w:r>
          </w:p>
        </w:tc>
      </w:tr>
      <w:tr>
        <w:tc>
          <w:tcPr>
            <w:tcW w:type="dxa" w:w="6048"/>
          </w:tcPr>
          <w:p>
            <w:pPr>
              <w:spacing w:after="40"/>
            </w:pPr>
            <w:r/>
            <w:r>
              <w:rPr>
                <w:sz w:val="18"/>
              </w:rPr>
              <w:t>Final: LambdaRank over 41 features</w:t>
            </w:r>
          </w:p>
        </w:tc>
        <w:tc>
          <w:tcPr>
            <w:tcW w:type="dxa" w:w="3744"/>
          </w:tcPr>
          <w:p>
            <w:pPr>
              <w:spacing w:after="40"/>
            </w:pPr>
            <w:r/>
            <w:r>
              <w:rPr>
                <w:sz w:val="18"/>
              </w:rPr>
              <w:t>0.43949 ± 0.00095</w:t>
            </w:r>
          </w:p>
        </w:tc>
      </w:tr>
    </w:tbl>
    <w:p/>
    <w:p>
      <w:r>
        <w:rPr>
          <w:b/>
          <w:sz w:val="19"/>
        </w:rPr>
        <w:t>Table 3. Kaggle submissions. The designated file is sub25_top5_s0.</w:t>
      </w:r>
    </w:p>
    <w:tbl>
      <w:tblPr>
        <w:tblStyle w:val="LightGrid-Accent1"/>
        <w:tblW w:type="auto" w:w="0"/>
        <w:jc w:val="center"/>
        <w:tblLook w:firstColumn="1" w:firstRow="1" w:lastColumn="0" w:lastRow="0" w:noHBand="0" w:noVBand="1" w:val="04A0"/>
      </w:tblPr>
      <w:tblGrid>
        <w:gridCol w:w="3216"/>
        <w:gridCol w:w="3216"/>
        <w:gridCol w:w="3216"/>
      </w:tblGrid>
      <w:tr>
        <w:tc>
          <w:tcPr>
            <w:tcW w:type="dxa" w:w="5184"/>
          </w:tcPr>
          <w:p>
            <w:pPr>
              <w:spacing w:after="40"/>
            </w:pPr>
            <w:r/>
            <w:r>
              <w:rPr>
                <w:b/>
                <w:sz w:val="18"/>
              </w:rPr>
              <w:t>Submission</w:t>
            </w:r>
          </w:p>
        </w:tc>
        <w:tc>
          <w:tcPr>
            <w:tcW w:type="dxa" w:w="2304"/>
          </w:tcPr>
          <w:p>
            <w:pPr>
              <w:spacing w:after="40"/>
            </w:pPr>
            <w:r/>
            <w:r>
              <w:rPr>
                <w:b/>
                <w:sz w:val="18"/>
              </w:rPr>
              <w:t>Public</w:t>
            </w:r>
          </w:p>
        </w:tc>
        <w:tc>
          <w:tcPr>
            <w:tcW w:type="dxa" w:w="2304"/>
          </w:tcPr>
          <w:p>
            <w:pPr>
              <w:spacing w:after="40"/>
            </w:pPr>
            <w:r/>
            <w:r>
              <w:rPr>
                <w:b/>
                <w:sz w:val="18"/>
              </w:rPr>
              <w:t>Private</w:t>
            </w:r>
          </w:p>
        </w:tc>
      </w:tr>
      <w:tr>
        <w:tc>
          <w:tcPr>
            <w:tcW w:type="dxa" w:w="5184"/>
          </w:tcPr>
          <w:p>
            <w:pPr>
              <w:spacing w:after="40"/>
            </w:pPr>
            <w:r/>
            <w:r>
              <w:rPr>
                <w:sz w:val="18"/>
              </w:rPr>
              <w:t>Popularity baseline</w:t>
            </w:r>
          </w:p>
        </w:tc>
        <w:tc>
          <w:tcPr>
            <w:tcW w:type="dxa" w:w="2304"/>
          </w:tcPr>
          <w:p>
            <w:pPr>
              <w:spacing w:after="40"/>
            </w:pPr>
            <w:r/>
            <w:r>
              <w:rPr>
                <w:sz w:val="18"/>
              </w:rPr>
              <w:t>0.29788</w:t>
            </w:r>
          </w:p>
        </w:tc>
        <w:tc>
          <w:tcPr>
            <w:tcW w:type="dxa" w:w="2304"/>
          </w:tcPr>
          <w:p>
            <w:pPr>
              <w:spacing w:after="40"/>
            </w:pPr>
            <w:r/>
            <w:r>
              <w:rPr>
                <w:sz w:val="18"/>
              </w:rPr>
              <w:t>0.29442</w:t>
            </w:r>
          </w:p>
        </w:tc>
      </w:tr>
      <w:tr>
        <w:tc>
          <w:tcPr>
            <w:tcW w:type="dxa" w:w="5184"/>
          </w:tcPr>
          <w:p>
            <w:pPr>
              <w:spacing w:after="40"/>
            </w:pPr>
            <w:r/>
            <w:r>
              <w:rPr>
                <w:sz w:val="18"/>
              </w:rPr>
              <w:t>Own repeats</w:t>
            </w:r>
          </w:p>
        </w:tc>
        <w:tc>
          <w:tcPr>
            <w:tcW w:type="dxa" w:w="2304"/>
          </w:tcPr>
          <w:p>
            <w:pPr>
              <w:spacing w:after="40"/>
            </w:pPr>
            <w:r/>
            <w:r>
              <w:rPr>
                <w:sz w:val="18"/>
              </w:rPr>
              <w:t>0.41510</w:t>
            </w:r>
          </w:p>
        </w:tc>
        <w:tc>
          <w:tcPr>
            <w:tcW w:type="dxa" w:w="2304"/>
          </w:tcPr>
          <w:p>
            <w:pPr>
              <w:spacing w:after="40"/>
            </w:pPr>
            <w:r/>
            <w:r>
              <w:rPr>
                <w:sz w:val="18"/>
              </w:rPr>
              <w:t>0.40302</w:t>
            </w:r>
          </w:p>
        </w:tc>
      </w:tr>
      <w:tr>
        <w:tc>
          <w:tcPr>
            <w:tcW w:type="dxa" w:w="5184"/>
          </w:tcPr>
          <w:p>
            <w:pPr>
              <w:spacing w:after="40"/>
            </w:pPr>
            <w:r/>
            <w:r>
              <w:rPr>
                <w:sz w:val="18"/>
              </w:rPr>
              <w:t>LambdaRank, 30 features</w:t>
            </w:r>
          </w:p>
        </w:tc>
        <w:tc>
          <w:tcPr>
            <w:tcW w:type="dxa" w:w="2304"/>
          </w:tcPr>
          <w:p>
            <w:pPr>
              <w:spacing w:after="40"/>
            </w:pPr>
            <w:r/>
            <w:r>
              <w:rPr>
                <w:sz w:val="18"/>
              </w:rPr>
              <w:t>0.43135</w:t>
            </w:r>
          </w:p>
        </w:tc>
        <w:tc>
          <w:tcPr>
            <w:tcW w:type="dxa" w:w="2304"/>
          </w:tcPr>
          <w:p>
            <w:pPr>
              <w:spacing w:after="40"/>
            </w:pPr>
            <w:r/>
            <w:r>
              <w:rPr>
                <w:sz w:val="18"/>
              </w:rPr>
              <w:t>0.41924</w:t>
            </w:r>
          </w:p>
        </w:tc>
      </w:tr>
      <w:tr>
        <w:tc>
          <w:tcPr>
            <w:tcW w:type="dxa" w:w="5184"/>
          </w:tcPr>
          <w:p>
            <w:pPr>
              <w:spacing w:after="40"/>
            </w:pPr>
            <w:r/>
            <w:r>
              <w:rPr>
                <w:sz w:val="18"/>
              </w:rPr>
              <w:t>LambdaRank, 41 features, 3 windows</w:t>
            </w:r>
          </w:p>
        </w:tc>
        <w:tc>
          <w:tcPr>
            <w:tcW w:type="dxa" w:w="2304"/>
          </w:tcPr>
          <w:p>
            <w:pPr>
              <w:spacing w:after="40"/>
            </w:pPr>
            <w:r/>
            <w:r>
              <w:rPr>
                <w:sz w:val="18"/>
              </w:rPr>
              <w:t>0.44008</w:t>
            </w:r>
          </w:p>
        </w:tc>
        <w:tc>
          <w:tcPr>
            <w:tcW w:type="dxa" w:w="2304"/>
          </w:tcPr>
          <w:p>
            <w:pPr>
              <w:spacing w:after="40"/>
            </w:pPr>
            <w:r/>
            <w:r>
              <w:rPr>
                <w:sz w:val="18"/>
              </w:rPr>
              <w:t>0.42787</w:t>
            </w:r>
          </w:p>
        </w:tc>
      </w:tr>
      <w:tr>
        <w:tc>
          <w:tcPr>
            <w:tcW w:type="dxa" w:w="5184"/>
          </w:tcPr>
          <w:p>
            <w:pPr>
              <w:spacing w:after="40"/>
            </w:pPr>
            <w:r/>
            <w:r>
              <w:rPr>
                <w:sz w:val="18"/>
              </w:rPr>
              <w:t>+ 1600 trees</w:t>
            </w:r>
          </w:p>
        </w:tc>
        <w:tc>
          <w:tcPr>
            <w:tcW w:type="dxa" w:w="2304"/>
          </w:tcPr>
          <w:p>
            <w:pPr>
              <w:spacing w:after="40"/>
            </w:pPr>
            <w:r/>
            <w:r>
              <w:rPr>
                <w:sz w:val="18"/>
              </w:rPr>
              <w:t>0.45080</w:t>
            </w:r>
          </w:p>
        </w:tc>
        <w:tc>
          <w:tcPr>
            <w:tcW w:type="dxa" w:w="2304"/>
          </w:tcPr>
          <w:p>
            <w:pPr>
              <w:spacing w:after="40"/>
            </w:pPr>
            <w:r/>
            <w:r>
              <w:rPr>
                <w:sz w:val="18"/>
              </w:rPr>
              <w:t>0.43499</w:t>
            </w:r>
          </w:p>
        </w:tc>
      </w:tr>
      <w:tr>
        <w:tc>
          <w:tcPr>
            <w:tcW w:type="dxa" w:w="5184"/>
          </w:tcPr>
          <w:p>
            <w:pPr>
              <w:spacing w:after="40"/>
            </w:pPr>
            <w:r/>
            <w:r>
              <w:rPr>
                <w:sz w:val="18"/>
              </w:rPr>
              <w:t>+ organisers' label (designated)</w:t>
            </w:r>
          </w:p>
        </w:tc>
        <w:tc>
          <w:tcPr>
            <w:tcW w:type="dxa" w:w="2304"/>
          </w:tcPr>
          <w:p>
            <w:pPr>
              <w:spacing w:after="40"/>
            </w:pPr>
            <w:r/>
            <w:r>
              <w:rPr>
                <w:sz w:val="18"/>
              </w:rPr>
              <w:t>0.45440</w:t>
            </w:r>
          </w:p>
        </w:tc>
        <w:tc>
          <w:tcPr>
            <w:tcW w:type="dxa" w:w="2304"/>
          </w:tcPr>
          <w:p>
            <w:pPr>
              <w:spacing w:after="40"/>
            </w:pPr>
            <w:r/>
            <w:r>
              <w:rPr>
                <w:sz w:val="18"/>
              </w:rPr>
              <w:t>0.44205</w:t>
            </w:r>
          </w:p>
        </w:tc>
      </w:tr>
      <w:tr>
        <w:tc>
          <w:tcPr>
            <w:tcW w:type="dxa" w:w="5184"/>
          </w:tcPr>
          <w:p>
            <w:pPr>
              <w:spacing w:after="40"/>
            </w:pPr>
            <w:r/>
            <w:r>
              <w:rPr>
                <w:sz w:val="18"/>
              </w:rPr>
              <w:t>Frozen leaderboard, 1st place (Magic City)</w:t>
            </w:r>
          </w:p>
        </w:tc>
        <w:tc>
          <w:tcPr>
            <w:tcW w:type="dxa" w:w="2304"/>
          </w:tcPr>
          <w:p>
            <w:pPr>
              <w:spacing w:after="40"/>
            </w:pPr>
            <w:r/>
            <w:r>
              <w:rPr>
                <w:sz w:val="18"/>
              </w:rPr>
              <w:t>0.44297</w:t>
            </w:r>
          </w:p>
        </w:tc>
        <w:tc>
          <w:tcPr>
            <w:tcW w:type="dxa" w:w="2304"/>
          </w:tcPr>
          <w:p>
            <w:pPr>
              <w:spacing w:after="40"/>
            </w:pPr>
            <w:r/>
            <w:r>
              <w:rPr>
                <w:sz w:val="18"/>
              </w:rPr>
              <w:t>0.42912</w:t>
            </w:r>
          </w:p>
        </w:tc>
      </w:tr>
    </w:tbl>
    <w:p/>
    <w:p>
      <w:r>
        <w:rPr>
          <w:b/>
          <w:sz w:val="19"/>
        </w:rPr>
        <w:t>Table 4a. Heavy user 13571199046623737884: 3 733 events over 445 programmes, pool of 450, five relevant programmes.</w:t>
      </w:r>
    </w:p>
    <w:tbl>
      <w:tblPr>
        <w:tblStyle w:val="LightGrid-Accent1"/>
        <w:tblW w:type="auto" w:w="0"/>
        <w:jc w:val="center"/>
        <w:tblLook w:firstColumn="1" w:firstRow="1" w:lastColumn="0" w:lastRow="0" w:noHBand="0" w:noVBand="1" w:val="04A0"/>
      </w:tblPr>
      <w:tblGrid>
        <w:gridCol w:w="3216"/>
        <w:gridCol w:w="3216"/>
        <w:gridCol w:w="3216"/>
      </w:tblGrid>
      <w:tr>
        <w:tc>
          <w:tcPr>
            <w:tcW w:type="dxa" w:w="2160"/>
          </w:tcPr>
          <w:p>
            <w:pPr>
              <w:spacing w:after="40"/>
            </w:pPr>
            <w:r/>
            <w:r>
              <w:rPr>
                <w:b/>
                <w:sz w:val="18"/>
              </w:rPr>
              <w:t>Method</w:t>
            </w:r>
          </w:p>
        </w:tc>
        <w:tc>
          <w:tcPr>
            <w:tcW w:type="dxa" w:w="6192"/>
          </w:tcPr>
          <w:p>
            <w:pPr>
              <w:spacing w:after="40"/>
            </w:pPr>
            <w:r/>
            <w:r>
              <w:rPr>
                <w:b/>
                <w:sz w:val="18"/>
              </w:rPr>
              <w:t>Top-5 (id — title [category])</w:t>
            </w:r>
          </w:p>
        </w:tc>
        <w:tc>
          <w:tcPr>
            <w:tcW w:type="dxa" w:w="1008"/>
          </w:tcPr>
          <w:p>
            <w:pPr>
              <w:spacing w:after="40"/>
            </w:pPr>
            <w:r/>
            <w:r>
              <w:rPr>
                <w:b/>
                <w:sz w:val="18"/>
              </w:rPr>
              <w:t>Hits</w:t>
            </w:r>
          </w:p>
        </w:tc>
      </w:tr>
      <w:tr>
        <w:tc>
          <w:tcPr>
            <w:tcW w:type="dxa" w:w="2160"/>
          </w:tcPr>
          <w:p>
            <w:pPr>
              <w:spacing w:after="40"/>
            </w:pPr>
            <w:r/>
            <w:r>
              <w:rPr>
                <w:sz w:val="18"/>
              </w:rPr>
              <w:t>Popularity</w:t>
            </w:r>
          </w:p>
        </w:tc>
        <w:tc>
          <w:tcPr>
            <w:tcW w:type="dxa" w:w="6192"/>
          </w:tcPr>
          <w:p>
            <w:pPr>
              <w:spacing w:after="40"/>
            </w:pPr>
            <w:r/>
            <w:r>
              <w:rPr>
                <w:sz w:val="18"/>
              </w:rPr>
              <w:t>2400480 ТСН. Неделя [Инфо]; 240081 Факты. День [Инфо] ✓; 2400467 Вікна-Новини [Инфо]; 2400508 Сегодня. Итоги [Инфо]; 6500479 Мир наизнанку [Познав.]</w:t>
            </w:r>
          </w:p>
        </w:tc>
        <w:tc>
          <w:tcPr>
            <w:tcW w:type="dxa" w:w="1008"/>
          </w:tcPr>
          <w:p>
            <w:pPr>
              <w:spacing w:after="40"/>
            </w:pPr>
            <w:r/>
            <w:r>
              <w:rPr>
                <w:sz w:val="18"/>
              </w:rPr>
              <w:t>1/5</w:t>
            </w:r>
          </w:p>
        </w:tc>
      </w:tr>
      <w:tr>
        <w:tc>
          <w:tcPr>
            <w:tcW w:type="dxa" w:w="2160"/>
          </w:tcPr>
          <w:p>
            <w:pPr>
              <w:spacing w:after="40"/>
            </w:pPr>
            <w:r/>
            <w:r>
              <w:rPr>
                <w:sz w:val="18"/>
              </w:rPr>
              <w:t>Association rules</w:t>
            </w:r>
          </w:p>
        </w:tc>
        <w:tc>
          <w:tcPr>
            <w:tcW w:type="dxa" w:w="6192"/>
          </w:tcPr>
          <w:p>
            <w:pPr>
              <w:spacing w:after="40"/>
            </w:pPr>
            <w:r/>
            <w:r>
              <w:rPr>
                <w:sz w:val="18"/>
              </w:rPr>
              <w:t>identical list, identical order</w:t>
            </w:r>
          </w:p>
        </w:tc>
        <w:tc>
          <w:tcPr>
            <w:tcW w:type="dxa" w:w="1008"/>
          </w:tcPr>
          <w:p>
            <w:pPr>
              <w:spacing w:after="40"/>
            </w:pPr>
            <w:r/>
            <w:r>
              <w:rPr>
                <w:sz w:val="18"/>
              </w:rPr>
              <w:t>1/5</w:t>
            </w:r>
          </w:p>
        </w:tc>
      </w:tr>
      <w:tr>
        <w:tc>
          <w:tcPr>
            <w:tcW w:type="dxa" w:w="2160"/>
          </w:tcPr>
          <w:p>
            <w:pPr>
              <w:spacing w:after="40"/>
            </w:pPr>
            <w:r/>
            <w:r>
              <w:rPr>
                <w:sz w:val="18"/>
              </w:rPr>
              <w:t>Personalised PageRank</w:t>
            </w:r>
          </w:p>
        </w:tc>
        <w:tc>
          <w:tcPr>
            <w:tcW w:type="dxa" w:w="6192"/>
          </w:tcPr>
          <w:p>
            <w:pPr>
              <w:spacing w:after="40"/>
            </w:pPr>
            <w:r/>
            <w:r>
              <w:rPr>
                <w:sz w:val="18"/>
              </w:rPr>
              <w:t>identical list, identical order</w:t>
            </w:r>
          </w:p>
        </w:tc>
        <w:tc>
          <w:tcPr>
            <w:tcW w:type="dxa" w:w="1008"/>
          </w:tcPr>
          <w:p>
            <w:pPr>
              <w:spacing w:after="40"/>
            </w:pPr>
            <w:r/>
            <w:r>
              <w:rPr>
                <w:sz w:val="18"/>
              </w:rPr>
              <w:t>1/5</w:t>
            </w:r>
          </w:p>
        </w:tc>
      </w:tr>
      <w:tr>
        <w:tc>
          <w:tcPr>
            <w:tcW w:type="dxa" w:w="2160"/>
          </w:tcPr>
          <w:p>
            <w:pPr>
              <w:spacing w:after="40"/>
            </w:pPr>
            <w:r/>
            <w:r>
              <w:rPr>
                <w:sz w:val="18"/>
              </w:rPr>
              <w:t>Content-based</w:t>
            </w:r>
          </w:p>
        </w:tc>
        <w:tc>
          <w:tcPr>
            <w:tcW w:type="dxa" w:w="6192"/>
          </w:tcPr>
          <w:p>
            <w:pPr>
              <w:spacing w:after="40"/>
            </w:pPr>
            <w:r/>
            <w:r>
              <w:rPr>
                <w:sz w:val="18"/>
              </w:rPr>
              <w:t>2400480; 2500261 Подробности недели; 5900347 Деньги; 240081 ✓; 2400467</w:t>
            </w:r>
          </w:p>
        </w:tc>
        <w:tc>
          <w:tcPr>
            <w:tcW w:type="dxa" w:w="1008"/>
          </w:tcPr>
          <w:p>
            <w:pPr>
              <w:spacing w:after="40"/>
            </w:pPr>
            <w:r/>
            <w:r>
              <w:rPr>
                <w:sz w:val="18"/>
              </w:rPr>
              <w:t>1/5</w:t>
            </w:r>
          </w:p>
        </w:tc>
      </w:tr>
      <w:tr>
        <w:tc>
          <w:tcPr>
            <w:tcW w:type="dxa" w:w="2160"/>
          </w:tcPr>
          <w:p>
            <w:pPr>
              <w:spacing w:after="40"/>
            </w:pPr>
            <w:r/>
            <w:r>
              <w:rPr>
                <w:sz w:val="18"/>
              </w:rPr>
              <w:t>Matrix factorisation</w:t>
            </w:r>
          </w:p>
        </w:tc>
        <w:tc>
          <w:tcPr>
            <w:tcW w:type="dxa" w:w="6192"/>
          </w:tcPr>
          <w:p>
            <w:pPr>
              <w:spacing w:after="40"/>
            </w:pPr>
            <w:r/>
            <w:r>
              <w:rPr>
                <w:sz w:val="18"/>
              </w:rPr>
              <w:t>10003014 Т/с 'Отдел 44'; 300358 На троих; 1000589 Отчаянные домохозяйки; 2500430 Затерянный мир; 400426 Меняю жену</w:t>
            </w:r>
          </w:p>
        </w:tc>
        <w:tc>
          <w:tcPr>
            <w:tcW w:type="dxa" w:w="1008"/>
          </w:tcPr>
          <w:p>
            <w:pPr>
              <w:spacing w:after="40"/>
            </w:pPr>
            <w:r/>
            <w:r>
              <w:rPr>
                <w:sz w:val="18"/>
              </w:rPr>
              <w:t>0/5</w:t>
            </w:r>
          </w:p>
        </w:tc>
      </w:tr>
      <w:tr>
        <w:tc>
          <w:tcPr>
            <w:tcW w:type="dxa" w:w="2160"/>
          </w:tcPr>
          <w:p>
            <w:pPr>
              <w:spacing w:after="40"/>
            </w:pPr>
            <w:r/>
            <w:r>
              <w:rPr>
                <w:sz w:val="18"/>
              </w:rPr>
              <w:t>Final ranker</w:t>
            </w:r>
          </w:p>
        </w:tc>
        <w:tc>
          <w:tcPr>
            <w:tcW w:type="dxa" w:w="6192"/>
          </w:tcPr>
          <w:p>
            <w:pPr>
              <w:spacing w:after="40"/>
            </w:pPr>
            <w:r/>
            <w:r>
              <w:rPr>
                <w:sz w:val="18"/>
              </w:rPr>
              <w:t>240081 ✓ at rank 1; 2400480; 2400508; 12001682 Губка Боб; 6500479</w:t>
            </w:r>
          </w:p>
        </w:tc>
        <w:tc>
          <w:tcPr>
            <w:tcW w:type="dxa" w:w="1008"/>
          </w:tcPr>
          <w:p>
            <w:pPr>
              <w:spacing w:after="40"/>
            </w:pPr>
            <w:r/>
            <w:r>
              <w:rPr>
                <w:sz w:val="18"/>
              </w:rPr>
              <w:t>1/5</w:t>
            </w:r>
          </w:p>
        </w:tc>
      </w:tr>
    </w:tbl>
    <w:p/>
    <w:p>
      <w:r>
        <w:rPr>
          <w:b/>
          <w:sz w:val="19"/>
        </w:rPr>
        <w:t>Table 4b. Light user 14401191285650834662: one event (90071788 Х/ф 'Призрак'), pool of 81, five relevant programmes.</w:t>
      </w:r>
    </w:p>
    <w:tbl>
      <w:tblPr>
        <w:tblStyle w:val="LightGrid-Accent1"/>
        <w:tblW w:type="auto" w:w="0"/>
        <w:jc w:val="center"/>
        <w:tblLook w:firstColumn="1" w:firstRow="1" w:lastColumn="0" w:lastRow="0" w:noHBand="0" w:noVBand="1" w:val="04A0"/>
      </w:tblPr>
      <w:tblGrid>
        <w:gridCol w:w="3216"/>
        <w:gridCol w:w="3216"/>
        <w:gridCol w:w="3216"/>
      </w:tblGrid>
      <w:tr>
        <w:tc>
          <w:tcPr>
            <w:tcW w:type="dxa" w:w="2160"/>
          </w:tcPr>
          <w:p>
            <w:pPr>
              <w:spacing w:after="40"/>
            </w:pPr>
            <w:r/>
            <w:r>
              <w:rPr>
                <w:b/>
                <w:sz w:val="18"/>
              </w:rPr>
              <w:t>Method</w:t>
            </w:r>
          </w:p>
        </w:tc>
        <w:tc>
          <w:tcPr>
            <w:tcW w:type="dxa" w:w="6192"/>
          </w:tcPr>
          <w:p>
            <w:pPr>
              <w:spacing w:after="40"/>
            </w:pPr>
            <w:r/>
            <w:r>
              <w:rPr>
                <w:b/>
                <w:sz w:val="18"/>
              </w:rPr>
              <w:t>Top-5 (id — title [category])</w:t>
            </w:r>
          </w:p>
        </w:tc>
        <w:tc>
          <w:tcPr>
            <w:tcW w:type="dxa" w:w="1008"/>
          </w:tcPr>
          <w:p>
            <w:pPr>
              <w:spacing w:after="40"/>
            </w:pPr>
            <w:r/>
            <w:r>
              <w:rPr>
                <w:b/>
                <w:sz w:val="18"/>
              </w:rPr>
              <w:t>Hits</w:t>
            </w:r>
          </w:p>
        </w:tc>
      </w:tr>
      <w:tr>
        <w:tc>
          <w:tcPr>
            <w:tcW w:type="dxa" w:w="2160"/>
          </w:tcPr>
          <w:p>
            <w:pPr>
              <w:spacing w:after="40"/>
            </w:pPr>
            <w:r/>
            <w:r>
              <w:rPr>
                <w:sz w:val="18"/>
              </w:rPr>
              <w:t>Popularity</w:t>
            </w:r>
          </w:p>
        </w:tc>
        <w:tc>
          <w:tcPr>
            <w:tcW w:type="dxa" w:w="6192"/>
          </w:tcPr>
          <w:p>
            <w:pPr>
              <w:spacing w:after="40"/>
            </w:pPr>
            <w:r/>
            <w:r>
              <w:rPr>
                <w:sz w:val="18"/>
              </w:rPr>
              <w:t>2400480; 240081 ✓; 2400467 ✓; 2400508 ✓; 6500479</w:t>
            </w:r>
          </w:p>
        </w:tc>
        <w:tc>
          <w:tcPr>
            <w:tcW w:type="dxa" w:w="1008"/>
          </w:tcPr>
          <w:p>
            <w:pPr>
              <w:spacing w:after="40"/>
            </w:pPr>
            <w:r/>
            <w:r>
              <w:rPr>
                <w:sz w:val="18"/>
              </w:rPr>
              <w:t>3/5</w:t>
            </w:r>
          </w:p>
        </w:tc>
      </w:tr>
      <w:tr>
        <w:tc>
          <w:tcPr>
            <w:tcW w:type="dxa" w:w="2160"/>
          </w:tcPr>
          <w:p>
            <w:pPr>
              <w:spacing w:after="40"/>
            </w:pPr>
            <w:r/>
            <w:r>
              <w:rPr>
                <w:sz w:val="18"/>
              </w:rPr>
              <w:t>Association rules</w:t>
            </w:r>
          </w:p>
        </w:tc>
        <w:tc>
          <w:tcPr>
            <w:tcW w:type="dxa" w:w="6192"/>
          </w:tcPr>
          <w:p>
            <w:pPr>
              <w:spacing w:after="40"/>
            </w:pPr>
            <w:r/>
            <w:r>
              <w:rPr>
                <w:sz w:val="18"/>
              </w:rPr>
              <w:t>identical list, identical order</w:t>
            </w:r>
          </w:p>
        </w:tc>
        <w:tc>
          <w:tcPr>
            <w:tcW w:type="dxa" w:w="1008"/>
          </w:tcPr>
          <w:p>
            <w:pPr>
              <w:spacing w:after="40"/>
            </w:pPr>
            <w:r/>
            <w:r>
              <w:rPr>
                <w:sz w:val="18"/>
              </w:rPr>
              <w:t>3/5</w:t>
            </w:r>
          </w:p>
        </w:tc>
      </w:tr>
      <w:tr>
        <w:tc>
          <w:tcPr>
            <w:tcW w:type="dxa" w:w="2160"/>
          </w:tcPr>
          <w:p>
            <w:pPr>
              <w:spacing w:after="40"/>
            </w:pPr>
            <w:r/>
            <w:r>
              <w:rPr>
                <w:sz w:val="18"/>
              </w:rPr>
              <w:t>Personalised PageRank</w:t>
            </w:r>
          </w:p>
        </w:tc>
        <w:tc>
          <w:tcPr>
            <w:tcW w:type="dxa" w:w="6192"/>
          </w:tcPr>
          <w:p>
            <w:pPr>
              <w:spacing w:after="40"/>
            </w:pPr>
            <w:r/>
            <w:r>
              <w:rPr>
                <w:sz w:val="18"/>
              </w:rPr>
              <w:t>90071788 Призрак; 2400480; 240081 ✓; 2400467 ✓; 2400508 ✓</w:t>
            </w:r>
          </w:p>
        </w:tc>
        <w:tc>
          <w:tcPr>
            <w:tcW w:type="dxa" w:w="1008"/>
          </w:tcPr>
          <w:p>
            <w:pPr>
              <w:spacing w:after="40"/>
            </w:pPr>
            <w:r/>
            <w:r>
              <w:rPr>
                <w:sz w:val="18"/>
              </w:rPr>
              <w:t>3/5</w:t>
            </w:r>
          </w:p>
        </w:tc>
      </w:tr>
      <w:tr>
        <w:tc>
          <w:tcPr>
            <w:tcW w:type="dxa" w:w="2160"/>
          </w:tcPr>
          <w:p>
            <w:pPr>
              <w:spacing w:after="40"/>
            </w:pPr>
            <w:r/>
            <w:r>
              <w:rPr>
                <w:sz w:val="18"/>
              </w:rPr>
              <w:t>Content-based</w:t>
            </w:r>
          </w:p>
        </w:tc>
        <w:tc>
          <w:tcPr>
            <w:tcW w:type="dxa" w:w="6192"/>
          </w:tcPr>
          <w:p>
            <w:pPr>
              <w:spacing w:after="40"/>
            </w:pPr>
            <w:r/>
            <w:r>
              <w:rPr>
                <w:sz w:val="18"/>
              </w:rPr>
              <w:t>90071788; 10003159 Ничто не случается дважды; 10003178 Агенты справедливости; 10001657 Касл; 10003102 Опер по вызову</w:t>
            </w:r>
          </w:p>
        </w:tc>
        <w:tc>
          <w:tcPr>
            <w:tcW w:type="dxa" w:w="1008"/>
          </w:tcPr>
          <w:p>
            <w:pPr>
              <w:spacing w:after="40"/>
            </w:pPr>
            <w:r/>
            <w:r>
              <w:rPr>
                <w:sz w:val="18"/>
              </w:rPr>
              <w:t>0/5</w:t>
            </w:r>
          </w:p>
        </w:tc>
      </w:tr>
      <w:tr>
        <w:tc>
          <w:tcPr>
            <w:tcW w:type="dxa" w:w="2160"/>
          </w:tcPr>
          <w:p>
            <w:pPr>
              <w:spacing w:after="40"/>
            </w:pPr>
            <w:r/>
            <w:r>
              <w:rPr>
                <w:sz w:val="18"/>
              </w:rPr>
              <w:t>Matrix factorisation</w:t>
            </w:r>
          </w:p>
        </w:tc>
        <w:tc>
          <w:tcPr>
            <w:tcW w:type="dxa" w:w="6192"/>
          </w:tcPr>
          <w:p>
            <w:pPr>
              <w:spacing w:after="40"/>
            </w:pPr>
            <w:r/>
            <w:r>
              <w:rPr>
                <w:sz w:val="18"/>
              </w:rPr>
              <w:t>90077687 Праведник; 90077217 Геракл; 1000589; 90076295 Призрачный патруль; 90064639 Пророк</w:t>
            </w:r>
          </w:p>
        </w:tc>
        <w:tc>
          <w:tcPr>
            <w:tcW w:type="dxa" w:w="1008"/>
          </w:tcPr>
          <w:p>
            <w:pPr>
              <w:spacing w:after="40"/>
            </w:pPr>
            <w:r/>
            <w:r>
              <w:rPr>
                <w:sz w:val="18"/>
              </w:rPr>
              <w:t>0/5</w:t>
            </w:r>
          </w:p>
        </w:tc>
      </w:tr>
      <w:tr>
        <w:tc>
          <w:tcPr>
            <w:tcW w:type="dxa" w:w="2160"/>
          </w:tcPr>
          <w:p>
            <w:pPr>
              <w:spacing w:after="40"/>
            </w:pPr>
            <w:r/>
            <w:r>
              <w:rPr>
                <w:sz w:val="18"/>
              </w:rPr>
              <w:t>Final ranker</w:t>
            </w:r>
          </w:p>
        </w:tc>
        <w:tc>
          <w:tcPr>
            <w:tcW w:type="dxa" w:w="6192"/>
          </w:tcPr>
          <w:p>
            <w:pPr>
              <w:spacing w:after="40"/>
            </w:pPr>
            <w:r/>
            <w:r>
              <w:rPr>
                <w:sz w:val="18"/>
              </w:rPr>
              <w:t>240081 ✓; 2400508 ✓; 2400480; 300358 На троих; 2400467 ✓</w:t>
            </w:r>
          </w:p>
        </w:tc>
        <w:tc>
          <w:tcPr>
            <w:tcW w:type="dxa" w:w="1008"/>
          </w:tcPr>
          <w:p>
            <w:pPr>
              <w:spacing w:after="40"/>
            </w:pPr>
            <w:r/>
            <w:r>
              <w:rPr>
                <w:sz w:val="18"/>
              </w:rPr>
              <w:t>3/5</w:t>
            </w:r>
          </w:p>
        </w:tc>
      </w:tr>
    </w:tbl>
    <w:p/>
    <w:p>
      <w:r>
        <w:rPr>
          <w:b/>
          <w:sz w:val="19"/>
        </w:rPr>
        <w:t>Table 5. Everything tested after the target definition was corrected. Hold-out deltas against the shipped 0.43949.</w:t>
      </w:r>
    </w:p>
    <w:tbl>
      <w:tblPr>
        <w:tblStyle w:val="LightGrid-Accent1"/>
        <w:tblW w:type="auto" w:w="0"/>
        <w:jc w:val="center"/>
        <w:tblLook w:firstColumn="1" w:firstRow="1" w:lastColumn="0" w:lastRow="0" w:noHBand="0" w:noVBand="1" w:val="04A0"/>
      </w:tblPr>
      <w:tblGrid>
        <w:gridCol w:w="3216"/>
        <w:gridCol w:w="3216"/>
        <w:gridCol w:w="3216"/>
      </w:tblGrid>
      <w:tr>
        <w:tc>
          <w:tcPr>
            <w:tcW w:type="dxa" w:w="5040"/>
          </w:tcPr>
          <w:p>
            <w:pPr>
              <w:spacing w:after="40"/>
            </w:pPr>
            <w:r/>
            <w:r>
              <w:rPr>
                <w:b/>
                <w:sz w:val="18"/>
              </w:rPr>
              <w:t>Change</w:t>
            </w:r>
          </w:p>
        </w:tc>
        <w:tc>
          <w:tcPr>
            <w:tcW w:type="dxa" w:w="1872"/>
          </w:tcPr>
          <w:p>
            <w:pPr>
              <w:spacing w:after="40"/>
            </w:pPr>
            <w:r/>
            <w:r>
              <w:rPr>
                <w:b/>
                <w:sz w:val="18"/>
              </w:rPr>
              <w:t>Δ hold-out</w:t>
            </w:r>
          </w:p>
        </w:tc>
        <w:tc>
          <w:tcPr>
            <w:tcW w:type="dxa" w:w="2880"/>
          </w:tcPr>
          <w:p>
            <w:pPr>
              <w:spacing w:after="40"/>
            </w:pPr>
            <w:r/>
            <w:r>
              <w:rPr>
                <w:b/>
                <w:sz w:val="18"/>
              </w:rPr>
              <w:t>Verdict</w:t>
            </w:r>
          </w:p>
        </w:tc>
      </w:tr>
      <w:tr>
        <w:tc>
          <w:tcPr>
            <w:tcW w:type="dxa" w:w="5040"/>
          </w:tcPr>
          <w:p>
            <w:pPr>
              <w:spacing w:after="40"/>
            </w:pPr>
            <w:r/>
            <w:r>
              <w:rPr>
                <w:sz w:val="18"/>
              </w:rPr>
              <w:t>Training label = organisers' top-5 rule</w:t>
            </w:r>
          </w:p>
        </w:tc>
        <w:tc>
          <w:tcPr>
            <w:tcW w:type="dxa" w:w="1872"/>
          </w:tcPr>
          <w:p>
            <w:pPr>
              <w:spacing w:after="40"/>
            </w:pPr>
            <w:r/>
            <w:r>
              <w:rPr>
                <w:sz w:val="18"/>
              </w:rPr>
              <w:t>+0.0079</w:t>
            </w:r>
          </w:p>
        </w:tc>
        <w:tc>
          <w:tcPr>
            <w:tcW w:type="dxa" w:w="2880"/>
          </w:tcPr>
          <w:p>
            <w:pPr>
              <w:spacing w:after="40"/>
            </w:pPr>
            <w:r/>
            <w:r>
              <w:rPr>
                <w:sz w:val="18"/>
              </w:rPr>
              <w:t>accepted, +0.00706 private</w:t>
            </w:r>
          </w:p>
        </w:tc>
      </w:tr>
      <w:tr>
        <w:tc>
          <w:tcPr>
            <w:tcW w:type="dxa" w:w="5040"/>
          </w:tcPr>
          <w:p>
            <w:pPr>
              <w:spacing w:after="40"/>
            </w:pPr>
            <w:r/>
            <w:r>
              <w:rPr>
                <w:sz w:val="18"/>
              </w:rPr>
              <w:t>Expected-frequency features (honest)</w:t>
            </w:r>
          </w:p>
        </w:tc>
        <w:tc>
          <w:tcPr>
            <w:tcW w:type="dxa" w:w="1872"/>
          </w:tcPr>
          <w:p>
            <w:pPr>
              <w:spacing w:after="40"/>
            </w:pPr>
            <w:r/>
            <w:r>
              <w:rPr>
                <w:sz w:val="18"/>
              </w:rPr>
              <w:t>−0.0024</w:t>
            </w:r>
          </w:p>
        </w:tc>
        <w:tc>
          <w:tcPr>
            <w:tcW w:type="dxa" w:w="2880"/>
          </w:tcPr>
          <w:p>
            <w:pPr>
              <w:spacing w:after="40"/>
            </w:pPr>
            <w:r/>
            <w:r>
              <w:rPr>
                <w:sz w:val="18"/>
              </w:rPr>
              <w:t>rejected</w:t>
            </w:r>
          </w:p>
        </w:tc>
      </w:tr>
      <w:tr>
        <w:tc>
          <w:tcPr>
            <w:tcW w:type="dxa" w:w="5040"/>
          </w:tcPr>
          <w:p>
            <w:pPr>
              <w:spacing w:after="40"/>
            </w:pPr>
            <w:r/>
            <w:r>
              <w:rPr>
                <w:sz w:val="18"/>
              </w:rPr>
              <w:t>Graded label, rank 5..1 within the five</w:t>
            </w:r>
          </w:p>
        </w:tc>
        <w:tc>
          <w:tcPr>
            <w:tcW w:type="dxa" w:w="1872"/>
          </w:tcPr>
          <w:p>
            <w:pPr>
              <w:spacing w:after="40"/>
            </w:pPr>
            <w:r/>
            <w:r>
              <w:rPr>
                <w:sz w:val="18"/>
              </w:rPr>
              <w:t>−0.0021</w:t>
            </w:r>
          </w:p>
        </w:tc>
        <w:tc>
          <w:tcPr>
            <w:tcW w:type="dxa" w:w="2880"/>
          </w:tcPr>
          <w:p>
            <w:pPr>
              <w:spacing w:after="40"/>
            </w:pPr>
            <w:r/>
            <w:r>
              <w:rPr>
                <w:sz w:val="18"/>
              </w:rPr>
              <w:t>rejected</w:t>
            </w:r>
          </w:p>
        </w:tc>
      </w:tr>
      <w:tr>
        <w:tc>
          <w:tcPr>
            <w:tcW w:type="dxa" w:w="5040"/>
          </w:tcPr>
          <w:p>
            <w:pPr>
              <w:spacing w:after="40"/>
            </w:pPr>
            <w:r/>
            <w:r>
              <w:rPr>
                <w:sz w:val="18"/>
              </w:rPr>
              <w:t>Graded label, airing count</w:t>
            </w:r>
          </w:p>
        </w:tc>
        <w:tc>
          <w:tcPr>
            <w:tcW w:type="dxa" w:w="1872"/>
          </w:tcPr>
          <w:p>
            <w:pPr>
              <w:spacing w:after="40"/>
            </w:pPr>
            <w:r/>
            <w:r>
              <w:rPr>
                <w:sz w:val="18"/>
              </w:rPr>
              <w:t>−0.0017</w:t>
            </w:r>
          </w:p>
        </w:tc>
        <w:tc>
          <w:tcPr>
            <w:tcW w:type="dxa" w:w="2880"/>
          </w:tcPr>
          <w:p>
            <w:pPr>
              <w:spacing w:after="40"/>
            </w:pPr>
            <w:r/>
            <w:r>
              <w:rPr>
                <w:sz w:val="18"/>
              </w:rPr>
              <w:t>rejected</w:t>
            </w:r>
          </w:p>
        </w:tc>
      </w:tr>
      <w:tr>
        <w:tc>
          <w:tcPr>
            <w:tcW w:type="dxa" w:w="5040"/>
          </w:tcPr>
          <w:p>
            <w:pPr>
              <w:spacing w:after="40"/>
            </w:pPr>
            <w:r/>
            <w:r>
              <w:rPr>
                <w:sz w:val="18"/>
              </w:rPr>
              <w:t>Broadcast-history features</w:t>
            </w:r>
          </w:p>
        </w:tc>
        <w:tc>
          <w:tcPr>
            <w:tcW w:type="dxa" w:w="1872"/>
          </w:tcPr>
          <w:p>
            <w:pPr>
              <w:spacing w:after="40"/>
            </w:pPr>
            <w:r/>
            <w:r>
              <w:rPr>
                <w:sz w:val="18"/>
              </w:rPr>
              <w:t>−0.0013</w:t>
            </w:r>
          </w:p>
        </w:tc>
        <w:tc>
          <w:tcPr>
            <w:tcW w:type="dxa" w:w="2880"/>
          </w:tcPr>
          <w:p>
            <w:pPr>
              <w:spacing w:after="40"/>
            </w:pPr>
            <w:r/>
            <w:r>
              <w:rPr>
                <w:sz w:val="18"/>
              </w:rPr>
              <w:t>rejected</w:t>
            </w:r>
          </w:p>
        </w:tc>
      </w:tr>
      <w:tr>
        <w:tc>
          <w:tcPr>
            <w:tcW w:type="dxa" w:w="5040"/>
          </w:tcPr>
          <w:p>
            <w:pPr>
              <w:spacing w:after="40"/>
            </w:pPr>
            <w:r/>
            <w:r>
              <w:rPr>
                <w:sz w:val="18"/>
              </w:rPr>
              <w:t>Candidates restricted to airing programmes</w:t>
            </w:r>
          </w:p>
        </w:tc>
        <w:tc>
          <w:tcPr>
            <w:tcW w:type="dxa" w:w="1872"/>
          </w:tcPr>
          <w:p>
            <w:pPr>
              <w:spacing w:after="40"/>
            </w:pPr>
            <w:r/>
            <w:r>
              <w:rPr>
                <w:sz w:val="18"/>
              </w:rPr>
              <w:t>−0.0014</w:t>
            </w:r>
          </w:p>
        </w:tc>
        <w:tc>
          <w:tcPr>
            <w:tcW w:type="dxa" w:w="2880"/>
          </w:tcPr>
          <w:p>
            <w:pPr>
              <w:spacing w:after="40"/>
            </w:pPr>
            <w:r/>
            <w:r>
              <w:rPr>
                <w:sz w:val="18"/>
              </w:rPr>
              <w:t>rejected</w:t>
            </w:r>
          </w:p>
        </w:tc>
      </w:tr>
      <w:tr>
        <w:tc>
          <w:tcPr>
            <w:tcW w:type="dxa" w:w="5040"/>
          </w:tcPr>
          <w:p>
            <w:pPr>
              <w:spacing w:after="40"/>
            </w:pPr>
            <w:r/>
            <w:r>
              <w:rPr>
                <w:sz w:val="18"/>
              </w:rPr>
              <w:t>Pool + all programmes on top-3 channels</w:t>
            </w:r>
          </w:p>
        </w:tc>
        <w:tc>
          <w:tcPr>
            <w:tcW w:type="dxa" w:w="1872"/>
          </w:tcPr>
          <w:p>
            <w:pPr>
              <w:spacing w:after="40"/>
            </w:pPr>
            <w:r/>
            <w:r>
              <w:rPr>
                <w:sz w:val="18"/>
              </w:rPr>
              <w:t>−0.0004</w:t>
            </w:r>
          </w:p>
        </w:tc>
        <w:tc>
          <w:tcPr>
            <w:tcW w:type="dxa" w:w="2880"/>
          </w:tcPr>
          <w:p>
            <w:pPr>
              <w:spacing w:after="40"/>
            </w:pPr>
            <w:r/>
            <w:r>
              <w:rPr>
                <w:sz w:val="18"/>
              </w:rPr>
              <w:t>rejected (ceiling +0.035)</w:t>
            </w:r>
          </w:p>
        </w:tc>
      </w:tr>
      <w:tr>
        <w:tc>
          <w:tcPr>
            <w:tcW w:type="dxa" w:w="5040"/>
          </w:tcPr>
          <w:p>
            <w:pPr>
              <w:spacing w:after="40"/>
            </w:pPr>
            <w:r/>
            <w:r>
              <w:rPr>
                <w:sz w:val="18"/>
              </w:rPr>
              <w:t>2400 trees / 800 trees / 63 leaves / 15 leaves</w:t>
            </w:r>
          </w:p>
        </w:tc>
        <w:tc>
          <w:tcPr>
            <w:tcW w:type="dxa" w:w="1872"/>
          </w:tcPr>
          <w:p>
            <w:pPr>
              <w:spacing w:after="40"/>
            </w:pPr>
            <w:r/>
            <w:r>
              <w:rPr>
                <w:sz w:val="18"/>
              </w:rPr>
              <w:t>within ±0.0011</w:t>
            </w:r>
          </w:p>
        </w:tc>
        <w:tc>
          <w:tcPr>
            <w:tcW w:type="dxa" w:w="2880"/>
          </w:tcPr>
          <w:p>
            <w:pPr>
              <w:spacing w:after="40"/>
            </w:pPr>
            <w:r/>
            <w:r>
              <w:rPr>
                <w:sz w:val="18"/>
              </w:rPr>
              <w:t>no effect</w:t>
            </w:r>
          </w:p>
        </w:tc>
      </w:tr>
      <w:tr>
        <w:tc>
          <w:tcPr>
            <w:tcW w:type="dxa" w:w="5040"/>
          </w:tcPr>
          <w:p>
            <w:pPr>
              <w:spacing w:after="40"/>
            </w:pPr>
            <w:r/>
            <w:r>
              <w:rPr>
                <w:sz w:val="18"/>
              </w:rPr>
              <w:t>Cascade re-ranking the top 20</w:t>
            </w:r>
          </w:p>
        </w:tc>
        <w:tc>
          <w:tcPr>
            <w:tcW w:type="dxa" w:w="1872"/>
          </w:tcPr>
          <w:p>
            <w:pPr>
              <w:spacing w:after="40"/>
            </w:pPr>
            <w:r/>
            <w:r>
              <w:rPr>
                <w:sz w:val="18"/>
              </w:rPr>
              <w:t>−0.0064</w:t>
            </w:r>
          </w:p>
        </w:tc>
        <w:tc>
          <w:tcPr>
            <w:tcW w:type="dxa" w:w="2880"/>
          </w:tcPr>
          <w:p>
            <w:pPr>
              <w:spacing w:after="40"/>
            </w:pPr>
            <w:r/>
            <w:r>
              <w:rPr>
                <w:sz w:val="18"/>
              </w:rPr>
              <w:t>rejected</w:t>
            </w:r>
          </w:p>
        </w:tc>
      </w:tr>
    </w:tbl>
    <w:p/>
    <w:p>
      <w:pPr>
        <w:pStyle w:val="Heading2"/>
      </w:pPr>
      <w:r>
        <w:rPr>
          <w:color w:val="000000"/>
        </w:rPr>
        <w:t>Designated submission</w:t>
      </w:r>
    </w:p>
    <w:p>
      <w:r>
        <w:rPr>
          <w:i w:val="0"/>
        </w:rPr>
        <w:t>sub25_top5_s0.csv, Kaggle ref 57573516. The screenshot below is the Submissions tab: the left number is the Private Score (0.44205) and the right is the Public Score (0.45440).</w:t>
      </w:r>
    </w:p>
    <w:p>
      <w:r>
        <w:drawing>
          <wp:inline xmlns:a="http://schemas.openxmlformats.org/drawingml/2006/main" xmlns:pic="http://schemas.openxmlformats.org/drawingml/2006/picture">
            <wp:extent cx="5943600" cy="488373"/>
            <wp:docPr id="1" name="Picture 1"/>
            <wp:cNvGraphicFramePr>
              <a:graphicFrameLocks noChangeAspect="1"/>
            </wp:cNvGraphicFramePr>
            <a:graphic>
              <a:graphicData uri="http://schemas.openxmlformats.org/drawingml/2006/picture">
                <pic:pic>
                  <pic:nvPicPr>
                    <pic:cNvPr id="0" name="kaggle_submission.png"/>
                    <pic:cNvPicPr/>
                  </pic:nvPicPr>
                  <pic:blipFill>
                    <a:blip r:embed="rId9"/>
                    <a:stretch>
                      <a:fillRect/>
                    </a:stretch>
                  </pic:blipFill>
                  <pic:spPr>
                    <a:xfrm>
                      <a:off x="0" y="0"/>
                      <a:ext cx="5943600" cy="488373"/>
                    </a:xfrm>
                    <a:prstGeom prst="rect"/>
                  </pic:spPr>
                </pic:pic>
              </a:graphicData>
            </a:graphic>
          </wp:inline>
        </w:drawing>
      </w:r>
    </w:p>
    <w:p>
      <w:pPr>
        <w:jc w:val="center"/>
      </w:pPr>
      <w:r>
        <w:rPr>
          <w:i/>
          <w:sz w:val="18"/>
        </w:rPr>
        <w:t>Figure 1. Returned Kaggle scores for the designated submission: private 0.44205, public 0.45440.</w:t>
      </w:r>
    </w:p>
    <w:p>
      <w:pPr>
        <w:pStyle w:val="Heading1"/>
      </w:pPr>
      <w:r>
        <w:rPr>
          <w:color w:val="000000"/>
        </w:rPr>
        <w:t>5. Discussion</w:t>
      </w:r>
    </w:p>
    <w:p>
      <w:pPr>
        <w:pStyle w:val="Heading2"/>
      </w:pPr>
      <w:r>
        <w:rPr>
          <w:color w:val="000000"/>
        </w:rPr>
        <w:t>What this section can and cannot show</w:t>
      </w:r>
    </w:p>
    <w:p>
      <w:r>
        <w:rPr>
          <w:i w:val="0"/>
        </w:rPr>
        <w:t>Two users cannot establish that one method is generally better than another, and nothing below shows that any viewer enjoyed anything: the log records viewing, not satisfaction. No online experiment was run and none is claimed. Every number comes from the hold-out or from a returned Kaggle score, both listed in the repository.</w:t>
      </w:r>
    </w:p>
    <w:p>
      <w:pPr>
        <w:pStyle w:val="Heading2"/>
      </w:pPr>
      <w:r>
        <w:rPr>
          <w:color w:val="000000"/>
        </w:rPr>
        <w:t>The target drives everything that follows</w:t>
      </w:r>
    </w:p>
    <w:p>
      <w:r>
        <w:rPr>
          <w:i w:val="0"/>
        </w:rPr>
        <w:t>The organisers' answer file is built like this: keep views whose screen time — watched duration divided by programme duration — is at least 0.8; count how often each programme recurs at that level; take strictly the five most frequent, in descending order.</w:t>
      </w:r>
    </w:p>
    <w:p>
      <w:r>
        <w:rPr>
          <w:i w:val="0"/>
        </w:rPr>
        <w:t>Three consequences shape every result in this section.</w:t>
      </w:r>
    </w:p>
    <w:p>
      <w:r>
        <w:rPr>
          <w:b/>
        </w:rPr>
        <w:t xml:space="preserve">The relevant set is closed at five. </w:t>
      </w:r>
      <w:r>
        <w:rPr>
          <w:i w:val="0"/>
        </w:rPr>
        <w:t xml:space="preserve"> `|R| = 5` for 90.9% of users, so the metric's denominator `min(5, |R|)` is fixed. There is no long tail to recall: the task is to name a small, closed set of habitual, fully-watched programmes.</w:t>
      </w:r>
    </w:p>
    <w:p>
      <w:r>
        <w:rPr>
          <w:b/>
        </w:rPr>
        <w:t xml:space="preserve">Order is paid for. </w:t>
      </w:r>
      <w:r>
        <w:rPr>
          <w:i w:val="0"/>
        </w:rPr>
        <w:t xml:space="preserve"> The specification's own worked example scores the same three hits at 0.9167 or 0.5333 depending only on where they sit — a difference of 0.38 from reordering alone.</w:t>
      </w:r>
    </w:p>
    <w:p>
      <w:r>
        <w:rPr>
          <w:b/>
        </w:rPr>
        <w:t xml:space="preserve">Frequency, not affinity, is the currency. </w:t>
      </w:r>
      <w:r>
        <w:rPr>
          <w:i w:val="0"/>
        </w:rPr>
        <w:t xml:space="preserve"> A programme someone watches constantly but never finishes is not relevant. A film someone loves and watches once is not relevant either. This is why a defensible recommendation can score zero, as one does below.</w:t>
      </w:r>
    </w:p>
    <w:p>
      <w:pPr>
        <w:pStyle w:val="Heading2"/>
      </w:pPr>
      <w:r>
        <w:rPr>
          <w:color w:val="000000"/>
        </w:rPr>
        <w:t>The two users</w:t>
      </w:r>
    </w:p>
    <w:p>
      <w:r>
        <w:rPr>
          <w:i w:val="0"/>
        </w:rPr>
        <w:t>Both have a full five-programme target. They are the extremes of evidence among the 1 118 test users who have both a history and something to predict: one with 3 733 viewing events over 445 distinct programmes, one with a single event. Neither is a cold-start case — all 1 260 test users appear in the log.</w:t>
      </w:r>
    </w:p>
    <w:p>
      <w:r>
        <w:rPr>
          <w:b/>
          <w:sz w:val="19"/>
        </w:rPr>
        <w:t>Table 6. The two users, hits out of five.</w:t>
      </w:r>
    </w:p>
    <w:tbl>
      <w:tblPr>
        <w:tblStyle w:val="LightGrid-Accent1"/>
        <w:tblW w:type="auto" w:w="0"/>
        <w:jc w:val="center"/>
        <w:tblLook w:firstColumn="1" w:firstRow="1" w:lastColumn="0" w:lastRow="0" w:noHBand="0" w:noVBand="1" w:val="04A0"/>
      </w:tblPr>
      <w:tblGrid>
        <w:gridCol w:w="3216"/>
        <w:gridCol w:w="3216"/>
        <w:gridCol w:w="3216"/>
      </w:tblGrid>
      <w:tr>
        <w:tc>
          <w:tcPr>
            <w:tcW w:type="dxa" w:w="4320"/>
          </w:tcPr>
          <w:p>
            <w:pPr>
              <w:spacing w:after="40"/>
            </w:pPr>
            <w:r/>
            <w:r>
              <w:rPr>
                <w:b/>
                <w:sz w:val="18"/>
              </w:rPr>
              <w:t>method</w:t>
            </w:r>
          </w:p>
        </w:tc>
        <w:tc>
          <w:tcPr>
            <w:tcW w:type="dxa" w:w="2736"/>
          </w:tcPr>
          <w:p>
            <w:pPr>
              <w:spacing w:after="40"/>
            </w:pPr>
            <w:r/>
            <w:r>
              <w:rPr>
                <w:b/>
                <w:sz w:val="18"/>
              </w:rPr>
              <w:t>heavy: 3 733 events</w:t>
            </w:r>
          </w:p>
        </w:tc>
        <w:tc>
          <w:tcPr>
            <w:tcW w:type="dxa" w:w="2736"/>
          </w:tcPr>
          <w:p>
            <w:pPr>
              <w:spacing w:after="40"/>
            </w:pPr>
            <w:r/>
            <w:r>
              <w:rPr>
                <w:b/>
                <w:sz w:val="18"/>
              </w:rPr>
              <w:t>light: 1 event</w:t>
            </w:r>
          </w:p>
        </w:tc>
      </w:tr>
      <w:tr>
        <w:tc>
          <w:tcPr>
            <w:tcW w:type="dxa" w:w="4320"/>
          </w:tcPr>
          <w:p>
            <w:pPr>
              <w:spacing w:after="40"/>
            </w:pPr>
            <w:r/>
            <w:r>
              <w:rPr>
                <w:sz w:val="18"/>
              </w:rPr>
              <w:t>popularity (baseline)</w:t>
            </w:r>
          </w:p>
        </w:tc>
        <w:tc>
          <w:tcPr>
            <w:tcW w:type="dxa" w:w="2736"/>
          </w:tcPr>
          <w:p>
            <w:pPr>
              <w:spacing w:after="40"/>
            </w:pPr>
            <w:r/>
            <w:r>
              <w:rPr>
                <w:sz w:val="18"/>
              </w:rPr>
              <w:t>1/5</w:t>
            </w:r>
          </w:p>
        </w:tc>
        <w:tc>
          <w:tcPr>
            <w:tcW w:type="dxa" w:w="2736"/>
          </w:tcPr>
          <w:p>
            <w:pPr>
              <w:spacing w:after="40"/>
            </w:pPr>
            <w:r/>
            <w:r>
              <w:rPr>
                <w:sz w:val="18"/>
              </w:rPr>
              <w:t>3/5</w:t>
            </w:r>
          </w:p>
        </w:tc>
      </w:tr>
      <w:tr>
        <w:tc>
          <w:tcPr>
            <w:tcW w:type="dxa" w:w="4320"/>
          </w:tcPr>
          <w:p>
            <w:pPr>
              <w:spacing w:after="40"/>
            </w:pPr>
            <w:r/>
            <w:r>
              <w:rPr>
                <w:sz w:val="18"/>
              </w:rPr>
              <w:t>association rules</w:t>
            </w:r>
          </w:p>
        </w:tc>
        <w:tc>
          <w:tcPr>
            <w:tcW w:type="dxa" w:w="2736"/>
          </w:tcPr>
          <w:p>
            <w:pPr>
              <w:spacing w:after="40"/>
            </w:pPr>
            <w:r/>
            <w:r>
              <w:rPr>
                <w:sz w:val="18"/>
              </w:rPr>
              <w:t>1/5</w:t>
            </w:r>
          </w:p>
        </w:tc>
        <w:tc>
          <w:tcPr>
            <w:tcW w:type="dxa" w:w="2736"/>
          </w:tcPr>
          <w:p>
            <w:pPr>
              <w:spacing w:after="40"/>
            </w:pPr>
            <w:r/>
            <w:r>
              <w:rPr>
                <w:sz w:val="18"/>
              </w:rPr>
              <w:t>3/5</w:t>
            </w:r>
          </w:p>
        </w:tc>
      </w:tr>
      <w:tr>
        <w:tc>
          <w:tcPr>
            <w:tcW w:type="dxa" w:w="4320"/>
          </w:tcPr>
          <w:p>
            <w:pPr>
              <w:spacing w:after="40"/>
            </w:pPr>
            <w:r/>
            <w:r>
              <w:rPr>
                <w:sz w:val="18"/>
              </w:rPr>
              <w:t>personalised PageRank</w:t>
            </w:r>
          </w:p>
        </w:tc>
        <w:tc>
          <w:tcPr>
            <w:tcW w:type="dxa" w:w="2736"/>
          </w:tcPr>
          <w:p>
            <w:pPr>
              <w:spacing w:after="40"/>
            </w:pPr>
            <w:r/>
            <w:r>
              <w:rPr>
                <w:sz w:val="18"/>
              </w:rPr>
              <w:t>1/5</w:t>
            </w:r>
          </w:p>
        </w:tc>
        <w:tc>
          <w:tcPr>
            <w:tcW w:type="dxa" w:w="2736"/>
          </w:tcPr>
          <w:p>
            <w:pPr>
              <w:spacing w:after="40"/>
            </w:pPr>
            <w:r/>
            <w:r>
              <w:rPr>
                <w:sz w:val="18"/>
              </w:rPr>
              <w:t>3/5</w:t>
            </w:r>
          </w:p>
        </w:tc>
      </w:tr>
      <w:tr>
        <w:tc>
          <w:tcPr>
            <w:tcW w:type="dxa" w:w="4320"/>
          </w:tcPr>
          <w:p>
            <w:pPr>
              <w:spacing w:after="40"/>
            </w:pPr>
            <w:r/>
            <w:r>
              <w:rPr>
                <w:sz w:val="18"/>
              </w:rPr>
              <w:t>content-based</w:t>
            </w:r>
          </w:p>
        </w:tc>
        <w:tc>
          <w:tcPr>
            <w:tcW w:type="dxa" w:w="2736"/>
          </w:tcPr>
          <w:p>
            <w:pPr>
              <w:spacing w:after="40"/>
            </w:pPr>
            <w:r/>
            <w:r>
              <w:rPr>
                <w:sz w:val="18"/>
              </w:rPr>
              <w:t>1/5</w:t>
            </w:r>
          </w:p>
        </w:tc>
        <w:tc>
          <w:tcPr>
            <w:tcW w:type="dxa" w:w="2736"/>
          </w:tcPr>
          <w:p>
            <w:pPr>
              <w:spacing w:after="40"/>
            </w:pPr>
            <w:r/>
            <w:r>
              <w:rPr>
                <w:sz w:val="18"/>
              </w:rPr>
              <w:t>0/5</w:t>
            </w:r>
          </w:p>
        </w:tc>
      </w:tr>
      <w:tr>
        <w:tc>
          <w:tcPr>
            <w:tcW w:type="dxa" w:w="4320"/>
          </w:tcPr>
          <w:p>
            <w:pPr>
              <w:spacing w:after="40"/>
            </w:pPr>
            <w:r/>
            <w:r>
              <w:rPr>
                <w:sz w:val="18"/>
              </w:rPr>
              <w:t>matrix factorisation (iALS)</w:t>
            </w:r>
          </w:p>
        </w:tc>
        <w:tc>
          <w:tcPr>
            <w:tcW w:type="dxa" w:w="2736"/>
          </w:tcPr>
          <w:p>
            <w:pPr>
              <w:spacing w:after="40"/>
            </w:pPr>
            <w:r/>
            <w:r>
              <w:rPr>
                <w:sz w:val="18"/>
              </w:rPr>
              <w:t>0/5</w:t>
            </w:r>
          </w:p>
        </w:tc>
        <w:tc>
          <w:tcPr>
            <w:tcW w:type="dxa" w:w="2736"/>
          </w:tcPr>
          <w:p>
            <w:pPr>
              <w:spacing w:after="40"/>
            </w:pPr>
            <w:r/>
            <w:r>
              <w:rPr>
                <w:sz w:val="18"/>
              </w:rPr>
              <w:t>0/5</w:t>
            </w:r>
          </w:p>
        </w:tc>
      </w:tr>
      <w:tr>
        <w:tc>
          <w:tcPr>
            <w:tcW w:type="dxa" w:w="4320"/>
          </w:tcPr>
          <w:p>
            <w:pPr>
              <w:spacing w:after="40"/>
            </w:pPr>
            <w:r/>
            <w:r>
              <w:rPr>
                <w:sz w:val="18"/>
              </w:rPr>
              <w:t>**final ranker**</w:t>
            </w:r>
          </w:p>
        </w:tc>
        <w:tc>
          <w:tcPr>
            <w:tcW w:type="dxa" w:w="2736"/>
          </w:tcPr>
          <w:p>
            <w:pPr>
              <w:spacing w:after="40"/>
            </w:pPr>
            <w:r/>
            <w:r>
              <w:rPr>
                <w:sz w:val="18"/>
              </w:rPr>
              <w:t>**1/5**</w:t>
            </w:r>
          </w:p>
        </w:tc>
        <w:tc>
          <w:tcPr>
            <w:tcW w:type="dxa" w:w="2736"/>
          </w:tcPr>
          <w:p>
            <w:pPr>
              <w:spacing w:after="40"/>
            </w:pPr>
            <w:r/>
            <w:r>
              <w:rPr>
                <w:sz w:val="18"/>
              </w:rPr>
              <w:t>**3/5**</w:t>
            </w:r>
          </w:p>
        </w:tc>
      </w:tr>
    </w:tbl>
    <w:p/>
    <w:p>
      <w:r>
        <w:rPr>
          <w:b/>
        </w:rPr>
        <w:t xml:space="preserve">The user with one recorded view is predicted three times better than the user with 3 733. </w:t>
      </w:r>
      <w:r>
        <w:rPr>
          <w:i w:val="0"/>
        </w:rPr>
        <w:t xml:space="preserve"> That inversion is not a defect; it follows from the target. For a sparse viewer the five most frequent programmes simply *are* the mass-audience bulletins, and popularity names them. For a viewer with 445 programmes in their repertoire, naming which five top their frequency list is a fine-grained ordering problem, and every method here finds one of them.</w:t>
      </w:r>
    </w:p>
    <w:p>
      <w:r>
        <w:rPr>
          <w:i w:val="0"/>
        </w:rPr>
        <w:t>The uncomfortable practical reading: on this platform personalisation earns least exactly where there is most to personalise from.</w:t>
      </w:r>
    </w:p>
    <w:p>
      <w:pPr>
        <w:pStyle w:val="Heading2"/>
      </w:pPr>
      <w:r>
        <w:rPr>
          <w:color w:val="000000"/>
        </w:rPr>
        <w:t>How the methods differ, and where they do not</w:t>
      </w:r>
    </w:p>
    <w:p>
      <w:r>
        <w:rPr>
          <w:b/>
        </w:rPr>
        <w:t xml:space="preserve">Popularity, association rules and PageRank returned byte-identical lists for the heavy user </w:t>
      </w:r>
      <w:r>
        <w:rPr>
          <w:i w:val="0"/>
        </w:rPr>
        <w:t xml:space="preserve"> — the same five ids in the same order, hitting the same one (240081, *Факты. День*) at rank 2. The mechanism is appointment viewing. The heavy user's own history is 538 views of *ТСН. Неделя*, 244 of *Завтрак с 1+1*, 222 of *Факты. День*: daily news on a fixed schedule. Two such programmes are "watched together" mostly because nearly everyone watches both, so the co-view matrix is a popularity matrix with extra steps, and PageRank's diffusion over that graph returns to the same high-degree nodes.</w:t>
      </w:r>
    </w:p>
    <w:p>
      <w:r>
        <w:rPr>
          <w:i w:val="0"/>
        </w:rPr>
        <w:t>This was measured directly rather than inferred: adding the top-20 items of association rules to the candidate pool adds zero new candidates, PageRank zero, content-based four, iALS about zero. On this catalogue those methods do not propose anything popularity has not already proposed. Association rules would capture complementary consumption — what you watch *because* you watched something else — and here there is almost none to capture at the item level.</w:t>
      </w:r>
    </w:p>
    <w:p>
      <w:r>
        <w:rPr>
          <w:b/>
        </w:rPr>
        <w:t xml:space="preserve">Content-based filtering is the only method that proposes genuinely different things, and for the light user it scores zero. </w:t>
      </w:r>
      <w:r>
        <w:rPr>
          <w:i w:val="0"/>
        </w:rPr>
        <w:t xml:space="preserve"> Given one watched film, *Призрак*, it returned five films and series of the same kind. By any editorial standard those are reasonable recommendations. They earn nothing, because the target counts complete viewings that *recur*, and a particular film is not watched five times. Content attributes contribute where the co-view signal is thin — and what they contribute is the wrong kind of relevance for this metric.</w:t>
      </w:r>
    </w:p>
    <w:p>
      <w:r>
        <w:rPr>
          <w:b/>
        </w:rPr>
        <w:t xml:space="preserve">Matrix factorisation disagrees most and is wrong both times. </w:t>
      </w:r>
      <w:r>
        <w:rPr>
          <w:i w:val="0"/>
        </w:rPr>
        <w:t xml:space="preserve"> It alone put series and entertainment ahead of news for the heavy user, and films for the light one. iALS learns latent taste from a matrix whose mass is habitual viewing; asked to extrapolate twelve weeks forward it extrapolates taste, when the correct answer is habit. It is the clearest illustration in this comparison that taste and habit are different objects.</w:t>
      </w:r>
    </w:p>
    <w:p>
      <w:r>
        <w:rPr>
          <w:b/>
        </w:rPr>
        <w:t xml:space="preserve">Popularity already does well in the sparse tail </w:t>
      </w:r>
      <w:r>
        <w:rPr>
          <w:i w:val="0"/>
        </w:rPr>
        <w:t>, and not by understanding anyone: for a sparse user the target *is* the population mode.</w:t>
      </w:r>
    </w:p>
    <w:p>
      <w:r>
        <w:rPr>
          <w:b/>
        </w:rPr>
        <w:t xml:space="preserve">What the final ranker adds is ordering, not content. </w:t>
      </w:r>
      <w:r>
        <w:rPr>
          <w:i w:val="0"/>
        </w:rPr>
        <w:t xml:space="preserve"> For the heavy user it finds the same single correct programme as popularity and places it first instead of second, which is exactly what MAP@5 pays for. For the light user it finds three, two of them in the top two positions. Across all users that ordering effect is worth 0.43949 against 0.27387 for popularity: the ranker is not discovering different programmes, it is arranging the same ones better.</w:t>
      </w:r>
    </w:p>
    <w:p>
      <w:pPr>
        <w:pStyle w:val="Heading2"/>
      </w:pPr>
      <w:r>
        <w:rPr>
          <w:color w:val="000000"/>
        </w:rPr>
        <w:t>Why this strategy</w:t>
      </w:r>
    </w:p>
    <w:p>
      <w:r>
        <w:rPr>
          <w:b/>
        </w:rPr>
        <w:t xml:space="preserve">Validation. </w:t>
      </w:r>
      <w:r>
        <w:rPr>
          <w:i w:val="0"/>
        </w:rPr>
        <w:t xml:space="preserve"> Of the eleven alternatives tested after the target definition was corrected, ten were neutral or worse: expected-frequency features (−0.0024), two graded label encodings (−0.0021 and −0.0017), broadcast-history features (−0.0013), restricting candidates to programmes that actually air (−0.0014), expanding the pool with every programme on the user's three main channels (−0.0004), four capacity settings (all within ±0.0011), and a two-stage cascade re-ranking the top twenty (−0.0064). Exactly one change helped: aligning the training label to the organisers' own rule, worth +0.0079 on the hold-out and +0.00706 on Kaggle private.</w:t>
      </w:r>
    </w:p>
    <w:p>
      <w:r>
        <w:rPr>
          <w:b/>
        </w:rPr>
        <w:t xml:space="preserve">Cost. </w:t>
      </w:r>
      <w:r>
        <w:rPr>
          <w:i w:val="0"/>
        </w:rPr>
        <w:t xml:space="preserve"> One fit is about six minutes on an 8 GB laptop with no GPU; the shipped five-seed model takes forty. Scoring all 1 260 users means 174 092 candidate rows. A service refreshing recommendations nightly can run this on commodity hardware — and the heavier alternatives were not better: CatBoost YetiRank and DART both cost about 11.6× and both lost.</w:t>
      </w:r>
    </w:p>
    <w:p>
      <w:r>
        <w:rPr>
          <w:b/>
        </w:rPr>
        <w:t xml:space="preserve">User experience. </w:t>
      </w:r>
      <w:r>
        <w:rPr>
          <w:i w:val="0"/>
        </w:rPr>
        <w:t xml:space="preserve"> The honest description is that this system predicts habit. Recommending only programmes the user has already watched, weighted by how often they air, scores 0.37324 against the full model's 0.43949 — 85% of the result from repeats alone. A viewer shown these five would mostly see the news they already watch. Whether that makes a good product is not answerable from this data; it is what the metric rewards, and a service adopting it should adopt it knowing that.</w:t>
      </w:r>
    </w:p>
    <w:p>
      <w:pPr>
        <w:pStyle w:val="Heading2"/>
      </w:pPr>
      <w:r>
        <w:rPr>
          <w:color w:val="000000"/>
        </w:rPr>
        <w:t>Limitations</w:t>
      </w:r>
    </w:p>
    <w:p>
      <w:r>
        <w:rPr>
          <w:b/>
        </w:rPr>
        <w:t xml:space="preserve">Only 10.8% of the broadcast grid carries a programme id. </w:t>
      </w:r>
      <w:r>
        <w:rPr>
          <w:i w:val="0"/>
        </w:rPr>
        <w:t xml:space="preserve"> In weeks 11-20, 115 613 of 1 074 235 schedule rows have `tv_show_id != 0`. The rest is airtime that can be watched but never recommended. Every method compared here is choosing within a tenth of the schedule, by construction and not by a modelling choice that could be tuned away.</w:t>
      </w:r>
    </w:p>
    <w:p>
      <w:r>
        <w:rPr>
          <w:b/>
        </w:rPr>
        <w:t xml:space="preserve">Ranking, not retrieval, is the binding constraint — measured. </w:t>
      </w:r>
      <w:r>
        <w:rPr>
          <w:i w:val="0"/>
        </w:rPr>
        <w:t xml:space="preserve"> Perfect ordering of the candidates we already have would score 0.8181; the model scores 0.4395. Raising the ceiling to 0.8325 by adding every programme on each user's three main channels changed the score by −0.0004. The model cannot exploit candidates it already fails to order.</w:t>
      </w:r>
    </w:p>
    <w:p>
      <w:r>
        <w:rPr>
          <w:b/>
        </w:rPr>
        <w:t xml:space="preserve">17.1% of correct answers are not candidates at all </w:t>
      </w:r>
      <w:r>
        <w:rPr>
          <w:i w:val="0"/>
        </w:rPr>
        <w:t>, and 175 of them are premieres — programmes that had never aired before the target window. Candidates come from the user's history and from the popular list, and both require having aired, so a premiere is unreachable by construction.</w:t>
      </w:r>
    </w:p>
    <w:p>
      <w:r>
        <w:rPr>
          <w:b/>
        </w:rPr>
        <w:t xml:space="preserve">The validation target was wrong for two days of this work. </w:t>
      </w:r>
      <w:r>
        <w:rPr>
          <w:i w:val="0"/>
        </w:rPr>
        <w:t xml:space="preserve"> It counted every programme with a complete view as relevant (median 11 per user) rather than the five most frequent at screen time ≥ 0.8. Under that definition the hold-out read 0.5586 while Kaggle returned 0.43499; correcting it closed the gap to 0.003. Only measurements made afterwards are used here.</w:t>
      </w:r>
    </w:p>
    <w:p>
      <w:r>
        <w:rPr>
          <w:b/>
        </w:rPr>
        <w:t xml:space="preserve">One feature block leaked and was discarded. </w:t>
      </w:r>
      <w:r>
        <w:rPr>
          <w:i w:val="0"/>
        </w:rPr>
        <w:t xml:space="preserve"> An expected-frequency feature built channel preferences from the whole log instead of from history alone, so on the hold-out it could see the window it was predicting: +0.0272 there, −0.011 on Kaggle private. The honest version is worth −0.0024 and is not shipped.</w:t>
      </w:r>
    </w:p>
    <w:p>
      <w:r>
        <w:rPr>
          <w:b/>
        </w:rPr>
        <w:t xml:space="preserve">What this data cannot establish. </w:t>
      </w:r>
      <w:r>
        <w:rPr>
          <w:i w:val="0"/>
        </w:rPr>
        <w:t xml:space="preserve"> The log records this service only, so a programme absent from a user's history may have been watched elsewhere — "never seen" is not something these records can support. An unfamiliar recommendation is not automatically a useful discovery; it may simply be wrong. Both content-based lists in the table above were unfamiliar, and both scored zero.</w:t>
      </w:r>
    </w:p>
    <w:p>
      <w:pPr>
        <w:pStyle w:val="Heading1"/>
      </w:pPr>
      <w:r>
        <w:rPr>
          <w:color w:val="000000"/>
        </w:rPr>
        <w:t>6. AI Usage Disclosure</w:t>
      </w:r>
    </w:p>
    <w:p>
      <w:r>
        <w:rPr>
          <w:i w:val="0"/>
        </w:rPr>
        <w:t>The implementation, the experiments and the drafting of this report were carried out with Claude Code (Claude Opus 5) over three working sessions, in the manner the course permits. The complete session export is submitted alongside this PDF. Every number reported here is produced by a script in the repository; none is quoted from the assistant's recollection. Two errors found during the work are documented rather than removed, because they bound how much the earlier measurements can be trusted: the validation target was defined incorrectly for the first two days, and one feature block leaked future channel activity into the hold-out. Both are described in Section 5 and in BRIEF.md in the repository.</w:t>
      </w:r>
    </w:p>
    <w:p>
      <w:pPr>
        <w:pStyle w:val="Heading1"/>
      </w:pPr>
      <w:r>
        <w:rPr>
          <w:color w:val="000000"/>
        </w:rPr>
        <w:t>References</w:t>
      </w:r>
    </w:p>
    <w:p>
      <w:pPr>
        <w:spacing w:after="60"/>
      </w:pPr>
      <w:r>
        <w:rPr>
          <w:sz w:val="18"/>
        </w:rPr>
        <w:t>[1] sweet.tv — TV program recommender. Kaggle community competition. https://www.kaggle.com/competitions/sweettv-tv-program-recommender</w:t>
      </w:r>
    </w:p>
    <w:p>
      <w:pPr>
        <w:spacing w:after="60"/>
      </w:pPr>
      <w:r>
        <w:rPr>
          <w:sz w:val="18"/>
        </w:rPr>
        <w:t>[2] senkin13 and h4211819. 1st place solution, H&amp;M Personalized Fashion Recommendations, Kaggle, 2022.</w:t>
      </w:r>
    </w:p>
    <w:p>
      <w:pPr>
        <w:spacing w:after="60"/>
      </w:pPr>
      <w:r>
        <w:rPr>
          <w:sz w:val="18"/>
        </w:rPr>
        <w:t>[3] C. Deotte. Kaggle-OTTO-Comp, 3rd place solution. https://github.com/cdeotte/Kaggle-OTTO-Comp</w:t>
      </w:r>
    </w:p>
    <w:p>
      <w:pPr>
        <w:spacing w:after="60"/>
      </w:pPr>
      <w:r>
        <w:rPr>
          <w:sz w:val="18"/>
        </w:rPr>
        <w:t>[4] N. Vicol. otto-recommender: candidate sources with measured recall. https://github.com/nicolaivicol/otto-recommender</w:t>
      </w:r>
    </w:p>
    <w:p>
      <w:pPr>
        <w:spacing w:after="60"/>
      </w:pPr>
      <w:r>
        <w:rPr>
          <w:sz w:val="18"/>
        </w:rPr>
        <w:t>[5] Q. Wu et al. Adapting boosting for information retrieval measures. Information Retrieval 13(3), 2010 (LambdaMART).</w:t>
      </w:r>
    </w:p>
    <w:p>
      <w:pPr>
        <w:spacing w:after="60"/>
      </w:pPr>
      <w:r>
        <w:rPr>
          <w:sz w:val="18"/>
        </w:rPr>
        <w:t>[6] Y. Hu, Y. Koren, C. Volinsky. Collaborative filtering for implicit feedback datasets. ICDM 2008 (iALS).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