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E3A5F"/>
          <w:sz w:val="56"/>
          <w:szCs w:val="56"/>
        </w:rPr>
        <w:t xml:space="preserve">iKMC Sync</w:t>
      </w:r>
    </w:p>
    <w:p>
      <w:pPr>
        <w:spacing w:after="120" w:before="200"/>
        <w:jc w:val="center"/>
      </w:pPr>
      <w:r>
        <w:rPr>
          <w:b/>
          <w:bCs/>
          <w:color w:val="2563EB"/>
          <w:sz w:val="40"/>
          <w:szCs w:val="40"/>
        </w:rPr>
        <w:t xml:space="preserve">Developer Handbook</w:t>
      </w:r>
    </w:p>
    <w:p>
      <w:pPr>
        <w:spacing w:after="800"/>
        <w:jc w:val="center"/>
      </w:pPr>
      <w:r>
        <w:rPr>
          <w:i/>
          <w:iCs/>
          <w:color w:val="6B7280"/>
          <w:sz w:val="24"/>
          <w:szCs w:val="24"/>
        </w:rPr>
        <w:t xml:space="preserve">MSSQL to MySQL replication for the iKMC study — architecture, the driver change that reshaped it, and the conversions it depends on</w:t>
      </w:r>
    </w:p>
    <w:p>
      <w:pPr>
        <w:jc w:val="center"/>
      </w:pPr>
      <w:r>
        <w:rPr>
          <w:color w:val="6B7280"/>
          <w:sz w:val="20"/>
          <w:szCs w:val="20"/>
        </w:rPr>
        <w:t xml:space="preserve">Version 1 • 6 September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What It Is</w:t>
      </w:r>
    </w:p>
    <w:p>
      <w:pPr>
        <w:spacing w:after="160"/>
      </w:pPr>
      <w:r>
        <w:t xml:space="preserve">sync.php copies four tables from the iKMC study's Microsoft SQL Server into a local MySQL database, where the CEL Reporting Platform reads them. It is a one-way replication: MSSQL is authoritative, MySQL is a reporting copy, and nothing writes 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tblHeader/>
        </w:trPr>
        <w:tc>
          <w:tcPr>
            <w:tcW w:type="pct" w:w="16%"/>
            <w:shd w:fill="1E3A5F" w:val="clear"/>
            <w:tcMar>
              <w:top w:type="dxa" w:w="80"/>
              <w:left w:type="dxa" w:w="100"/>
              <w:bottom w:type="dxa" w:w="80"/>
              <w:right w:type="dxa" w:w="100"/>
            </w:tcMar>
            <w:vAlign w:val="center"/>
          </w:tcPr>
          <w:p>
            <w:r>
              <w:rPr>
                <w:b/>
                <w:bCs/>
                <w:color w:val="FFFFFF"/>
                <w:sz w:val="20"/>
                <w:szCs w:val="20"/>
              </w:rPr>
              <w:t xml:space="preserve">Aspect</w:t>
            </w:r>
          </w:p>
        </w:tc>
        <w:tc>
          <w:tcPr>
            <w:tcW w:type="pct" w:w="84%"/>
            <w:shd w:fill="1E3A5F" w:val="clear"/>
            <w:tcMar>
              <w:top w:type="dxa" w:w="80"/>
              <w:left w:type="dxa" w:w="100"/>
              <w:bottom w:type="dxa" w:w="80"/>
              <w:right w:type="dxa" w:w="100"/>
            </w:tcMar>
            <w:vAlign w:val="center"/>
          </w:tcPr>
          <w:p>
            <w:r>
              <w:rPr>
                <w:b/>
                <w:bCs/>
                <w:color w:val="FFFFFF"/>
                <w:sz w:val="20"/>
                <w:szCs w:val="20"/>
              </w:rPr>
              <w:t xml:space="preserve">Detail</w:t>
            </w:r>
          </w:p>
        </w:tc>
      </w:tr>
      <w:tr>
        <w:tc>
          <w:tcPr>
            <w:tcW w:type="pct" w:w="16%"/>
            <w:tcMar>
              <w:top w:type="dxa" w:w="70"/>
              <w:left w:type="dxa" w:w="100"/>
              <w:bottom w:type="dxa" w:w="70"/>
              <w:right w:type="dxa" w:w="100"/>
            </w:tcMar>
            <w:vAlign w:val="center"/>
          </w:tcPr>
          <w:p>
            <w:r>
              <w:rPr>
                <w:sz w:val="20"/>
                <w:szCs w:val="20"/>
              </w:rPr>
              <w:t xml:space="preserve">Entry point</w:t>
            </w:r>
          </w:p>
        </w:tc>
        <w:tc>
          <w:tcPr>
            <w:tcW w:type="pct" w:w="84%"/>
            <w:tcMar>
              <w:top w:type="dxa" w:w="70"/>
              <w:left w:type="dxa" w:w="100"/>
              <w:bottom w:type="dxa" w:w="70"/>
              <w:right w:type="dxa" w:w="100"/>
            </w:tcMar>
            <w:vAlign w:val="center"/>
          </w:tcPr>
          <w:p>
            <w:r>
              <w:rPr>
                <w:sz w:val="20"/>
                <w:szCs w:val="20"/>
              </w:rPr>
              <w:t xml:space="preserve">projects/iKMC/sync.php, run from the command line or cron. Not reachable over the web.</w:t>
            </w:r>
          </w:p>
        </w:tc>
      </w:tr>
      <w:tr>
        <w:tc>
          <w:tcPr>
            <w:tcW w:type="pct" w:w="16%"/>
            <w:shd w:fill="F1F5F9" w:val="clear"/>
            <w:tcMar>
              <w:top w:type="dxa" w:w="70"/>
              <w:left w:type="dxa" w:w="100"/>
              <w:bottom w:type="dxa" w:w="70"/>
              <w:right w:type="dxa" w:w="100"/>
            </w:tcMar>
            <w:vAlign w:val="center"/>
          </w:tcPr>
          <w:p>
            <w:r>
              <w:rPr>
                <w:sz w:val="20"/>
                <w:szCs w:val="20"/>
              </w:rPr>
              <w:t xml:space="preserve">Core class</w:t>
            </w:r>
          </w:p>
        </w:tc>
        <w:tc>
          <w:tcPr>
            <w:tcW w:type="pct" w:w="84%"/>
            <w:shd w:fill="F1F5F9" w:val="clear"/>
            <w:tcMar>
              <w:top w:type="dxa" w:w="70"/>
              <w:left w:type="dxa" w:w="100"/>
              <w:bottom w:type="dxa" w:w="70"/>
              <w:right w:type="dxa" w:w="100"/>
            </w:tcMar>
            <w:vAlign w:val="center"/>
          </w:tcPr>
          <w:p>
            <w:r>
              <w:rPr>
                <w:sz w:val="20"/>
                <w:szCs w:val="20"/>
              </w:rPr>
              <w:t xml:space="preserve">projects/iKMC/Sync/MssqlSyncClient.php — connection, column detection, chunked fetch, upsert.</w:t>
            </w:r>
          </w:p>
        </w:tc>
      </w:tr>
      <w:tr>
        <w:tc>
          <w:tcPr>
            <w:tcW w:type="pct" w:w="16%"/>
            <w:tcMar>
              <w:top w:type="dxa" w:w="70"/>
              <w:left w:type="dxa" w:w="100"/>
              <w:bottom w:type="dxa" w:w="70"/>
              <w:right w:type="dxa" w:w="100"/>
            </w:tcMar>
            <w:vAlign w:val="center"/>
          </w:tcPr>
          <w:p>
            <w:r>
              <w:rPr>
                <w:sz w:val="20"/>
                <w:szCs w:val="20"/>
              </w:rPr>
              <w:t xml:space="preserve">Logging</w:t>
            </w:r>
          </w:p>
        </w:tc>
        <w:tc>
          <w:tcPr>
            <w:tcW w:type="pct" w:w="84%"/>
            <w:tcMar>
              <w:top w:type="dxa" w:w="70"/>
              <w:left w:type="dxa" w:w="100"/>
              <w:bottom w:type="dxa" w:w="70"/>
              <w:right w:type="dxa" w:w="100"/>
            </w:tcMar>
            <w:vAlign w:val="center"/>
          </w:tcPr>
          <w:p>
            <w:r>
              <w:rPr>
                <w:sz w:val="20"/>
                <w:szCs w:val="20"/>
              </w:rPr>
              <w:t xml:space="preserve">projects/iKMC/Sync/Logger.php. Note this is the iKMC project's own logger and is unrelated to the unused CEL\Shared\Support\Logger, which was deleted during the September migration.</w:t>
            </w:r>
          </w:p>
        </w:tc>
      </w:tr>
      <w:tr>
        <w:tc>
          <w:tcPr>
            <w:tcW w:type="pct" w:w="16%"/>
            <w:shd w:fill="F1F5F9" w:val="clear"/>
            <w:tcMar>
              <w:top w:type="dxa" w:w="70"/>
              <w:left w:type="dxa" w:w="100"/>
              <w:bottom w:type="dxa" w:w="70"/>
              <w:right w:type="dxa" w:w="100"/>
            </w:tcMar>
            <w:vAlign w:val="center"/>
          </w:tcPr>
          <w:p>
            <w:r>
              <w:rPr>
                <w:sz w:val="20"/>
                <w:szCs w:val="20"/>
              </w:rPr>
              <w:t xml:space="preserve">Source</w:t>
            </w:r>
          </w:p>
        </w:tc>
        <w:tc>
          <w:tcPr>
            <w:tcW w:type="pct" w:w="84%"/>
            <w:shd w:fill="F1F5F9" w:val="clear"/>
            <w:tcMar>
              <w:top w:type="dxa" w:w="70"/>
              <w:left w:type="dxa" w:w="100"/>
              <w:bottom w:type="dxa" w:w="70"/>
              <w:right w:type="dxa" w:w="100"/>
            </w:tcMar>
            <w:vAlign w:val="center"/>
          </w:tcPr>
          <w:p>
            <w:r>
              <w:rPr>
                <w:sz w:val="20"/>
                <w:szCs w:val="20"/>
              </w:rPr>
              <w:t xml:space="preserve">MSSQL, database ikmc. Four tables: dbo.eligibility, dbo.mb_registration, dbo.daily_care, dbo.discharge.</w:t>
            </w:r>
          </w:p>
        </w:tc>
      </w:tr>
      <w:tr>
        <w:tc>
          <w:tcPr>
            <w:tcW w:type="pct" w:w="16%"/>
            <w:tcMar>
              <w:top w:type="dxa" w:w="70"/>
              <w:left w:type="dxa" w:w="100"/>
              <w:bottom w:type="dxa" w:w="70"/>
              <w:right w:type="dxa" w:w="100"/>
            </w:tcMar>
            <w:vAlign w:val="center"/>
          </w:tcPr>
          <w:p>
            <w:r>
              <w:rPr>
                <w:sz w:val="20"/>
                <w:szCs w:val="20"/>
              </w:rPr>
              <w:t xml:space="preserve">Target</w:t>
            </w:r>
          </w:p>
        </w:tc>
        <w:tc>
          <w:tcPr>
            <w:tcW w:type="pct" w:w="84%"/>
            <w:tcMar>
              <w:top w:type="dxa" w:w="70"/>
              <w:left w:type="dxa" w:w="100"/>
              <w:bottom w:type="dxa" w:w="70"/>
              <w:right w:type="dxa" w:w="100"/>
            </w:tcMar>
            <w:vAlign w:val="center"/>
          </w:tcPr>
          <w:p>
            <w:r>
              <w:rPr>
                <w:sz w:val="20"/>
                <w:szCs w:val="20"/>
              </w:rPr>
              <w:t xml:space="preserve">MySQL iKMC_ver2_Raw on localhost, tables iKMCv2_EligibilityRegistration, iKMCv2_MotherBabyRegistration, iKMCv2_DailyCareTracking, iKMCv2_Discharge.</w:t>
            </w:r>
          </w:p>
        </w:tc>
      </w:tr>
      <w:tr>
        <w:tc>
          <w:tcPr>
            <w:tcW w:type="pct" w:w="16%"/>
            <w:shd w:fill="F1F5F9" w:val="clear"/>
            <w:tcMar>
              <w:top w:type="dxa" w:w="70"/>
              <w:left w:type="dxa" w:w="100"/>
              <w:bottom w:type="dxa" w:w="70"/>
              <w:right w:type="dxa" w:w="100"/>
            </w:tcMar>
            <w:vAlign w:val="center"/>
          </w:tcPr>
          <w:p>
            <w:r>
              <w:rPr>
                <w:sz w:val="20"/>
                <w:szCs w:val="20"/>
              </w:rPr>
              <w:t xml:space="preserve">Mode</w:t>
            </w:r>
          </w:p>
        </w:tc>
        <w:tc>
          <w:tcPr>
            <w:tcW w:type="pct" w:w="84%"/>
            <w:shd w:fill="F1F5F9" w:val="clear"/>
            <w:tcMar>
              <w:top w:type="dxa" w:w="70"/>
              <w:left w:type="dxa" w:w="100"/>
              <w:bottom w:type="dxa" w:w="70"/>
              <w:right w:type="dxa" w:w="100"/>
            </w:tcMar>
            <w:vAlign w:val="center"/>
          </w:tcPr>
          <w:p>
            <w:r>
              <w:rPr>
                <w:sz w:val="20"/>
                <w:szCs w:val="20"/>
              </w:rPr>
              <w:t xml:space="preserve">Upsert, keyed on the table's primary key. Re-running is safe and idempotent.</w:t>
            </w:r>
          </w:p>
        </w:tc>
      </w:tr>
      <w:tr>
        <w:tc>
          <w:tcPr>
            <w:tcW w:type="pct" w:w="16%"/>
            <w:tcMar>
              <w:top w:type="dxa" w:w="70"/>
              <w:left w:type="dxa" w:w="100"/>
              <w:bottom w:type="dxa" w:w="70"/>
              <w:right w:type="dxa" w:w="100"/>
            </w:tcMar>
            <w:vAlign w:val="center"/>
          </w:tcPr>
          <w:p>
            <w:r>
              <w:rPr>
                <w:sz w:val="20"/>
                <w:szCs w:val="20"/>
              </w:rPr>
              <w:t xml:space="preserve">Volume</w:t>
            </w:r>
          </w:p>
        </w:tc>
        <w:tc>
          <w:tcPr>
            <w:tcW w:type="pct" w:w="84%"/>
            <w:tcMar>
              <w:top w:type="dxa" w:w="70"/>
              <w:left w:type="dxa" w:w="100"/>
              <w:bottom w:type="dxa" w:w="70"/>
              <w:right w:type="dxa" w:w="100"/>
            </w:tcMar>
            <w:vAlign w:val="center"/>
          </w:tcPr>
          <w:p>
            <w:r>
              <w:rPr>
                <w:sz w:val="20"/>
                <w:szCs w:val="20"/>
              </w:rPr>
              <w:t xml:space="preserve">Roughly 12,000 rows across the four tables, completing in about eight seconds.</w:t>
            </w:r>
          </w:p>
        </w:tc>
      </w:tr>
    </w:tbl>
    <w:p>
      <w:pPr>
        <w:pBdr>
          <w:left w:val="single" w:color="2563EB" w:sz="18" w:space="8"/>
        </w:pBdr>
        <w:spacing w:after="200" w:before="120"/>
        <w:ind w:left="360"/>
      </w:pPr>
      <w:r>
        <w:rPr>
          <w:b/>
          <w:bCs/>
          <w:color w:val="2563EB"/>
        </w:rPr>
        <w:t xml:space="preserve">Where it runs: </w:t>
      </w:r>
      <w:r>
        <w:t xml:space="preserve">Production, since September 2026. It previously ran on the development machine, which stopped working when that machine was upgraded to Ubuntu 26 and lost its MSSQL driver. Production is also the better home for it: the development laptop has no static address, so the MSSQL firewall cannot express a rule for it, and a scheduled job on a laptop only runs when the laptop happens to be on.</w:t>
      </w:r>
    </w:p>
    <w:p>
      <w:pPr>
        <w:pStyle w:val="Heading1"/>
        <w:spacing w:after="160" w:before="360"/>
      </w:pPr>
      <w:r>
        <w:t xml:space="preserve">2. Configuration</w:t>
      </w:r>
    </w:p>
    <w:p>
      <w:pPr>
        <w:spacing w:after="160"/>
      </w:pPr>
      <w:r>
        <w:t xml:space="preserve">sync_config.php holds the source and destination credentials. It is deliberately untracked — see §6 — and ships alongside sync_config.php.example, which carries the same structure with placeholders. A fresh deployment copies the example and fills it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tblHeader/>
        </w:trPr>
        <w:tc>
          <w:tcPr>
            <w:tcW w:type="pct" w:w="24%"/>
            <w:shd w:fill="1E3A5F" w:val="clear"/>
            <w:tcMar>
              <w:top w:type="dxa" w:w="80"/>
              <w:left w:type="dxa" w:w="100"/>
              <w:bottom w:type="dxa" w:w="80"/>
              <w:right w:type="dxa" w:w="100"/>
            </w:tcMar>
            <w:vAlign w:val="center"/>
          </w:tcPr>
          <w:p>
            <w:r>
              <w:rPr>
                <w:b/>
                <w:bCs/>
                <w:color w:val="FFFFFF"/>
                <w:sz w:val="20"/>
                <w:szCs w:val="20"/>
              </w:rPr>
              <w:t xml:space="preserve">Key</w:t>
            </w:r>
          </w:p>
        </w:tc>
        <w:tc>
          <w:tcPr>
            <w:tcW w:type="pct" w:w="76%"/>
            <w:shd w:fill="1E3A5F" w:val="clear"/>
            <w:tcMar>
              <w:top w:type="dxa" w:w="80"/>
              <w:left w:type="dxa" w:w="100"/>
              <w:bottom w:type="dxa" w:w="80"/>
              <w:right w:type="dxa" w:w="100"/>
            </w:tcMar>
            <w:vAlign w:val="center"/>
          </w:tcPr>
          <w:p>
            <w:r>
              <w:rPr>
                <w:b/>
                <w:bCs/>
                <w:color w:val="FFFFFF"/>
                <w:sz w:val="20"/>
                <w:szCs w:val="20"/>
              </w:rPr>
              <w:t xml:space="preserve">Value</w:t>
            </w:r>
          </w:p>
        </w:tc>
      </w:tr>
      <w:tr>
        <w:tc>
          <w:tcPr>
            <w:tcW w:type="pct" w:w="24%"/>
            <w:tcMar>
              <w:top w:type="dxa" w:w="70"/>
              <w:left w:type="dxa" w:w="100"/>
              <w:bottom w:type="dxa" w:w="70"/>
              <w:right w:type="dxa" w:w="100"/>
            </w:tcMar>
            <w:vAlign w:val="center"/>
          </w:tcPr>
          <w:p>
            <w:r>
              <w:rPr>
                <w:sz w:val="20"/>
                <w:szCs w:val="20"/>
              </w:rPr>
              <w:t xml:space="preserve">mssql.dsn</w:t>
            </w:r>
          </w:p>
        </w:tc>
        <w:tc>
          <w:tcPr>
            <w:tcW w:type="pct" w:w="76%"/>
            <w:tcMar>
              <w:top w:type="dxa" w:w="70"/>
              <w:left w:type="dxa" w:w="100"/>
              <w:bottom w:type="dxa" w:w="70"/>
              <w:right w:type="dxa" w:w="100"/>
            </w:tcMar>
            <w:vAlign w:val="center"/>
          </w:tcPr>
          <w:p>
            <w:r>
              <w:rPr>
                <w:sz w:val="20"/>
                <w:szCs w:val="20"/>
              </w:rPr>
              <w:t xml:space="preserve">dblib:host=&lt;server&gt;:1433;dbname=ikmc — see §3 for why this is not the sqlsrv form.</w:t>
            </w:r>
          </w:p>
        </w:tc>
      </w:tr>
      <w:tr>
        <w:tc>
          <w:tcPr>
            <w:tcW w:type="pct" w:w="24%"/>
            <w:shd w:fill="F1F5F9" w:val="clear"/>
            <w:tcMar>
              <w:top w:type="dxa" w:w="70"/>
              <w:left w:type="dxa" w:w="100"/>
              <w:bottom w:type="dxa" w:w="70"/>
              <w:right w:type="dxa" w:w="100"/>
            </w:tcMar>
            <w:vAlign w:val="center"/>
          </w:tcPr>
          <w:p>
            <w:r>
              <w:rPr>
                <w:sz w:val="20"/>
                <w:szCs w:val="20"/>
              </w:rPr>
              <w:t xml:space="preserve">mssql.user / password</w:t>
            </w:r>
          </w:p>
        </w:tc>
        <w:tc>
          <w:tcPr>
            <w:tcW w:type="pct" w:w="76%"/>
            <w:shd w:fill="F1F5F9" w:val="clear"/>
            <w:tcMar>
              <w:top w:type="dxa" w:w="70"/>
              <w:left w:type="dxa" w:w="100"/>
              <w:bottom w:type="dxa" w:w="70"/>
              <w:right w:type="dxa" w:w="100"/>
            </w:tcMar>
            <w:vAlign w:val="center"/>
          </w:tcPr>
          <w:p>
            <w:r>
              <w:rPr>
                <w:sz w:val="20"/>
                <w:szCs w:val="20"/>
              </w:rPr>
              <w:t xml:space="preserve">The MSSQL login. Read-only access is sufficient.</w:t>
            </w:r>
          </w:p>
        </w:tc>
      </w:tr>
      <w:tr>
        <w:tc>
          <w:tcPr>
            <w:tcW w:type="pct" w:w="24%"/>
            <w:tcMar>
              <w:top w:type="dxa" w:w="70"/>
              <w:left w:type="dxa" w:w="100"/>
              <w:bottom w:type="dxa" w:w="70"/>
              <w:right w:type="dxa" w:w="100"/>
            </w:tcMar>
            <w:vAlign w:val="center"/>
          </w:tcPr>
          <w:p>
            <w:r>
              <w:rPr>
                <w:sz w:val="20"/>
                <w:szCs w:val="20"/>
              </w:rPr>
              <w:t xml:space="preserve">mysql.dsn</w:t>
            </w:r>
          </w:p>
        </w:tc>
        <w:tc>
          <w:tcPr>
            <w:tcW w:type="pct" w:w="76%"/>
            <w:tcMar>
              <w:top w:type="dxa" w:w="70"/>
              <w:left w:type="dxa" w:w="100"/>
              <w:bottom w:type="dxa" w:w="70"/>
              <w:right w:type="dxa" w:w="100"/>
            </w:tcMar>
            <w:vAlign w:val="center"/>
          </w:tcPr>
          <w:p>
            <w:r>
              <w:rPr>
                <w:sz w:val="20"/>
                <w:szCs w:val="20"/>
              </w:rPr>
              <w:t xml:space="preserve">mysql:host=localhost;dbname=iKMC_ver2_Raw;charset=utf8mb4</w:t>
            </w:r>
          </w:p>
        </w:tc>
      </w:tr>
      <w:tr>
        <w:tc>
          <w:tcPr>
            <w:tcW w:type="pct" w:w="24%"/>
            <w:shd w:fill="F1F5F9" w:val="clear"/>
            <w:tcMar>
              <w:top w:type="dxa" w:w="70"/>
              <w:left w:type="dxa" w:w="100"/>
              <w:bottom w:type="dxa" w:w="70"/>
              <w:right w:type="dxa" w:w="100"/>
            </w:tcMar>
            <w:vAlign w:val="center"/>
          </w:tcPr>
          <w:p>
            <w:r>
              <w:rPr>
                <w:sz w:val="20"/>
                <w:szCs w:val="20"/>
              </w:rPr>
              <w:t xml:space="preserve">mysql.user / password</w:t>
            </w:r>
          </w:p>
        </w:tc>
        <w:tc>
          <w:tcPr>
            <w:tcW w:type="pct" w:w="76%"/>
            <w:shd w:fill="F1F5F9" w:val="clear"/>
            <w:tcMar>
              <w:top w:type="dxa" w:w="70"/>
              <w:left w:type="dxa" w:w="100"/>
              <w:bottom w:type="dxa" w:w="70"/>
              <w:right w:type="dxa" w:w="100"/>
            </w:tcMar>
            <w:vAlign w:val="center"/>
          </w:tcPr>
          <w:p>
            <w:r>
              <w:rPr>
                <w:sz w:val="20"/>
                <w:szCs w:val="20"/>
              </w:rPr>
              <w:t xml:space="preserve">Needs INSERT and UPDATE on the four target tables.</w:t>
            </w:r>
          </w:p>
        </w:tc>
      </w:tr>
    </w:tbl>
    <w:p>
      <w:pPr>
        <w:pBdr>
          <w:left w:val="single" w:color="2563EB" w:sz="18" w:space="8"/>
        </w:pBdr>
        <w:spacing w:after="200" w:before="120"/>
        <w:ind w:left="360"/>
      </w:pPr>
      <w:r>
        <w:rPr>
          <w:b/>
          <w:bCs/>
          <w:color w:val="2563EB"/>
        </w:rPr>
        <w:t xml:space="preserve">Verify the destination before every first run on a new machine: </w:t>
      </w:r>
      <w:r>
        <w:t xml:space="preserve">The MySQL DSN says localhost, so it silently follows whichever machine the file sits on. That is the desired behaviour, and it is also how a development test could write into a production database if the file were copied carelessly. Read the mysql.dsn line before running the sync anywhere new.</w:t>
      </w:r>
    </w:p>
    <w:p>
      <w:pPr>
        <w:pStyle w:val="Heading1"/>
        <w:spacing w:after="160" w:before="360"/>
      </w:pPr>
      <w:r>
        <w:t xml:space="preserve">3. The Driver Change — the Central Fact</w:t>
      </w:r>
    </w:p>
    <w:p>
      <w:pPr>
        <w:spacing w:after="160"/>
      </w:pPr>
      <w:r>
        <w:t xml:space="preserve">This section explains most of the code that follows. The sync originally used pdo_sqlsrv, Microsoft's own driver. It now uses FreeTDS (pdo_dblib), and that single change altered how several column types arrive in PHP — with no change to the query, the schema, or the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pct" w:w="20%"/>
            <w:shd w:fill="1E3A5F" w:val="clear"/>
            <w:tcMar>
              <w:top w:type="dxa" w:w="80"/>
              <w:left w:type="dxa" w:w="100"/>
              <w:bottom w:type="dxa" w:w="80"/>
              <w:right w:type="dxa" w:w="100"/>
            </w:tcMar>
            <w:vAlign w:val="center"/>
          </w:tcPr>
          <w:p>
            <w:r>
              <w:rPr>
                <w:b/>
                <w:bCs/>
                <w:color w:val="FFFFFF"/>
                <w:sz w:val="20"/>
                <w:szCs w:val="20"/>
              </w:rPr>
              <w:t xml:space="preserve">Consideration</w:t>
            </w:r>
          </w:p>
        </w:tc>
        <w:tc>
          <w:tcPr>
            <w:tcW w:type="pct" w:w="40%"/>
            <w:shd w:fill="1E3A5F" w:val="clear"/>
            <w:tcMar>
              <w:top w:type="dxa" w:w="80"/>
              <w:left w:type="dxa" w:w="100"/>
              <w:bottom w:type="dxa" w:w="80"/>
              <w:right w:type="dxa" w:w="100"/>
            </w:tcMar>
            <w:vAlign w:val="center"/>
          </w:tcPr>
          <w:p>
            <w:r>
              <w:rPr>
                <w:b/>
                <w:bCs/>
                <w:color w:val="FFFFFF"/>
                <w:sz w:val="20"/>
                <w:szCs w:val="20"/>
              </w:rPr>
              <w:t xml:space="preserve">pdo_sqlsrv</w:t>
            </w:r>
          </w:p>
        </w:tc>
        <w:tc>
          <w:tcPr>
            <w:tcW w:type="pct" w:w="40%"/>
            <w:shd w:fill="1E3A5F" w:val="clear"/>
            <w:tcMar>
              <w:top w:type="dxa" w:w="80"/>
              <w:left w:type="dxa" w:w="100"/>
              <w:bottom w:type="dxa" w:w="80"/>
              <w:right w:type="dxa" w:w="100"/>
            </w:tcMar>
            <w:vAlign w:val="center"/>
          </w:tcPr>
          <w:p>
            <w:r>
              <w:rPr>
                <w:b/>
                <w:bCs/>
                <w:color w:val="FFFFFF"/>
                <w:sz w:val="20"/>
                <w:szCs w:val="20"/>
              </w:rPr>
              <w:t xml:space="preserve">FreeTDS (pdo_dblib)</w:t>
            </w:r>
          </w:p>
        </w:tc>
      </w:tr>
      <w:tr>
        <w:tc>
          <w:tcPr>
            <w:tcW w:type="pct" w:w="20%"/>
            <w:tcMar>
              <w:top w:type="dxa" w:w="70"/>
              <w:left w:type="dxa" w:w="100"/>
              <w:bottom w:type="dxa" w:w="70"/>
              <w:right w:type="dxa" w:w="100"/>
            </w:tcMar>
            <w:vAlign w:val="center"/>
          </w:tcPr>
          <w:p>
            <w:r>
              <w:rPr>
                <w:sz w:val="20"/>
                <w:szCs w:val="20"/>
              </w:rPr>
              <w:t xml:space="preserve">Installation</w:t>
            </w:r>
          </w:p>
        </w:tc>
        <w:tc>
          <w:tcPr>
            <w:tcW w:type="pct" w:w="40%"/>
            <w:tcMar>
              <w:top w:type="dxa" w:w="70"/>
              <w:left w:type="dxa" w:w="100"/>
              <w:bottom w:type="dxa" w:w="70"/>
              <w:right w:type="dxa" w:w="100"/>
            </w:tcMar>
            <w:vAlign w:val="center"/>
          </w:tcPr>
          <w:p>
            <w:r>
              <w:rPr>
                <w:sz w:val="20"/>
                <w:szCs w:val="20"/>
              </w:rPr>
              <w:t xml:space="preserve">Microsoft APT repository plus a PECL build of two extensions.</w:t>
            </w:r>
          </w:p>
        </w:tc>
        <w:tc>
          <w:tcPr>
            <w:tcW w:type="pct" w:w="40%"/>
            <w:tcMar>
              <w:top w:type="dxa" w:w="70"/>
              <w:left w:type="dxa" w:w="100"/>
              <w:bottom w:type="dxa" w:w="70"/>
              <w:right w:type="dxa" w:w="100"/>
            </w:tcMar>
            <w:vAlign w:val="center"/>
          </w:tcPr>
          <w:p>
            <w:r>
              <w:rPr>
                <w:sz w:val="20"/>
                <w:szCs w:val="20"/>
              </w:rPr>
              <w:t xml:space="preserve">php&lt;version&gt;-sybase, from Ubuntu's own repository. One package.</w:t>
            </w:r>
          </w:p>
        </w:tc>
      </w:tr>
      <w:tr>
        <w:tc>
          <w:tcPr>
            <w:tcW w:type="pct" w:w="20%"/>
            <w:shd w:fill="F1F5F9" w:val="clear"/>
            <w:tcMar>
              <w:top w:type="dxa" w:w="70"/>
              <w:left w:type="dxa" w:w="100"/>
              <w:bottom w:type="dxa" w:w="70"/>
              <w:right w:type="dxa" w:w="100"/>
            </w:tcMar>
            <w:vAlign w:val="center"/>
          </w:tcPr>
          <w:p>
            <w:r>
              <w:rPr>
                <w:sz w:val="20"/>
                <w:szCs w:val="20"/>
              </w:rPr>
              <w:t xml:space="preserve">Availability</w:t>
            </w:r>
          </w:p>
        </w:tc>
        <w:tc>
          <w:tcPr>
            <w:tcW w:type="pct" w:w="40%"/>
            <w:shd w:fill="F1F5F9" w:val="clear"/>
            <w:tcMar>
              <w:top w:type="dxa" w:w="70"/>
              <w:left w:type="dxa" w:w="100"/>
              <w:bottom w:type="dxa" w:w="70"/>
              <w:right w:type="dxa" w:w="100"/>
            </w:tcMar>
            <w:vAlign w:val="center"/>
          </w:tcPr>
          <w:p>
            <w:r>
              <w:rPr>
                <w:sz w:val="20"/>
                <w:szCs w:val="20"/>
              </w:rPr>
              <w:t xml:space="preserve">Broke on the Ubuntu 26 upgrade and was not straightforward to restore.</w:t>
            </w:r>
          </w:p>
        </w:tc>
        <w:tc>
          <w:tcPr>
            <w:tcW w:type="pct" w:w="40%"/>
            <w:shd w:fill="F1F5F9" w:val="clear"/>
            <w:tcMar>
              <w:top w:type="dxa" w:w="70"/>
              <w:left w:type="dxa" w:w="100"/>
              <w:bottom w:type="dxa" w:w="70"/>
              <w:right w:type="dxa" w:w="100"/>
            </w:tcMar>
            <w:vAlign w:val="center"/>
          </w:tcPr>
          <w:p>
            <w:r>
              <w:rPr>
                <w:sz w:val="20"/>
                <w:szCs w:val="20"/>
              </w:rPr>
              <w:t xml:space="preserve">Present on both Ubuntu 22.04 and 26.</w:t>
            </w:r>
          </w:p>
        </w:tc>
      </w:tr>
      <w:tr>
        <w:tc>
          <w:tcPr>
            <w:tcW w:type="pct" w:w="20%"/>
            <w:tcMar>
              <w:top w:type="dxa" w:w="70"/>
              <w:left w:type="dxa" w:w="100"/>
              <w:bottom w:type="dxa" w:w="70"/>
              <w:right w:type="dxa" w:w="100"/>
            </w:tcMar>
            <w:vAlign w:val="center"/>
          </w:tcPr>
          <w:p>
            <w:r>
              <w:rPr>
                <w:sz w:val="20"/>
                <w:szCs w:val="20"/>
              </w:rPr>
              <w:t xml:space="preserve">uniqueidentifier</w:t>
            </w:r>
          </w:p>
        </w:tc>
        <w:tc>
          <w:tcPr>
            <w:tcW w:type="pct" w:w="40%"/>
            <w:tcMar>
              <w:top w:type="dxa" w:w="70"/>
              <w:left w:type="dxa" w:w="100"/>
              <w:bottom w:type="dxa" w:w="70"/>
              <w:right w:type="dxa" w:w="100"/>
            </w:tcMar>
            <w:vAlign w:val="center"/>
          </w:tcPr>
          <w:p>
            <w:r>
              <w:rPr>
                <w:sz w:val="20"/>
                <w:szCs w:val="20"/>
              </w:rPr>
              <w:t xml:space="preserve">Returned as a formatted 36-character GUID string.</w:t>
            </w:r>
          </w:p>
        </w:tc>
        <w:tc>
          <w:tcPr>
            <w:tcW w:type="pct" w:w="40%"/>
            <w:tcMar>
              <w:top w:type="dxa" w:w="70"/>
              <w:left w:type="dxa" w:w="100"/>
              <w:bottom w:type="dxa" w:w="70"/>
              <w:right w:type="dxa" w:w="100"/>
            </w:tcMar>
            <w:vAlign w:val="center"/>
          </w:tcPr>
          <w:p>
            <w:r>
              <w:rPr>
                <w:sz w:val="20"/>
                <w:szCs w:val="20"/>
              </w:rPr>
              <w:t xml:space="preserve">Returned as 16 raw bytes.</w:t>
            </w:r>
          </w:p>
        </w:tc>
      </w:tr>
      <w:tr>
        <w:tc>
          <w:tcPr>
            <w:tcW w:type="pct" w:w="20%"/>
            <w:shd w:fill="F1F5F9" w:val="clear"/>
            <w:tcMar>
              <w:top w:type="dxa" w:w="70"/>
              <w:left w:type="dxa" w:w="100"/>
              <w:bottom w:type="dxa" w:w="70"/>
              <w:right w:type="dxa" w:w="100"/>
            </w:tcMar>
            <w:vAlign w:val="center"/>
          </w:tcPr>
          <w:p>
            <w:r>
              <w:rPr>
                <w:sz w:val="20"/>
                <w:szCs w:val="20"/>
              </w:rPr>
              <w:t xml:space="preserve">date / time / datetime</w:t>
            </w:r>
          </w:p>
        </w:tc>
        <w:tc>
          <w:tcPr>
            <w:tcW w:type="pct" w:w="40%"/>
            <w:shd w:fill="F1F5F9" w:val="clear"/>
            <w:tcMar>
              <w:top w:type="dxa" w:w="70"/>
              <w:left w:type="dxa" w:w="100"/>
              <w:bottom w:type="dxa" w:w="70"/>
              <w:right w:type="dxa" w:w="100"/>
            </w:tcMar>
            <w:vAlign w:val="center"/>
          </w:tcPr>
          <w:p>
            <w:r>
              <w:rPr>
                <w:sz w:val="20"/>
                <w:szCs w:val="20"/>
              </w:rPr>
              <w:t xml:space="preserve">Returned in ISO form, which MySQL accepts.</w:t>
            </w:r>
          </w:p>
        </w:tc>
        <w:tc>
          <w:tcPr>
            <w:tcW w:type="pct" w:w="40%"/>
            <w:shd w:fill="F1F5F9" w:val="clear"/>
            <w:tcMar>
              <w:top w:type="dxa" w:w="70"/>
              <w:left w:type="dxa" w:w="100"/>
              <w:bottom w:type="dxa" w:w="70"/>
              <w:right w:type="dxa" w:w="100"/>
            </w:tcMar>
            <w:vAlign w:val="center"/>
          </w:tcPr>
          <w:p>
            <w:r>
              <w:rPr>
                <w:sz w:val="20"/>
                <w:szCs w:val="20"/>
              </w:rPr>
              <w:t xml:space="preserve">Returned in Sybase's default format, e.g. Dec 17 2025 12:00:00:AM.</w:t>
            </w:r>
          </w:p>
        </w:tc>
      </w:tr>
    </w:tbl>
    <w:p>
      <w:pPr>
        <w:pBdr>
          <w:left w:val="single" w:color="2563EB" w:sz="18" w:space="8"/>
        </w:pBdr>
        <w:spacing w:after="200" w:before="120"/>
        <w:ind w:left="360"/>
      </w:pPr>
      <w:r>
        <w:rPr>
          <w:b/>
          <w:bCs/>
          <w:color w:val="2563EB"/>
        </w:rPr>
        <w:t xml:space="preserve">Rule: </w:t>
      </w:r>
      <w:r>
        <w:t xml:space="preserve">A driver change is a data-format change, even when the query and the schema are identical. The two conversion problems below were both invisible until the driver moved, and neither produced an error message that named the driver. If a future maintainer changes drivers again — in either direction — expect type rendering to shift and test with real data rather than a connection check.</w:t>
      </w:r>
    </w:p>
    <w:p>
      <w:pPr>
        <w:pBdr>
          <w:left w:val="single" w:color="2563EB" w:sz="18" w:space="8"/>
        </w:pBdr>
        <w:spacing w:after="200" w:before="120"/>
        <w:ind w:left="360"/>
      </w:pPr>
      <w:r>
        <w:rPr>
          <w:b/>
          <w:bCs/>
          <w:color w:val="2563EB"/>
        </w:rPr>
        <w:t xml:space="preserve">Required setting: </w:t>
      </w:r>
      <w:r>
        <w:t xml:space="preserve">FreeTDS needs 'tds version = 7.4' under [global] in /etc/freetds/freetds.conf. The shipped default of 'auto' fails against this server with “Adaptive Server connection failed”, which reads like a credential or network problem and is neither. This is a machine-level file, not part of the repository, so it must be set on every machine that runs the sync.</w:t>
      </w:r>
    </w:p>
    <w:p>
      <w:pPr>
        <w:pStyle w:val="Heading1"/>
        <w:spacing w:after="160" w:before="360"/>
      </w:pPr>
      <w:r>
        <w:t xml:space="preserve">4. Type Conversion</w:t>
      </w:r>
    </w:p>
    <w:p>
      <w:pPr>
        <w:spacing w:after="160"/>
      </w:pPr>
      <w:r>
        <w:t xml:space="preserve">Both problems are solved the same way: convert on the SQL Server side, in the SELECT, so the driver never has to interpret the type. The conversions are applied automatically based on column type, not from a hardcoded list, so new tables and new columns are handled without code changes.</w:t>
      </w:r>
    </w:p>
    <w:p>
      <w:pPr>
        <w:pStyle w:val="Heading2"/>
        <w:spacing w:after="160" w:before="360"/>
      </w:pPr>
      <w:r>
        <w:t xml:space="preserve">4.1 GUID columns</w:t>
      </w:r>
    </w:p>
    <w:p>
      <w:pPr>
        <w:spacing w:after="160"/>
      </w:pPr>
      <w:r>
        <w:t xml:space="preserve">Reported symptom: every row failed with “Incorrect string value: '\xDB5\x1Cd&gt;+…' for column sf_id”, under SQLSTATE 22007, which MySQL labels “invalid datetime format”. The column is not a date; the SQLSTATE is a long-standing MySQL mislabelling. The real error number is 1366, incorrect string value.</w:t>
      </w:r>
    </w:p>
    <w:p>
      <w:pPr>
        <w:pBdr>
          <w:left w:val="single" w:color="2563EB" w:sz="18" w:space="8"/>
        </w:pBdr>
        <w:spacing w:after="200" w:before="120"/>
        <w:ind w:left="360"/>
      </w:pPr>
      <w:r>
        <w:rPr>
          <w:b/>
          <w:bCs/>
          <w:color w:val="2563EB"/>
        </w:rPr>
        <w:t xml:space="preserve">Fix: </w:t>
      </w:r>
      <w:r>
        <w:t xml:space="preserve">SQL Server stores uniqueidentifier as 16 raw bytes; the familiar hyphenated form is a rendering. FreeTDS passes the bytes through, and they are not valid UTF-8 for a char(36) column. The SELECT now emits CONVERT(CHAR(36), [col]) AS [col] for every uniqueidentifier column. Two such columns exist per table: the primary key sf_id, and SS_rowguid, a SQL Server merge-replication artefact. SS_rowguid has no analytical value but is NOT NULL in the MySQL target, so it is converted rather than excluded.</w:t>
      </w:r>
    </w:p>
    <w:p>
      <w:pPr>
        <w:pStyle w:val="Heading2"/>
        <w:spacing w:after="160" w:before="360"/>
      </w:pPr>
      <w:r>
        <w:t xml:space="preserve">4.2 Date and time columns</w:t>
      </w:r>
    </w:p>
    <w:p>
      <w:pPr>
        <w:spacing w:after="160"/>
      </w:pPr>
      <w:r>
        <w:t xml:space="preserve">Once the GUIDs were fixed, the same class of failure appeared on temporal columns: “Incorrect date value: 'Dec 17 2025 12:00:00:AM'”, MySQL error 1292, again under SQLSTATE 22007. Four columns failed immediately — scr_dof, enr_dof, dmf_dof, dis_dof — one per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2880"/>
      </w:tblGrid>
      <w:tr>
        <w:trPr>
          <w:tblHeader/>
        </w:trPr>
        <w:tc>
          <w:tcPr>
            <w:tcW w:type="pct" w:w="34%"/>
            <w:shd w:fill="1E3A5F" w:val="clear"/>
            <w:tcMar>
              <w:top w:type="dxa" w:w="80"/>
              <w:left w:type="dxa" w:w="100"/>
              <w:bottom w:type="dxa" w:w="80"/>
              <w:right w:type="dxa" w:w="100"/>
            </w:tcMar>
            <w:vAlign w:val="center"/>
          </w:tcPr>
          <w:p>
            <w:r>
              <w:rPr>
                <w:b/>
                <w:bCs/>
                <w:color w:val="FFFFFF"/>
                <w:sz w:val="20"/>
                <w:szCs w:val="20"/>
              </w:rPr>
              <w:t xml:space="preserve">MSSQL type</w:t>
            </w:r>
          </w:p>
        </w:tc>
        <w:tc>
          <w:tcPr>
            <w:tcW w:type="pct" w:w="34%"/>
            <w:shd w:fill="1E3A5F" w:val="clear"/>
            <w:tcMar>
              <w:top w:type="dxa" w:w="80"/>
              <w:left w:type="dxa" w:w="100"/>
              <w:bottom w:type="dxa" w:w="80"/>
              <w:right w:type="dxa" w:w="100"/>
            </w:tcMar>
            <w:vAlign w:val="center"/>
          </w:tcPr>
          <w:p>
            <w:r>
              <w:rPr>
                <w:b/>
                <w:bCs/>
                <w:color w:val="FFFFFF"/>
                <w:sz w:val="20"/>
                <w:szCs w:val="20"/>
              </w:rPr>
              <w:t xml:space="preserve">CONVERT style</w:t>
            </w:r>
          </w:p>
        </w:tc>
        <w:tc>
          <w:tcPr>
            <w:tcW w:type="pct" w:w="32%"/>
            <w:shd w:fill="1E3A5F" w:val="clear"/>
            <w:tcMar>
              <w:top w:type="dxa" w:w="80"/>
              <w:left w:type="dxa" w:w="100"/>
              <w:bottom w:type="dxa" w:w="80"/>
              <w:right w:type="dxa" w:w="100"/>
            </w:tcMar>
            <w:vAlign w:val="center"/>
          </w:tcPr>
          <w:p>
            <w:r>
              <w:rPr>
                <w:b/>
                <w:bCs/>
                <w:color w:val="FFFFFF"/>
                <w:sz w:val="20"/>
                <w:szCs w:val="20"/>
              </w:rPr>
              <w:t xml:space="preserve">Output</w:t>
            </w:r>
          </w:p>
        </w:tc>
      </w:tr>
      <w:tr>
        <w:tc>
          <w:tcPr>
            <w:tcW w:type="pct" w:w="34%"/>
            <w:tcMar>
              <w:top w:type="dxa" w:w="70"/>
              <w:left w:type="dxa" w:w="100"/>
              <w:bottom w:type="dxa" w:w="70"/>
              <w:right w:type="dxa" w:w="100"/>
            </w:tcMar>
            <w:vAlign w:val="center"/>
          </w:tcPr>
          <w:p>
            <w:r>
              <w:rPr>
                <w:sz w:val="20"/>
                <w:szCs w:val="20"/>
              </w:rPr>
              <w:t xml:space="preserve">date</w:t>
            </w:r>
          </w:p>
        </w:tc>
        <w:tc>
          <w:tcPr>
            <w:tcW w:type="pct" w:w="34%"/>
            <w:tcMar>
              <w:top w:type="dxa" w:w="70"/>
              <w:left w:type="dxa" w:w="100"/>
              <w:bottom w:type="dxa" w:w="70"/>
              <w:right w:type="dxa" w:w="100"/>
            </w:tcMar>
            <w:vAlign w:val="center"/>
          </w:tcPr>
          <w:p>
            <w:r>
              <w:rPr>
                <w:sz w:val="20"/>
                <w:szCs w:val="20"/>
              </w:rPr>
              <w:t xml:space="preserve">CONVERT(CHAR(10), col, 23)</w:t>
            </w:r>
          </w:p>
        </w:tc>
        <w:tc>
          <w:tcPr>
            <w:tcW w:type="pct" w:w="32%"/>
            <w:tcMar>
              <w:top w:type="dxa" w:w="70"/>
              <w:left w:type="dxa" w:w="100"/>
              <w:bottom w:type="dxa" w:w="70"/>
              <w:right w:type="dxa" w:w="100"/>
            </w:tcMar>
            <w:vAlign w:val="center"/>
          </w:tcPr>
          <w:p>
            <w:r>
              <w:rPr>
                <w:sz w:val="20"/>
                <w:szCs w:val="20"/>
              </w:rPr>
              <w:t xml:space="preserve">2025-12-17</w:t>
            </w:r>
          </w:p>
        </w:tc>
      </w:tr>
      <w:tr>
        <w:tc>
          <w:tcPr>
            <w:tcW w:type="pct" w:w="34%"/>
            <w:shd w:fill="F1F5F9" w:val="clear"/>
            <w:tcMar>
              <w:top w:type="dxa" w:w="70"/>
              <w:left w:type="dxa" w:w="100"/>
              <w:bottom w:type="dxa" w:w="70"/>
              <w:right w:type="dxa" w:w="100"/>
            </w:tcMar>
            <w:vAlign w:val="center"/>
          </w:tcPr>
          <w:p>
            <w:r>
              <w:rPr>
                <w:sz w:val="20"/>
                <w:szCs w:val="20"/>
              </w:rPr>
              <w:t xml:space="preserve">time</w:t>
            </w:r>
          </w:p>
        </w:tc>
        <w:tc>
          <w:tcPr>
            <w:tcW w:type="pct" w:w="34%"/>
            <w:shd w:fill="F1F5F9" w:val="clear"/>
            <w:tcMar>
              <w:top w:type="dxa" w:w="70"/>
              <w:left w:type="dxa" w:w="100"/>
              <w:bottom w:type="dxa" w:w="70"/>
              <w:right w:type="dxa" w:w="100"/>
            </w:tcMar>
            <w:vAlign w:val="center"/>
          </w:tcPr>
          <w:p>
            <w:r>
              <w:rPr>
                <w:sz w:val="20"/>
                <w:szCs w:val="20"/>
              </w:rPr>
              <w:t xml:space="preserve">CONVERT(CHAR(8), col, 108)</w:t>
            </w:r>
          </w:p>
        </w:tc>
        <w:tc>
          <w:tcPr>
            <w:tcW w:type="pct" w:w="32%"/>
            <w:shd w:fill="F1F5F9" w:val="clear"/>
            <w:tcMar>
              <w:top w:type="dxa" w:w="70"/>
              <w:left w:type="dxa" w:w="100"/>
              <w:bottom w:type="dxa" w:w="70"/>
              <w:right w:type="dxa" w:w="100"/>
            </w:tcMar>
            <w:vAlign w:val="center"/>
          </w:tcPr>
          <w:p>
            <w:r>
              <w:rPr>
                <w:sz w:val="20"/>
                <w:szCs w:val="20"/>
              </w:rPr>
              <w:t xml:space="preserve">14:11:00</w:t>
            </w:r>
          </w:p>
        </w:tc>
      </w:tr>
      <w:tr>
        <w:tc>
          <w:tcPr>
            <w:tcW w:type="pct" w:w="34%"/>
            <w:tcMar>
              <w:top w:type="dxa" w:w="70"/>
              <w:left w:type="dxa" w:w="100"/>
              <w:bottom w:type="dxa" w:w="70"/>
              <w:right w:type="dxa" w:w="100"/>
            </w:tcMar>
            <w:vAlign w:val="center"/>
          </w:tcPr>
          <w:p>
            <w:r>
              <w:rPr>
                <w:sz w:val="20"/>
                <w:szCs w:val="20"/>
              </w:rPr>
              <w:t xml:space="preserve">datetime, datetime2, smalldatetime, datetimeoffset</w:t>
            </w:r>
          </w:p>
        </w:tc>
        <w:tc>
          <w:tcPr>
            <w:tcW w:type="pct" w:w="34%"/>
            <w:tcMar>
              <w:top w:type="dxa" w:w="70"/>
              <w:left w:type="dxa" w:w="100"/>
              <w:bottom w:type="dxa" w:w="70"/>
              <w:right w:type="dxa" w:w="100"/>
            </w:tcMar>
            <w:vAlign w:val="center"/>
          </w:tcPr>
          <w:p>
            <w:r>
              <w:rPr>
                <w:sz w:val="20"/>
                <w:szCs w:val="20"/>
              </w:rPr>
              <w:t xml:space="preserve">CONVERT(CHAR(23), col, 121)</w:t>
            </w:r>
          </w:p>
        </w:tc>
        <w:tc>
          <w:tcPr>
            <w:tcW w:type="pct" w:w="32%"/>
            <w:tcMar>
              <w:top w:type="dxa" w:w="70"/>
              <w:left w:type="dxa" w:w="100"/>
              <w:bottom w:type="dxa" w:w="70"/>
              <w:right w:type="dxa" w:w="100"/>
            </w:tcMar>
            <w:vAlign w:val="center"/>
          </w:tcPr>
          <w:p>
            <w:r>
              <w:rPr>
                <w:sz w:val="20"/>
                <w:szCs w:val="20"/>
              </w:rPr>
              <w:t xml:space="preserve">2025-12-17 00:00:00.000</w:t>
            </w:r>
          </w:p>
        </w:tc>
      </w:tr>
    </w:tbl>
    <w:p>
      <w:pPr>
        <w:pBdr>
          <w:left w:val="single" w:color="2563EB" w:sz="18" w:space="8"/>
        </w:pBdr>
        <w:spacing w:after="200" w:before="120"/>
        <w:ind w:left="360"/>
      </w:pPr>
      <w:r>
        <w:rPr>
          <w:b/>
          <w:bCs/>
          <w:color w:val="2563EB"/>
        </w:rPr>
        <w:t xml:space="preserve">A latent failure caught by the same fix: </w:t>
      </w:r>
      <w:r>
        <w:t xml:space="preserve">The time columns had never failed, because every value in them was null at the time. The first non-null value would have produced the same error. Detecting by type rather than by observed failure closed that before it appeared — which is the argument for the type-driven approach over a list of known-bad columns.</w:t>
      </w:r>
    </w:p>
    <w:p>
      <w:pPr>
        <w:pStyle w:val="Heading1"/>
        <w:spacing w:after="160" w:before="360"/>
      </w:pPr>
      <w:r>
        <w:t xml:space="preserve">5. How the Sync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pct" w:w="20%"/>
            <w:shd w:fill="1E3A5F" w:val="clear"/>
            <w:tcMar>
              <w:top w:type="dxa" w:w="80"/>
              <w:left w:type="dxa" w:w="100"/>
              <w:bottom w:type="dxa" w:w="80"/>
              <w:right w:type="dxa" w:w="100"/>
            </w:tcMar>
            <w:vAlign w:val="center"/>
          </w:tcPr>
          <w:p>
            <w:r>
              <w:rPr>
                <w:b/>
                <w:bCs/>
                <w:color w:val="FFFFFF"/>
                <w:sz w:val="20"/>
                <w:szCs w:val="20"/>
              </w:rPr>
              <w:t xml:space="preserve">Stage</w:t>
            </w:r>
          </w:p>
        </w:tc>
        <w:tc>
          <w:tcPr>
            <w:tcW w:type="pct" w:w="80%"/>
            <w:shd w:fill="1E3A5F" w:val="clear"/>
            <w:tcMar>
              <w:top w:type="dxa" w:w="80"/>
              <w:left w:type="dxa" w:w="100"/>
              <w:bottom w:type="dxa" w:w="80"/>
              <w:right w:type="dxa" w:w="100"/>
            </w:tcMar>
            <w:vAlign w:val="center"/>
          </w:tcPr>
          <w:p>
            <w:r>
              <w:rPr>
                <w:b/>
                <w:bCs/>
                <w:color w:val="FFFFFF"/>
                <w:sz w:val="20"/>
                <w:szCs w:val="20"/>
              </w:rPr>
              <w:t xml:space="preserve">Detail</w:t>
            </w:r>
          </w:p>
        </w:tc>
      </w:tr>
      <w:tr>
        <w:tc>
          <w:tcPr>
            <w:tcW w:type="pct" w:w="20%"/>
            <w:tcMar>
              <w:top w:type="dxa" w:w="70"/>
              <w:left w:type="dxa" w:w="100"/>
              <w:bottom w:type="dxa" w:w="70"/>
              <w:right w:type="dxa" w:w="100"/>
            </w:tcMar>
            <w:vAlign w:val="center"/>
          </w:tcPr>
          <w:p>
            <w:r>
              <w:rPr>
                <w:sz w:val="20"/>
                <w:szCs w:val="20"/>
              </w:rPr>
              <w:t xml:space="preserve">Column resolution</w:t>
            </w:r>
          </w:p>
        </w:tc>
        <w:tc>
          <w:tcPr>
            <w:tcW w:type="pct" w:w="80%"/>
            <w:tcMar>
              <w:top w:type="dxa" w:w="70"/>
              <w:left w:type="dxa" w:w="100"/>
              <w:bottom w:type="dxa" w:w="70"/>
              <w:right w:type="dxa" w:w="100"/>
            </w:tcMar>
            <w:vAlign w:val="center"/>
          </w:tcPr>
          <w:p>
            <w:r>
              <w:rPr>
                <w:sz w:val="20"/>
                <w:szCs w:val="20"/>
              </w:rPr>
              <w:t xml:space="preserve">A caller may pass an explicit column map. When none is given, detectColumns() queries INFORMATION_SCHEMA.COLUMNS for the source table and builds an identity map. It also reads DATA_TYPE, which is what drives the conversions in §4.</w:t>
            </w:r>
          </w:p>
        </w:tc>
      </w:tr>
      <w:tr>
        <w:tc>
          <w:tcPr>
            <w:tcW w:type="pct" w:w="20%"/>
            <w:shd w:fill="F1F5F9" w:val="clear"/>
            <w:tcMar>
              <w:top w:type="dxa" w:w="70"/>
              <w:left w:type="dxa" w:w="100"/>
              <w:bottom w:type="dxa" w:w="70"/>
              <w:right w:type="dxa" w:w="100"/>
            </w:tcMar>
            <w:vAlign w:val="center"/>
          </w:tcPr>
          <w:p>
            <w:r>
              <w:rPr>
                <w:sz w:val="20"/>
                <w:szCs w:val="20"/>
              </w:rPr>
              <w:t xml:space="preserve">Fetch</w:t>
            </w:r>
          </w:p>
        </w:tc>
        <w:tc>
          <w:tcPr>
            <w:tcW w:type="pct" w:w="80%"/>
            <w:shd w:fill="F1F5F9" w:val="clear"/>
            <w:tcMar>
              <w:top w:type="dxa" w:w="70"/>
              <w:left w:type="dxa" w:w="100"/>
              <w:bottom w:type="dxa" w:w="70"/>
              <w:right w:type="dxa" w:w="100"/>
            </w:tcMar>
            <w:vAlign w:val="center"/>
          </w:tcPr>
          <w:p>
            <w:r>
              <w:rPr>
                <w:sz w:val="20"/>
                <w:szCs w:val="20"/>
              </w:rPr>
              <w:t xml:space="preserve">Chunked with OFFSET / FETCH NEXT, 500 rows at a time. MSSQL requires an ORDER BY for OFFSET, so 'ORDER BY (SELECT NULL)' is used when no order is configured.</w:t>
            </w:r>
          </w:p>
        </w:tc>
      </w:tr>
      <w:tr>
        <w:tc>
          <w:tcPr>
            <w:tcW w:type="pct" w:w="20%"/>
            <w:tcMar>
              <w:top w:type="dxa" w:w="70"/>
              <w:left w:type="dxa" w:w="100"/>
              <w:bottom w:type="dxa" w:w="70"/>
              <w:right w:type="dxa" w:w="100"/>
            </w:tcMar>
            <w:vAlign w:val="center"/>
          </w:tcPr>
          <w:p>
            <w:r>
              <w:rPr>
                <w:sz w:val="20"/>
                <w:szCs w:val="20"/>
              </w:rPr>
              <w:t xml:space="preserve">Write</w:t>
            </w:r>
          </w:p>
        </w:tc>
        <w:tc>
          <w:tcPr>
            <w:tcW w:type="pct" w:w="80%"/>
            <w:tcMar>
              <w:top w:type="dxa" w:w="70"/>
              <w:left w:type="dxa" w:w="100"/>
              <w:bottom w:type="dxa" w:w="70"/>
              <w:right w:type="dxa" w:w="100"/>
            </w:tcMar>
            <w:vAlign w:val="center"/>
          </w:tcPr>
          <w:p>
            <w:r>
              <w:rPr>
                <w:sz w:val="20"/>
                <w:szCs w:val="20"/>
              </w:rPr>
              <w:t xml:space="preserve">Upsert against the target's primary key, so re-running produces no duplicates and refreshes changed rows.</w:t>
            </w:r>
          </w:p>
        </w:tc>
      </w:tr>
      <w:tr>
        <w:tc>
          <w:tcPr>
            <w:tcW w:type="pct" w:w="20%"/>
            <w:shd w:fill="F1F5F9" w:val="clear"/>
            <w:tcMar>
              <w:top w:type="dxa" w:w="70"/>
              <w:left w:type="dxa" w:w="100"/>
              <w:bottom w:type="dxa" w:w="70"/>
              <w:right w:type="dxa" w:w="100"/>
            </w:tcMar>
            <w:vAlign w:val="center"/>
          </w:tcPr>
          <w:p>
            <w:r>
              <w:rPr>
                <w:sz w:val="20"/>
                <w:szCs w:val="20"/>
              </w:rPr>
              <w:t xml:space="preserve">Error handling</w:t>
            </w:r>
          </w:p>
        </w:tc>
        <w:tc>
          <w:tcPr>
            <w:tcW w:type="pct" w:w="80%"/>
            <w:shd w:fill="F1F5F9" w:val="clear"/>
            <w:tcMar>
              <w:top w:type="dxa" w:w="70"/>
              <w:left w:type="dxa" w:w="100"/>
              <w:bottom w:type="dxa" w:w="70"/>
              <w:right w:type="dxa" w:w="100"/>
            </w:tcMar>
            <w:vAlign w:val="center"/>
          </w:tcPr>
          <w:p>
            <w:r>
              <w:rPr>
                <w:sz w:val="20"/>
                <w:szCs w:val="20"/>
              </w:rPr>
              <w:t xml:space="preserve">Row-level. A failing row is logged as a warning and the run continues — see the warning below.</w:t>
            </w:r>
          </w:p>
        </w:tc>
      </w:tr>
      <w:tr>
        <w:tc>
          <w:tcPr>
            <w:tcW w:type="pct" w:w="20%"/>
            <w:tcMar>
              <w:top w:type="dxa" w:w="70"/>
              <w:left w:type="dxa" w:w="100"/>
              <w:bottom w:type="dxa" w:w="70"/>
              <w:right w:type="dxa" w:w="100"/>
            </w:tcMar>
            <w:vAlign w:val="center"/>
          </w:tcPr>
          <w:p>
            <w:r>
              <w:rPr>
                <w:sz w:val="20"/>
                <w:szCs w:val="20"/>
              </w:rPr>
              <w:t xml:space="preserve">Reporting</w:t>
            </w:r>
          </w:p>
        </w:tc>
        <w:tc>
          <w:tcPr>
            <w:tcW w:type="pct" w:w="80%"/>
            <w:tcMar>
              <w:top w:type="dxa" w:w="70"/>
              <w:left w:type="dxa" w:w="100"/>
              <w:bottom w:type="dxa" w:w="70"/>
              <w:right w:type="dxa" w:w="100"/>
            </w:tcMar>
            <w:vAlign w:val="center"/>
          </w:tcPr>
          <w:p>
            <w:r>
              <w:rPr>
                <w:sz w:val="20"/>
                <w:szCs w:val="20"/>
              </w:rPr>
              <w:t xml:space="preserve">Per-chunk and per-table counts: fetched, written, skipped, errors, elapsed.</w:t>
            </w:r>
          </w:p>
        </w:tc>
      </w:tr>
    </w:tbl>
    <w:p>
      <w:pPr>
        <w:pBdr>
          <w:left w:val="single" w:color="2563EB" w:sz="18" w:space="8"/>
        </w:pBdr>
        <w:spacing w:after="200" w:before="120"/>
        <w:ind w:left="360"/>
      </w:pPr>
      <w:r>
        <w:rPr>
          <w:b/>
          <w:bCs/>
          <w:color w:val="2563EB"/>
        </w:rPr>
        <w:t xml:space="preserve">Warning — a failed run looks like a successful one: </w:t>
      </w:r>
      <w:r>
        <w:t xml:space="preserve">Because row errors are warnings rather than failures, a run in which every single row failed still ends with “=== Done ===” and a zero exit status. During the September work the sync reported completion four times while writing nothing at all; the target still held 3,110 rows from an earlier run, which made the output look plausible. Always read the written= and errors= figures, and compare the target row count against the source. A summary line of fetched=4703 written=0 errors=4703 is a total failure wearing the same clothes as a success.</w:t>
      </w:r>
    </w:p>
    <w:p>
      <w:pPr>
        <w:pStyle w:val="Heading1"/>
        <w:spacing w:after="160" w:before="360"/>
      </w:pPr>
      <w:r>
        <w:t xml:space="preserve">6. Credentials</w:t>
      </w:r>
    </w:p>
    <w:p>
      <w:pPr>
        <w:spacing w:after="160"/>
      </w:pPr>
      <w:r>
        <w:t xml:space="preserve">sync_config.php holds two database passwords in plain text. It is listed in .gitignore, and sync_config.php.example carries placeholders in its place. The file's own header has said “DO NOT commit credentials to version control” since it was written.</w:t>
      </w:r>
    </w:p>
    <w:p>
      <w:pPr>
        <w:pBdr>
          <w:left w:val="single" w:color="2563EB" w:sz="18" w:space="8"/>
        </w:pBdr>
        <w:spacing w:after="200" w:before="120"/>
        <w:ind w:left="360"/>
      </w:pPr>
      <w:r>
        <w:rPr>
          <w:b/>
          <w:bCs/>
          <w:color w:val="2563EB"/>
        </w:rPr>
        <w:t xml:space="preserve">What happened anyway: </w:t>
      </w:r>
      <w:r>
        <w:t xml:space="preserve">When the Reporting Platform was first placed under version control in September 2026, sync_config.php was staged along with everything else and both passwords were pushed to GitHub. It was caught before the credential-sweep step and the repository was rebuilt with clean history, but the values had been published and remain to be rotated. The general lesson is in the CEL Developer Handbook §17: a repository's first commit is the one moment where a mistake becomes permanent, so the file list is worth reading before it is made.</w:t>
      </w:r>
    </w:p>
    <w:p>
      <w:pPr>
        <w:spacing w:after="160"/>
      </w:pPr>
      <w:r>
        <w:t xml:space="preserve">The longer-term fix is to move both credentials into the repository's .env alongside the REDCap tokens and the iKMC database settings, so that no file on disk holds a secret except the one that is gitignored by convention. projects/iKMC/config.php already reads its database credentials that way.</w:t>
      </w:r>
    </w:p>
    <w:p>
      <w:pPr>
        <w:pStyle w:val="Heading1"/>
        <w:spacing w:after="160" w:before="360"/>
      </w:pPr>
      <w:r>
        <w:t xml:space="preserve">7. Scheduling</w:t>
      </w:r>
    </w:p>
    <w:p>
      <w:pPr>
        <w:spacing w:after="160"/>
      </w:pPr>
      <w:r>
        <w:t xml:space="preserve">The sync runs nightly from the ubuntu crontab on production. Two properties of cron caused failures worth recording, because both produce silence rather than an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pct" w:w="26%"/>
            <w:shd w:fill="1E3A5F" w:val="clear"/>
            <w:tcMar>
              <w:top w:type="dxa" w:w="80"/>
              <w:left w:type="dxa" w:w="100"/>
              <w:bottom w:type="dxa" w:w="80"/>
              <w:right w:type="dxa" w:w="100"/>
            </w:tcMar>
            <w:vAlign w:val="center"/>
          </w:tcPr>
          <w:p>
            <w:r>
              <w:rPr>
                <w:b/>
                <w:bCs/>
                <w:color w:val="FFFFFF"/>
                <w:sz w:val="20"/>
                <w:szCs w:val="20"/>
              </w:rPr>
              <w:t xml:space="preserve">Trap</w:t>
            </w:r>
          </w:p>
        </w:tc>
        <w:tc>
          <w:tcPr>
            <w:tcW w:type="pct" w:w="74%"/>
            <w:shd w:fill="1E3A5F" w:val="clear"/>
            <w:tcMar>
              <w:top w:type="dxa" w:w="80"/>
              <w:left w:type="dxa" w:w="100"/>
              <w:bottom w:type="dxa" w:w="80"/>
              <w:right w:type="dxa" w:w="100"/>
            </w:tcMar>
            <w:vAlign w:val="center"/>
          </w:tcPr>
          <w:p>
            <w:r>
              <w:rPr>
                <w:b/>
                <w:bCs/>
                <w:color w:val="FFFFFF"/>
                <w:sz w:val="20"/>
                <w:szCs w:val="20"/>
              </w:rPr>
              <w:t xml:space="preserve">Detail</w:t>
            </w:r>
          </w:p>
        </w:tc>
      </w:tr>
      <w:tr>
        <w:tc>
          <w:tcPr>
            <w:tcW w:type="pct" w:w="26%"/>
            <w:tcMar>
              <w:top w:type="dxa" w:w="70"/>
              <w:left w:type="dxa" w:w="100"/>
              <w:bottom w:type="dxa" w:w="70"/>
              <w:right w:type="dxa" w:w="100"/>
            </w:tcMar>
            <w:vAlign w:val="center"/>
          </w:tcPr>
          <w:p>
            <w:r>
              <w:rPr>
                <w:sz w:val="20"/>
                <w:szCs w:val="20"/>
              </w:rPr>
              <w:t xml:space="preserve">Backslash line continuation does not work</w:t>
            </w:r>
          </w:p>
        </w:tc>
        <w:tc>
          <w:tcPr>
            <w:tcW w:type="pct" w:w="74%"/>
            <w:tcMar>
              <w:top w:type="dxa" w:w="70"/>
              <w:left w:type="dxa" w:w="100"/>
              <w:bottom w:type="dxa" w:w="70"/>
              <w:right w:type="dxa" w:w="100"/>
            </w:tcMar>
            <w:vAlign w:val="center"/>
          </w:tcPr>
          <w:p>
            <w:r>
              <w:rPr>
                <w:sz w:val="20"/>
                <w:szCs w:val="20"/>
              </w:rPr>
              <w:t xml:space="preserve">Cron treats each crontab entry as a single line. A command split across lines with a trailing backslash runs only as far as the backslash — syslog showed the command ending at 'sync.php \', with every argument silently discarded. The entry must be on one line.</w:t>
            </w:r>
          </w:p>
        </w:tc>
      </w:tr>
      <w:tr>
        <w:tc>
          <w:tcPr>
            <w:tcW w:type="pct" w:w="26%"/>
            <w:shd w:fill="F1F5F9" w:val="clear"/>
            <w:tcMar>
              <w:top w:type="dxa" w:w="70"/>
              <w:left w:type="dxa" w:w="100"/>
              <w:bottom w:type="dxa" w:w="70"/>
              <w:right w:type="dxa" w:w="100"/>
            </w:tcMar>
            <w:vAlign w:val="center"/>
          </w:tcPr>
          <w:p>
            <w:r>
              <w:rPr>
                <w:sz w:val="20"/>
                <w:szCs w:val="20"/>
              </w:rPr>
              <w:t xml:space="preserve">Per cent signs are not date formats</w:t>
            </w:r>
          </w:p>
        </w:tc>
        <w:tc>
          <w:tcPr>
            <w:tcW w:type="pct" w:w="74%"/>
            <w:shd w:fill="F1F5F9" w:val="clear"/>
            <w:tcMar>
              <w:top w:type="dxa" w:w="70"/>
              <w:left w:type="dxa" w:w="100"/>
              <w:bottom w:type="dxa" w:w="70"/>
              <w:right w:type="dxa" w:w="100"/>
            </w:tcMar>
            <w:vAlign w:val="center"/>
          </w:tcPr>
          <w:p>
            <w:r>
              <w:rPr>
                <w:sz w:val="20"/>
                <w:szCs w:val="20"/>
              </w:rPr>
              <w:t xml:space="preserve">In crontab, the first unescaped % ends the command and everything after it becomes standard input. Escaping as \% passes a literal per cent through, so a filename written as sync_\%Y-\%m-\%d.log produces a file literally named sync_%Y-%m-%d.log. To get a real date the command must run under a shell that expands $(date +\%F).</w:t>
            </w:r>
          </w:p>
        </w:tc>
      </w:tr>
      <w:tr>
        <w:tc>
          <w:tcPr>
            <w:tcW w:type="pct" w:w="26%"/>
            <w:tcMar>
              <w:top w:type="dxa" w:w="70"/>
              <w:left w:type="dxa" w:w="100"/>
              <w:bottom w:type="dxa" w:w="70"/>
              <w:right w:type="dxa" w:w="100"/>
            </w:tcMar>
            <w:vAlign w:val="center"/>
          </w:tcPr>
          <w:p>
            <w:r>
              <w:rPr>
                <w:sz w:val="20"/>
                <w:szCs w:val="20"/>
              </w:rPr>
              <w:t xml:space="preserve">PATH is minimal</w:t>
            </w:r>
          </w:p>
        </w:tc>
        <w:tc>
          <w:tcPr>
            <w:tcW w:type="pct" w:w="74%"/>
            <w:tcMar>
              <w:top w:type="dxa" w:w="70"/>
              <w:left w:type="dxa" w:w="100"/>
              <w:bottom w:type="dxa" w:w="70"/>
              <w:right w:type="dxa" w:w="100"/>
            </w:tcMar>
            <w:vAlign w:val="center"/>
          </w:tcPr>
          <w:p>
            <w:r>
              <w:rPr>
                <w:sz w:val="20"/>
                <w:szCs w:val="20"/>
              </w:rPr>
              <w:t xml:space="preserve">Use /usr/bin/php rather than php.</w:t>
            </w:r>
          </w:p>
        </w:tc>
      </w:tr>
      <w:tr>
        <w:tc>
          <w:tcPr>
            <w:tcW w:type="pct" w:w="26%"/>
            <w:shd w:fill="F1F5F9" w:val="clear"/>
            <w:tcMar>
              <w:top w:type="dxa" w:w="70"/>
              <w:left w:type="dxa" w:w="100"/>
              <w:bottom w:type="dxa" w:w="70"/>
              <w:right w:type="dxa" w:w="100"/>
            </w:tcMar>
            <w:vAlign w:val="center"/>
          </w:tcPr>
          <w:p>
            <w:r>
              <w:rPr>
                <w:sz w:val="20"/>
                <w:szCs w:val="20"/>
              </w:rPr>
              <w:t xml:space="preserve">Cron mails any output it captures</w:t>
            </w:r>
          </w:p>
        </w:tc>
        <w:tc>
          <w:tcPr>
            <w:tcW w:type="pct" w:w="74%"/>
            <w:shd w:fill="F1F5F9" w:val="clear"/>
            <w:tcMar>
              <w:top w:type="dxa" w:w="70"/>
              <w:left w:type="dxa" w:w="100"/>
              <w:bottom w:type="dxa" w:w="70"/>
              <w:right w:type="dxa" w:w="100"/>
            </w:tcMar>
            <w:vAlign w:val="center"/>
          </w:tcPr>
          <w:p>
            <w:r>
              <w:rPr>
                <w:sz w:val="20"/>
                <w:szCs w:val="20"/>
              </w:rPr>
              <w:t xml:space="preserve">Which is why the failing mail configuration appeared in syslog alongside the sync. Redirecting stdout and stderr to a file stops cron attempting to mail at all, and gives a record of anything that happens before the script's own logging starts.</w:t>
            </w:r>
          </w:p>
        </w:tc>
      </w:tr>
    </w:tbl>
    <w:p>
      <w:pPr>
        <w:pBdr>
          <w:left w:val="single" w:color="2563EB" w:sz="18" w:space="8"/>
        </w:pBdr>
        <w:spacing w:after="200" w:before="120"/>
        <w:ind w:left="360"/>
      </w:pPr>
      <w:r>
        <w:rPr>
          <w:b/>
          <w:bCs/>
          <w:color w:val="2563EB"/>
        </w:rPr>
        <w:t xml:space="preserve">Recommendation: </w:t>
      </w:r>
      <w:r>
        <w:t xml:space="preserve">Keep the redirect to a cron log permanently, even once mail is working: it captures a PHP fatal that occurs before --log opens, which is exactly the failure the script's own log can never record. Consider a single sync.log with logrotate instead of dated filenames — fewer moving parts, no escaping to get wrong, and consistent with the other logs on the server.</w:t>
      </w:r>
    </w:p>
    <w:p>
      <w:pPr>
        <w:pStyle w:val="Heading1"/>
        <w:spacing w:after="160" w:before="360"/>
      </w:pPr>
      <w:r>
        <w:t xml:space="preserve">8. Verifying a Run</w:t>
      </w:r>
    </w:p>
    <w:p>
      <w:pPr>
        <w:spacing w:after="160"/>
      </w:pPr>
      <w:r>
        <w:t xml:space="preserve">Three checks, in increasing order of usefulness. The third is the only one that proves anything.</w:t>
      </w:r>
    </w:p>
    <w:p>
      <w:pPr>
        <w:pStyle w:val="ListParagraph"/>
        <w:numPr>
          <w:ilvl w:val="0"/>
          <w:numId w:val="1"/>
        </w:numPr>
        <w:spacing w:after="60"/>
      </w:pPr>
      <w:r>
        <w:t xml:space="preserve">Did cron fire it: grep CRON in syslog for the scheduled minute.</w:t>
      </w:r>
    </w:p>
    <w:p>
      <w:pPr>
        <w:pStyle w:val="ListParagraph"/>
        <w:numPr>
          <w:ilvl w:val="0"/>
          <w:numId w:val="1"/>
        </w:numPr>
        <w:spacing w:after="60"/>
      </w:pPr>
      <w:r>
        <w:t xml:space="preserve">Did the script report success: read the Done lines and confirm written= matches fetched= and errors= is zero, for every table.</w:t>
      </w:r>
    </w:p>
    <w:p>
      <w:pPr>
        <w:pStyle w:val="ListParagraph"/>
        <w:numPr>
          <w:ilvl w:val="0"/>
          <w:numId w:val="1"/>
        </w:numPr>
        <w:spacing w:after="60"/>
      </w:pPr>
      <w:r>
        <w:t xml:space="preserve">Did the data arrive correctly: compare the target row count against SELECT COUNT(*) on the source, and read a few rows. Check a GUID column shows a hyphenated 36-character value, a date column an ISO date, and a time column a plausible clock time. A row where the date of birth precedes the date of form completion by a day is better evidence than any count — it shows values were converted rather than merely accepted.</w:t>
      </w:r>
    </w:p>
    <w:p>
      <w:pPr>
        <w:pBdr>
          <w:left w:val="single" w:color="2563EB" w:sz="18" w:space="8"/>
        </w:pBdr>
        <w:spacing w:after="200" w:before="120"/>
        <w:ind w:left="360"/>
      </w:pPr>
      <w:r>
        <w:rPr>
          <w:b/>
          <w:bCs/>
          <w:color w:val="2563EB"/>
        </w:rPr>
        <w:t xml:space="preserve">Why the third check matters: </w:t>
      </w:r>
      <w:r>
        <w:t xml:space="preserve">Both conversion bugs in §4 would have been caught instantly by reading three rows, and neither was caught by the summary output. A run that inserts mangled but insertable values is worse than one that fails, because nothing reports it.</w:t>
      </w:r>
    </w:p>
    <w:p>
      <w:pPr>
        <w:pStyle w:val="Heading1"/>
        <w:spacing w:after="160" w:before="360"/>
      </w:pPr>
      <w:r>
        <w:t xml:space="preserve">9. Known Issues and Outstanding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pct" w:w="26%"/>
            <w:shd w:fill="1E3A5F" w:val="clear"/>
            <w:tcMar>
              <w:top w:type="dxa" w:w="80"/>
              <w:left w:type="dxa" w:w="100"/>
              <w:bottom w:type="dxa" w:w="80"/>
              <w:right w:type="dxa" w:w="100"/>
            </w:tcMar>
            <w:vAlign w:val="center"/>
          </w:tcPr>
          <w:p>
            <w:r>
              <w:rPr>
                <w:b/>
                <w:bCs/>
                <w:color w:val="FFFFFF"/>
                <w:sz w:val="20"/>
                <w:szCs w:val="20"/>
              </w:rPr>
              <w:t xml:space="preserve">Item</w:t>
            </w:r>
          </w:p>
        </w:tc>
        <w:tc>
          <w:tcPr>
            <w:tcW w:type="pct" w:w="74%"/>
            <w:shd w:fill="1E3A5F" w:val="clear"/>
            <w:tcMar>
              <w:top w:type="dxa" w:w="80"/>
              <w:left w:type="dxa" w:w="100"/>
              <w:bottom w:type="dxa" w:w="80"/>
              <w:right w:type="dxa" w:w="100"/>
            </w:tcMar>
            <w:vAlign w:val="center"/>
          </w:tcPr>
          <w:p>
            <w:r>
              <w:rPr>
                <w:b/>
                <w:bCs/>
                <w:color w:val="FFFFFF"/>
                <w:sz w:val="20"/>
                <w:szCs w:val="20"/>
              </w:rPr>
              <w:t xml:space="preserve">Detail</w:t>
            </w:r>
          </w:p>
        </w:tc>
      </w:tr>
      <w:tr>
        <w:tc>
          <w:tcPr>
            <w:tcW w:type="pct" w:w="26%"/>
            <w:tcMar>
              <w:top w:type="dxa" w:w="70"/>
              <w:left w:type="dxa" w:w="100"/>
              <w:bottom w:type="dxa" w:w="70"/>
              <w:right w:type="dxa" w:w="100"/>
            </w:tcMar>
            <w:vAlign w:val="center"/>
          </w:tcPr>
          <w:p>
            <w:r>
              <w:rPr>
                <w:sz w:val="20"/>
                <w:szCs w:val="20"/>
              </w:rPr>
              <w:t xml:space="preserve">MSSQL password not yet rotated</w:t>
            </w:r>
          </w:p>
        </w:tc>
        <w:tc>
          <w:tcPr>
            <w:tcW w:type="pct" w:w="74%"/>
            <w:tcMar>
              <w:top w:type="dxa" w:w="70"/>
              <w:left w:type="dxa" w:w="100"/>
              <w:bottom w:type="dxa" w:w="70"/>
              <w:right w:type="dxa" w:w="100"/>
            </w:tcMar>
            <w:vAlign w:val="center"/>
          </w:tcPr>
          <w:p>
            <w:r>
              <w:rPr>
                <w:sz w:val="20"/>
                <w:szCs w:val="20"/>
              </w:rPr>
              <w:t xml:space="preserve">The login used by the sync had its password published to GitHub. Rotation requires the administrator of the MSSQL server, which is external. Blocked on a third party — see the Handover.</w:t>
            </w:r>
          </w:p>
        </w:tc>
      </w:tr>
      <w:tr>
        <w:tc>
          <w:tcPr>
            <w:tcW w:type="pct" w:w="26%"/>
            <w:shd w:fill="F1F5F9" w:val="clear"/>
            <w:tcMar>
              <w:top w:type="dxa" w:w="70"/>
              <w:left w:type="dxa" w:w="100"/>
              <w:bottom w:type="dxa" w:w="70"/>
              <w:right w:type="dxa" w:w="100"/>
            </w:tcMar>
            <w:vAlign w:val="center"/>
          </w:tcPr>
          <w:p>
            <w:r>
              <w:rPr>
                <w:sz w:val="20"/>
                <w:szCs w:val="20"/>
              </w:rPr>
              <w:t xml:space="preserve">Row errors do not fail the run</w:t>
            </w:r>
          </w:p>
        </w:tc>
        <w:tc>
          <w:tcPr>
            <w:tcW w:type="pct" w:w="74%"/>
            <w:shd w:fill="F1F5F9" w:val="clear"/>
            <w:tcMar>
              <w:top w:type="dxa" w:w="70"/>
              <w:left w:type="dxa" w:w="100"/>
              <w:bottom w:type="dxa" w:w="70"/>
              <w:right w:type="dxa" w:w="100"/>
            </w:tcMar>
            <w:vAlign w:val="center"/>
          </w:tcPr>
          <w:p>
            <w:r>
              <w:rPr>
                <w:sz w:val="20"/>
                <w:szCs w:val="20"/>
              </w:rPr>
              <w:t xml:space="preserve">A run where every row fails still exits zero. Worth making the exit status reflect the error count, so cron and any future monitoring can tell the difference.</w:t>
            </w:r>
          </w:p>
        </w:tc>
      </w:tr>
      <w:tr>
        <w:tc>
          <w:tcPr>
            <w:tcW w:type="pct" w:w="26%"/>
            <w:tcMar>
              <w:top w:type="dxa" w:w="70"/>
              <w:left w:type="dxa" w:w="100"/>
              <w:bottom w:type="dxa" w:w="70"/>
              <w:right w:type="dxa" w:w="100"/>
            </w:tcMar>
            <w:vAlign w:val="center"/>
          </w:tcPr>
          <w:p>
            <w:r>
              <w:rPr>
                <w:sz w:val="20"/>
                <w:szCs w:val="20"/>
              </w:rPr>
              <w:t xml:space="preserve">Credentials still in a file</w:t>
            </w:r>
          </w:p>
        </w:tc>
        <w:tc>
          <w:tcPr>
            <w:tcW w:type="pct" w:w="74%"/>
            <w:tcMar>
              <w:top w:type="dxa" w:w="70"/>
              <w:left w:type="dxa" w:w="100"/>
              <w:bottom w:type="dxa" w:w="70"/>
              <w:right w:type="dxa" w:w="100"/>
            </w:tcMar>
            <w:vAlign w:val="center"/>
          </w:tcPr>
          <w:p>
            <w:r>
              <w:rPr>
                <w:sz w:val="20"/>
                <w:szCs w:val="20"/>
              </w:rPr>
              <w:t xml:space="preserve">sync_config.php holds two plain-text passwords. Moving them to .env would align it with the rest of the platform.</w:t>
            </w:r>
          </w:p>
        </w:tc>
      </w:tr>
      <w:tr>
        <w:tc>
          <w:tcPr>
            <w:tcW w:type="pct" w:w="26%"/>
            <w:shd w:fill="F1F5F9" w:val="clear"/>
            <w:tcMar>
              <w:top w:type="dxa" w:w="70"/>
              <w:left w:type="dxa" w:w="100"/>
              <w:bottom w:type="dxa" w:w="70"/>
              <w:right w:type="dxa" w:w="100"/>
            </w:tcMar>
            <w:vAlign w:val="center"/>
          </w:tcPr>
          <w:p>
            <w:r>
              <w:rPr>
                <w:sz w:val="20"/>
                <w:szCs w:val="20"/>
              </w:rPr>
              <w:t xml:space="preserve">No monitoring</w:t>
            </w:r>
          </w:p>
        </w:tc>
        <w:tc>
          <w:tcPr>
            <w:tcW w:type="pct" w:w="74%"/>
            <w:shd w:fill="F1F5F9" w:val="clear"/>
            <w:tcMar>
              <w:top w:type="dxa" w:w="70"/>
              <w:left w:type="dxa" w:w="100"/>
              <w:bottom w:type="dxa" w:w="70"/>
              <w:right w:type="dxa" w:w="100"/>
            </w:tcMar>
            <w:vAlign w:val="center"/>
          </w:tcPr>
          <w:p>
            <w:r>
              <w:rPr>
                <w:sz w:val="20"/>
                <w:szCs w:val="20"/>
              </w:rPr>
              <w:t xml:space="preserve">Nothing reports a failed or missing run. --summary-email exists but outbound mail is currently broken. A failure-only notification is worth more than a nightly success message, which stops being read within a week.</w:t>
            </w:r>
          </w:p>
        </w:tc>
      </w:tr>
    </w:tbl>
    <w:p>
      <w:pPr>
        <w:spacing w:before="400"/>
        <w:jc w:val="center"/>
      </w:pPr>
      <w:r>
        <w:rPr>
          <w:i/>
          <w:iCs/>
          <w:color w:val="6B7280"/>
        </w:rPr>
        <w:t xml:space="preserve">End of Developer Handbook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2026-07-16T22:40:32.468Z</dcterms:created>
  <dcterms:modified xsi:type="dcterms:W3CDTF">2026-07-16T22:40:32.480Z</dcterms:modified>
</cp:coreProperties>
</file>

<file path=docProps/custom.xml><?xml version="1.0" encoding="utf-8"?>
<Properties xmlns="http://schemas.openxmlformats.org/officeDocument/2006/custom-properties" xmlns:vt="http://schemas.openxmlformats.org/officeDocument/2006/docPropsVTypes"/>
</file>