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E3A5F"/>
          <w:sz w:val="56"/>
          <w:szCs w:val="56"/>
        </w:rPr>
        <w:t xml:space="preserve">iKMC Sync</w:t>
      </w:r>
    </w:p>
    <w:p>
      <w:pPr>
        <w:spacing w:after="120" w:before="200"/>
        <w:jc w:val="center"/>
      </w:pPr>
      <w:r>
        <w:rPr>
          <w:b/>
          <w:bCs/>
          <w:color w:val="2563EB"/>
          <w:sz w:val="40"/>
          <w:szCs w:val="40"/>
        </w:rPr>
        <w:t xml:space="preserve">Handover</w:t>
      </w:r>
    </w:p>
    <w:p>
      <w:pPr>
        <w:spacing w:after="800"/>
        <w:jc w:val="center"/>
      </w:pPr>
      <w:r>
        <w:rPr>
          <w:i/>
          <w:iCs/>
          <w:color w:val="6B7280"/>
          <w:sz w:val="24"/>
          <w:szCs w:val="24"/>
        </w:rPr>
        <w:t xml:space="preserve">Current status, how to deploy and run it, and what is outstanding</w:t>
      </w:r>
    </w:p>
    <w:p>
      <w:pPr>
        <w:jc w:val="center"/>
      </w:pPr>
      <w:r>
        <w:rPr>
          <w:color w:val="6B7280"/>
          <w:sz w:val="20"/>
          <w:szCs w:val="20"/>
        </w:rPr>
        <w:t xml:space="preserve">Version 1 • 6 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Status</w:t>
      </w:r>
    </w:p>
    <w:p>
      <w:pPr>
        <w:spacing w:after="160"/>
      </w:pPr>
      <w:r>
        <w:t xml:space="preserve">The MSSQL to MySQL sync for the iKMC study is working on the production server as of 6 September 2026. It had stopped working on the development machine after that machine was upgraded to Ubuntu 26 and lost its MSSQL driver, and was moved to production as part of the Reporting Platform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pct" w:w="18%"/>
            <w:shd w:fill="1E3A5F" w:val="clear"/>
            <w:tcMar>
              <w:top w:type="dxa" w:w="80"/>
              <w:left w:type="dxa" w:w="100"/>
              <w:bottom w:type="dxa" w:w="80"/>
              <w:right w:type="dxa" w:w="100"/>
            </w:tcMar>
            <w:vAlign w:val="center"/>
          </w:tcPr>
          <w:p>
            <w:r>
              <w:rPr>
                <w:b/>
                <w:bCs/>
                <w:color w:val="FFFFFF"/>
                <w:sz w:val="20"/>
                <w:szCs w:val="20"/>
              </w:rPr>
              <w:t xml:space="preserve">Item</w:t>
            </w:r>
          </w:p>
        </w:tc>
        <w:tc>
          <w:tcPr>
            <w:tcW w:type="pct" w:w="82%"/>
            <w:shd w:fill="1E3A5F" w:val="clear"/>
            <w:tcMar>
              <w:top w:type="dxa" w:w="80"/>
              <w:left w:type="dxa" w:w="100"/>
              <w:bottom w:type="dxa" w:w="80"/>
              <w:right w:type="dxa" w:w="100"/>
            </w:tcMar>
            <w:vAlign w:val="center"/>
          </w:tcPr>
          <w:p>
            <w:r>
              <w:rPr>
                <w:b/>
                <w:bCs/>
                <w:color w:val="FFFFFF"/>
                <w:sz w:val="20"/>
                <w:szCs w:val="20"/>
              </w:rPr>
              <w:t xml:space="preserve">Status</w:t>
            </w:r>
          </w:p>
        </w:tc>
      </w:tr>
      <w:tr>
        <w:tc>
          <w:tcPr>
            <w:tcW w:type="pct" w:w="18%"/>
            <w:tcMar>
              <w:top w:type="dxa" w:w="70"/>
              <w:left w:type="dxa" w:w="100"/>
              <w:bottom w:type="dxa" w:w="70"/>
              <w:right w:type="dxa" w:w="100"/>
            </w:tcMar>
            <w:vAlign w:val="center"/>
          </w:tcPr>
          <w:p>
            <w:r>
              <w:rPr>
                <w:sz w:val="20"/>
                <w:szCs w:val="20"/>
              </w:rPr>
              <w:t xml:space="preserve">Sync</w:t>
            </w:r>
          </w:p>
        </w:tc>
        <w:tc>
          <w:tcPr>
            <w:tcW w:type="pct" w:w="82%"/>
            <w:tcMar>
              <w:top w:type="dxa" w:w="70"/>
              <w:left w:type="dxa" w:w="100"/>
              <w:bottom w:type="dxa" w:w="70"/>
              <w:right w:type="dxa" w:w="100"/>
            </w:tcMar>
            <w:vAlign w:val="center"/>
          </w:tcPr>
          <w:p>
            <w:r>
              <w:rPr>
                <w:sz w:val="20"/>
                <w:szCs w:val="20"/>
              </w:rPr>
              <w:t xml:space="preserve">Working. Four tables, roughly 12,000 rows, about eight seconds.</w:t>
            </w:r>
          </w:p>
        </w:tc>
      </w:tr>
      <w:tr>
        <w:tc>
          <w:tcPr>
            <w:tcW w:type="pct" w:w="18%"/>
            <w:shd w:fill="F1F5F9" w:val="clear"/>
            <w:tcMar>
              <w:top w:type="dxa" w:w="70"/>
              <w:left w:type="dxa" w:w="100"/>
              <w:bottom w:type="dxa" w:w="70"/>
              <w:right w:type="dxa" w:w="100"/>
            </w:tcMar>
            <w:vAlign w:val="center"/>
          </w:tcPr>
          <w:p>
            <w:r>
              <w:rPr>
                <w:sz w:val="20"/>
                <w:szCs w:val="20"/>
              </w:rPr>
              <w:t xml:space="preserve">Driver</w:t>
            </w:r>
          </w:p>
        </w:tc>
        <w:tc>
          <w:tcPr>
            <w:tcW w:type="pct" w:w="82%"/>
            <w:shd w:fill="F1F5F9" w:val="clear"/>
            <w:tcMar>
              <w:top w:type="dxa" w:w="70"/>
              <w:left w:type="dxa" w:w="100"/>
              <w:bottom w:type="dxa" w:w="70"/>
              <w:right w:type="dxa" w:w="100"/>
            </w:tcMar>
            <w:vAlign w:val="center"/>
          </w:tcPr>
          <w:p>
            <w:r>
              <w:rPr>
                <w:sz w:val="20"/>
                <w:szCs w:val="20"/>
              </w:rPr>
              <w:t xml:space="preserve">FreeTDS (php8.1-sybase on production, php8.5-sybase on development). Microsoft's pdo_sqlsrv is no longer used and is not installed on production.</w:t>
            </w:r>
          </w:p>
        </w:tc>
      </w:tr>
      <w:tr>
        <w:tc>
          <w:tcPr>
            <w:tcW w:type="pct" w:w="18%"/>
            <w:tcMar>
              <w:top w:type="dxa" w:w="70"/>
              <w:left w:type="dxa" w:w="100"/>
              <w:bottom w:type="dxa" w:w="70"/>
              <w:right w:type="dxa" w:w="100"/>
            </w:tcMar>
            <w:vAlign w:val="center"/>
          </w:tcPr>
          <w:p>
            <w:r>
              <w:rPr>
                <w:sz w:val="20"/>
                <w:szCs w:val="20"/>
              </w:rPr>
              <w:t xml:space="preserve">Schedule</w:t>
            </w:r>
          </w:p>
        </w:tc>
        <w:tc>
          <w:tcPr>
            <w:tcW w:type="pct" w:w="82%"/>
            <w:tcMar>
              <w:top w:type="dxa" w:w="70"/>
              <w:left w:type="dxa" w:w="100"/>
              <w:bottom w:type="dxa" w:w="70"/>
              <w:right w:type="dxa" w:w="100"/>
            </w:tcMar>
            <w:vAlign w:val="center"/>
          </w:tcPr>
          <w:p>
            <w:r>
              <w:rPr>
                <w:sz w:val="20"/>
                <w:szCs w:val="20"/>
              </w:rPr>
              <w:t xml:space="preserve">Nightly at 02:03 from the ubuntu crontab.</w:t>
            </w:r>
          </w:p>
        </w:tc>
      </w:tr>
      <w:tr>
        <w:tc>
          <w:tcPr>
            <w:tcW w:type="pct" w:w="18%"/>
            <w:shd w:fill="F1F5F9" w:val="clear"/>
            <w:tcMar>
              <w:top w:type="dxa" w:w="70"/>
              <w:left w:type="dxa" w:w="100"/>
              <w:bottom w:type="dxa" w:w="70"/>
              <w:right w:type="dxa" w:w="100"/>
            </w:tcMar>
            <w:vAlign w:val="center"/>
          </w:tcPr>
          <w:p>
            <w:r>
              <w:rPr>
                <w:sz w:val="20"/>
                <w:szCs w:val="20"/>
              </w:rPr>
              <w:t xml:space="preserve">Monitoring</w:t>
            </w:r>
          </w:p>
        </w:tc>
        <w:tc>
          <w:tcPr>
            <w:tcW w:type="pct" w:w="82%"/>
            <w:shd w:fill="F1F5F9" w:val="clear"/>
            <w:tcMar>
              <w:top w:type="dxa" w:w="70"/>
              <w:left w:type="dxa" w:w="100"/>
              <w:bottom w:type="dxa" w:w="70"/>
              <w:right w:type="dxa" w:w="100"/>
            </w:tcMar>
            <w:vAlign w:val="center"/>
          </w:tcPr>
          <w:p>
            <w:r>
              <w:rPr>
                <w:sz w:val="20"/>
                <w:szCs w:val="20"/>
              </w:rPr>
              <w:t xml:space="preserve">None. Outbound mail is broken, so --summary-email is currently omitted.</w:t>
            </w:r>
          </w:p>
        </w:tc>
      </w:tr>
      <w:tr>
        <w:tc>
          <w:tcPr>
            <w:tcW w:type="pct" w:w="18%"/>
            <w:tcMar>
              <w:top w:type="dxa" w:w="70"/>
              <w:left w:type="dxa" w:w="100"/>
              <w:bottom w:type="dxa" w:w="70"/>
              <w:right w:type="dxa" w:w="100"/>
            </w:tcMar>
            <w:vAlign w:val="center"/>
          </w:tcPr>
          <w:p>
            <w:r>
              <w:rPr>
                <w:sz w:val="20"/>
                <w:szCs w:val="20"/>
              </w:rPr>
              <w:t xml:space="preserve">Credentials</w:t>
            </w:r>
          </w:p>
        </w:tc>
        <w:tc>
          <w:tcPr>
            <w:tcW w:type="pct" w:w="82%"/>
            <w:tcMar>
              <w:top w:type="dxa" w:w="70"/>
              <w:left w:type="dxa" w:w="100"/>
              <w:bottom w:type="dxa" w:w="70"/>
              <w:right w:type="dxa" w:w="100"/>
            </w:tcMar>
            <w:vAlign w:val="center"/>
          </w:tcPr>
          <w:p>
            <w:r>
              <w:rPr>
                <w:sz w:val="20"/>
                <w:szCs w:val="20"/>
              </w:rPr>
              <w:t xml:space="preserve">MSSQL password requires rotation — see §4.</w:t>
            </w:r>
          </w:p>
        </w:tc>
      </w:tr>
    </w:tbl>
    <w:p>
      <w:pPr>
        <w:pStyle w:val="Heading1"/>
        <w:spacing w:after="160" w:before="360"/>
      </w:pPr>
      <w:r>
        <w:t xml:space="preserve">2. Setting It Up on a New Machine</w:t>
      </w:r>
    </w:p>
    <w:p>
      <w:pPr>
        <w:spacing w:after="160"/>
      </w:pPr>
      <w:r>
        <w:t xml:space="preserve">The code arrives with the cel-reporting repository. Four things do not, and each of them fails in a way that does not name itself.</w:t>
      </w:r>
    </w:p>
    <w:p>
      <w:pPr>
        <w:pStyle w:val="ListParagraph"/>
        <w:numPr>
          <w:ilvl w:val="0"/>
          <w:numId w:val="1"/>
        </w:numPr>
        <w:spacing w:after="60"/>
      </w:pPr>
      <w:r>
        <w:t xml:space="preserve">Install the FreeTDS PHP extension: php&lt;version&gt;-sybase from Ubuntu's own repository. Confirm with php -m | grep dblib.</w:t>
      </w:r>
    </w:p>
    <w:p>
      <w:pPr>
        <w:pStyle w:val="ListParagraph"/>
        <w:numPr>
          <w:ilvl w:val="0"/>
          <w:numId w:val="1"/>
        </w:numPr>
        <w:spacing w:after="60"/>
      </w:pPr>
      <w:r>
        <w:t xml:space="preserve">Set 'tds version = 7.4' under [global] in /etc/freetds/freetds.conf. The default of 'auto' fails with “Adaptive Server connection failed”, which looks like a credential problem and is not. Edit the existing [global] entry rather than appending a second section.</w:t>
      </w:r>
    </w:p>
    <w:p>
      <w:pPr>
        <w:pStyle w:val="ListParagraph"/>
        <w:numPr>
          <w:ilvl w:val="0"/>
          <w:numId w:val="1"/>
        </w:numPr>
        <w:spacing w:after="60"/>
      </w:pPr>
      <w:r>
        <w:t xml:space="preserve">Create projects/iKMC/sync_config.php from sync_config.php.example and fill in both sets of credentials. The file is gitignored, so a clone will not have it.</w:t>
      </w:r>
    </w:p>
    <w:p>
      <w:pPr>
        <w:pStyle w:val="ListParagraph"/>
        <w:numPr>
          <w:ilvl w:val="0"/>
          <w:numId w:val="1"/>
        </w:numPr>
        <w:spacing w:after="60"/>
      </w:pPr>
      <w:r>
        <w:t xml:space="preserve">Create the log directory, owned by the account that runs the sync: /var/log/ikmc_sync.</w:t>
      </w:r>
    </w:p>
    <w:p>
      <w:pPr>
        <w:pBdr>
          <w:left w:val="single" w:color="2563EB" w:sz="18" w:space="8"/>
        </w:pBdr>
        <w:spacing w:after="200" w:before="120"/>
        <w:ind w:left="360"/>
      </w:pPr>
      <w:r>
        <w:rPr>
          <w:b/>
          <w:bCs/>
          <w:color w:val="2563EB"/>
        </w:rPr>
        <w:t xml:space="preserve">Check the destination before the first run: </w:t>
      </w:r>
      <w:r>
        <w:t xml:space="preserve">sync_config.php points at mysql:host=localhost, so it follows whichever machine the file is on. That is correct behaviour, and it is also how a carelessly copied file could write development data into a production database. Read that line before running the sync on a machine for the first time, and take a mysqldump of the target beforehand.</w:t>
      </w:r>
    </w:p>
    <w:p>
      <w:pPr>
        <w:pStyle w:val="Heading1"/>
        <w:spacing w:after="160" w:before="360"/>
      </w:pPr>
      <w:r>
        <w:t xml:space="preserve">3. The Cron Entry</w:t>
      </w:r>
    </w:p>
    <w:p>
      <w:pPr>
        <w:spacing w:after="160"/>
      </w:pPr>
      <w:r>
        <w:t xml:space="preserve">It must be on a single line. Two cron behaviours caused silent failures and are documented in the Developer Handbook §7: a trailing backslash does not continue the line, and a per cent sign ends the command rather than expanding as a date format.</w:t>
      </w:r>
    </w:p>
    <w:p>
      <w:pPr>
        <w:shd w:fill="F1F5F9" w:val="clear"/>
        <w:spacing w:after="60" w:before="60"/>
        <w:ind w:left="360"/>
      </w:pPr>
      <w:r>
        <w:rPr>
          <w:rFonts w:ascii="Courier New" w:hAnsi="Courier New"/>
          <w:sz w:val="18"/>
          <w:szCs w:val="18"/>
        </w:rPr>
        <w:t xml:space="preserve">3 2 * * * /bin/bash -lc '/usr/bin/php \</w:t>
      </w:r>
    </w:p>
    <w:p>
      <w:pPr>
        <w:shd w:fill="F1F5F9" w:val="clear"/>
        <w:spacing w:after="60" w:before="60"/>
        <w:ind w:left="360"/>
      </w:pPr>
      <w:r>
        <w:rPr>
          <w:rFonts w:ascii="Courier New" w:hAnsi="Courier New"/>
          <w:sz w:val="18"/>
          <w:szCs w:val="18"/>
        </w:rPr>
        <w:t xml:space="preserve">  /var/www/reports/projects/iKMC/sync.php \</w:t>
      </w:r>
    </w:p>
    <w:p>
      <w:pPr>
        <w:shd w:fill="F1F5F9" w:val="clear"/>
        <w:spacing w:after="60" w:before="60"/>
        <w:ind w:left="360"/>
      </w:pPr>
      <w:r>
        <w:rPr>
          <w:rFonts w:ascii="Courier New" w:hAnsi="Courier New"/>
          <w:sz w:val="18"/>
          <w:szCs w:val="18"/>
        </w:rPr>
        <w:t xml:space="preserve">  --log=/var/log/ikmc_sync/sync_$(date +\%F).log \</w:t>
      </w:r>
    </w:p>
    <w:p>
      <w:pPr>
        <w:shd w:fill="F1F5F9" w:val="clear"/>
        <w:spacing w:after="60" w:before="60"/>
        <w:ind w:left="360"/>
      </w:pPr>
      <w:r>
        <w:rPr>
          <w:rFonts w:ascii="Courier New" w:hAnsi="Courier New"/>
          <w:sz w:val="18"/>
          <w:szCs w:val="18"/>
        </w:rPr>
        <w:t xml:space="preserve">  --error-log=/var/log/ikmc_sync/errors_$(date +\%F).json' \</w:t>
      </w:r>
    </w:p>
    <w:p>
      <w:pPr>
        <w:shd w:fill="F1F5F9" w:val="clear"/>
        <w:spacing w:after="60" w:before="60"/>
        <w:ind w:left="360"/>
      </w:pPr>
      <w:r>
        <w:rPr>
          <w:rFonts w:ascii="Courier New" w:hAnsi="Courier New"/>
          <w:sz w:val="18"/>
          <w:szCs w:val="18"/>
        </w:rPr>
        <w:t xml:space="preserve">  &gt;&gt; /var/log/ikmc_sync/cron.log 2&gt;&amp;1</w:t>
      </w:r>
    </w:p>
    <w:p>
      <w:pPr>
        <w:pBdr>
          <w:left w:val="single" w:color="2563EB" w:sz="18" w:space="8"/>
        </w:pBdr>
        <w:spacing w:after="200" w:before="120"/>
        <w:ind w:left="360"/>
      </w:pPr>
      <w:r>
        <w:rPr>
          <w:b/>
          <w:bCs/>
          <w:color w:val="2563EB"/>
        </w:rPr>
        <w:t xml:space="preserve">Shown wrapped for legibility only: </w:t>
      </w:r>
      <w:r>
        <w:t xml:space="preserve">In the crontab this is one line with no backslashes. The backslashes above are page formatting; a real trailing backslash in a crontab truncates the command, which is precisely the failure that occurred on 6 September — syslog recorded the command ending at 'sync.php \' with every argument discarded.</w:t>
      </w:r>
    </w:p>
    <w:p>
      <w:pPr>
        <w:spacing w:after="160"/>
      </w:pPr>
      <w:r>
        <w:t xml:space="preserve">--summary-email is deliberately omitted while outbound mail is broken. The redirect to cron.log should stay permanently: it captures anything that happens before the script's own logging opens, which is the one failure --log can never record.</w:t>
      </w:r>
    </w:p>
    <w:p>
      <w:pPr>
        <w:pStyle w:val="Heading1"/>
        <w:spacing w:after="160" w:before="360"/>
      </w:pPr>
      <w:r>
        <w:t xml:space="preserve">4. Outstanding — MSSQL Password Rotation</w:t>
      </w:r>
    </w:p>
    <w:p>
      <w:pPr>
        <w:pBdr>
          <w:left w:val="single" w:color="2563EB" w:sz="18" w:space="8"/>
        </w:pBdr>
        <w:spacing w:after="200" w:before="120"/>
        <w:ind w:left="360"/>
      </w:pPr>
      <w:r>
        <w:rPr>
          <w:b/>
          <w:bCs/>
          <w:color w:val="2563EB"/>
        </w:rPr>
        <w:t xml:space="preserve">Open risk, blocked on a third party: </w:t>
      </w:r>
      <w:r>
        <w:t xml:space="preserve">The MSSQL login used by the sync had its password published to a GitHub repository in September 2026. The repository was rebuilt with clean history and no local clone retains the value, but publication is not undone by deletion. The MSSQL server is administered externally, so rotation requires that administrator.</w:t>
      </w:r>
    </w:p>
    <w:p>
      <w:pPr>
        <w:spacing w:after="160"/>
      </w:pPr>
      <w:r>
        <w:t xml:space="preserve">Two things are worth putting in the same request. The password needs rotating. And the sync now runs from a server with a fixed address rather than a laptop whose address changes between locations — so their firewall rule can be tightened to a single source for the first time, which is a benefit to them rather than only a request. They will also want to know about the new source address before unfamiliar connections appear in their logs.</w:t>
      </w:r>
    </w:p>
    <w:p>
      <w:pPr>
        <w:pBdr>
          <w:left w:val="single" w:color="2563EB" w:sz="18" w:space="8"/>
        </w:pBdr>
        <w:spacing w:after="200" w:before="120"/>
        <w:ind w:left="360"/>
      </w:pPr>
      <w:r>
        <w:rPr>
          <w:b/>
          <w:bCs/>
          <w:color w:val="2563EB"/>
        </w:rPr>
        <w:t xml:space="preserve">Consequence to agree in advance: </w:t>
      </w:r>
      <w:r>
        <w:t xml:space="preserve">Once the password is rotated and the allowlist tightened, the development machine may lose access. If development should keep working for testing, say so explicitly in the same conversation rather than discovering it later.</w:t>
      </w:r>
    </w:p>
    <w:p>
      <w:pPr>
        <w:pStyle w:val="Heading1"/>
        <w:spacing w:after="160" w:before="360"/>
      </w:pPr>
      <w:r>
        <w:t xml:space="preserve">5. Known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pct" w:w="24%"/>
            <w:shd w:fill="1E3A5F" w:val="clear"/>
            <w:tcMar>
              <w:top w:type="dxa" w:w="80"/>
              <w:left w:type="dxa" w:w="100"/>
              <w:bottom w:type="dxa" w:w="80"/>
              <w:right w:type="dxa" w:w="100"/>
            </w:tcMar>
            <w:vAlign w:val="center"/>
          </w:tcPr>
          <w:p>
            <w:r>
              <w:rPr>
                <w:b/>
                <w:bCs/>
                <w:color w:val="FFFFFF"/>
                <w:sz w:val="20"/>
                <w:szCs w:val="20"/>
              </w:rPr>
              <w:t xml:space="preserve">Issue</w:t>
            </w:r>
          </w:p>
        </w:tc>
        <w:tc>
          <w:tcPr>
            <w:tcW w:type="pct" w:w="76%"/>
            <w:shd w:fill="1E3A5F" w:val="clear"/>
            <w:tcMar>
              <w:top w:type="dxa" w:w="80"/>
              <w:left w:type="dxa" w:w="100"/>
              <w:bottom w:type="dxa" w:w="80"/>
              <w:right w:type="dxa" w:w="100"/>
            </w:tcMar>
            <w:vAlign w:val="center"/>
          </w:tcPr>
          <w:p>
            <w:r>
              <w:rPr>
                <w:b/>
                <w:bCs/>
                <w:color w:val="FFFFFF"/>
                <w:sz w:val="20"/>
                <w:szCs w:val="20"/>
              </w:rPr>
              <w:t xml:space="preserve">Detail</w:t>
            </w:r>
          </w:p>
        </w:tc>
      </w:tr>
      <w:tr>
        <w:tc>
          <w:tcPr>
            <w:tcW w:type="pct" w:w="24%"/>
            <w:tcMar>
              <w:top w:type="dxa" w:w="70"/>
              <w:left w:type="dxa" w:w="100"/>
              <w:bottom w:type="dxa" w:w="70"/>
              <w:right w:type="dxa" w:w="100"/>
            </w:tcMar>
            <w:vAlign w:val="center"/>
          </w:tcPr>
          <w:p>
            <w:r>
              <w:rPr>
                <w:sz w:val="20"/>
                <w:szCs w:val="20"/>
              </w:rPr>
              <w:t xml:space="preserve">A total failure reports as success</w:t>
            </w:r>
          </w:p>
        </w:tc>
        <w:tc>
          <w:tcPr>
            <w:tcW w:type="pct" w:w="76%"/>
            <w:tcMar>
              <w:top w:type="dxa" w:w="70"/>
              <w:left w:type="dxa" w:w="100"/>
              <w:bottom w:type="dxa" w:w="70"/>
              <w:right w:type="dxa" w:w="100"/>
            </w:tcMar>
            <w:vAlign w:val="center"/>
          </w:tcPr>
          <w:p>
            <w:r>
              <w:rPr>
                <w:sz w:val="20"/>
                <w:szCs w:val="20"/>
              </w:rPr>
              <w:t xml:space="preserve">Row errors are warnings, so a run in which every row fails still ends with “Done” and exits zero. This happened four times during the September work while the target still held rows from an earlier run, which made the output look plausible. Read written= and errors= rather than the closing line.</w:t>
            </w:r>
          </w:p>
        </w:tc>
      </w:tr>
      <w:tr>
        <w:tc>
          <w:tcPr>
            <w:tcW w:type="pct" w:w="24%"/>
            <w:shd w:fill="F1F5F9" w:val="clear"/>
            <w:tcMar>
              <w:top w:type="dxa" w:w="70"/>
              <w:left w:type="dxa" w:w="100"/>
              <w:bottom w:type="dxa" w:w="70"/>
              <w:right w:type="dxa" w:w="100"/>
            </w:tcMar>
            <w:vAlign w:val="center"/>
          </w:tcPr>
          <w:p>
            <w:r>
              <w:rPr>
                <w:sz w:val="20"/>
                <w:szCs w:val="20"/>
              </w:rPr>
              <w:t xml:space="preserve">No failure notification</w:t>
            </w:r>
          </w:p>
        </w:tc>
        <w:tc>
          <w:tcPr>
            <w:tcW w:type="pct" w:w="76%"/>
            <w:shd w:fill="F1F5F9" w:val="clear"/>
            <w:tcMar>
              <w:top w:type="dxa" w:w="70"/>
              <w:left w:type="dxa" w:w="100"/>
              <w:bottom w:type="dxa" w:w="70"/>
              <w:right w:type="dxa" w:w="100"/>
            </w:tcMar>
            <w:vAlign w:val="center"/>
          </w:tcPr>
          <w:p>
            <w:r>
              <w:rPr>
                <w:sz w:val="20"/>
                <w:szCs w:val="20"/>
              </w:rPr>
              <w:t xml:space="preserve">Nothing reports a failed or skipped run. Once mail works, a failure-only notification is worth more than a nightly success message.</w:t>
            </w:r>
          </w:p>
        </w:tc>
      </w:tr>
      <w:tr>
        <w:tc>
          <w:tcPr>
            <w:tcW w:type="pct" w:w="24%"/>
            <w:tcMar>
              <w:top w:type="dxa" w:w="70"/>
              <w:left w:type="dxa" w:w="100"/>
              <w:bottom w:type="dxa" w:w="70"/>
              <w:right w:type="dxa" w:w="100"/>
            </w:tcMar>
            <w:vAlign w:val="center"/>
          </w:tcPr>
          <w:p>
            <w:r>
              <w:rPr>
                <w:sz w:val="20"/>
                <w:szCs w:val="20"/>
              </w:rPr>
              <w:t xml:space="preserve">Credentials in a plain file</w:t>
            </w:r>
          </w:p>
        </w:tc>
        <w:tc>
          <w:tcPr>
            <w:tcW w:type="pct" w:w="76%"/>
            <w:tcMar>
              <w:top w:type="dxa" w:w="70"/>
              <w:left w:type="dxa" w:w="100"/>
              <w:bottom w:type="dxa" w:w="70"/>
              <w:right w:type="dxa" w:w="100"/>
            </w:tcMar>
            <w:vAlign w:val="center"/>
          </w:tcPr>
          <w:p>
            <w:r>
              <w:rPr>
                <w:sz w:val="20"/>
                <w:szCs w:val="20"/>
              </w:rPr>
              <w:t xml:space="preserve">sync_config.php holds two passwords. Moving them into the repository's .env would match how REDCap tokens and the iKMC database settings are now handled.</w:t>
            </w:r>
          </w:p>
        </w:tc>
      </w:tr>
      <w:tr>
        <w:tc>
          <w:tcPr>
            <w:tcW w:type="pct" w:w="24%"/>
            <w:shd w:fill="F1F5F9" w:val="clear"/>
            <w:tcMar>
              <w:top w:type="dxa" w:w="70"/>
              <w:left w:type="dxa" w:w="100"/>
              <w:bottom w:type="dxa" w:w="70"/>
              <w:right w:type="dxa" w:w="100"/>
            </w:tcMar>
            <w:vAlign w:val="center"/>
          </w:tcPr>
          <w:p>
            <w:r>
              <w:rPr>
                <w:sz w:val="20"/>
                <w:szCs w:val="20"/>
              </w:rPr>
              <w:t xml:space="preserve">SS_rowguid is replicated needlessly</w:t>
            </w:r>
          </w:p>
        </w:tc>
        <w:tc>
          <w:tcPr>
            <w:tcW w:type="pct" w:w="76%"/>
            <w:shd w:fill="F1F5F9" w:val="clear"/>
            <w:tcMar>
              <w:top w:type="dxa" w:w="70"/>
              <w:left w:type="dxa" w:w="100"/>
              <w:bottom w:type="dxa" w:w="70"/>
              <w:right w:type="dxa" w:w="100"/>
            </w:tcMar>
            <w:vAlign w:val="center"/>
          </w:tcPr>
          <w:p>
            <w:r>
              <w:rPr>
                <w:sz w:val="20"/>
                <w:szCs w:val="20"/>
              </w:rPr>
              <w:t xml:space="preserve">A SQL Server merge-replication artefact with no analytical value. It is NOT NULL in the MySQL target, so it cannot simply be dropped from the sync without a schema change.</w:t>
            </w:r>
          </w:p>
        </w:tc>
      </w:tr>
    </w:tbl>
    <w:p>
      <w:pPr>
        <w:pStyle w:val="Heading1"/>
        <w:spacing w:after="160" w:before="360"/>
      </w:pPr>
      <w:r>
        <w:t xml:space="preserve">6. Verifying It Ran</w:t>
      </w:r>
    </w:p>
    <w:p>
      <w:pPr>
        <w:spacing w:after="160"/>
      </w:pPr>
      <w:r>
        <w:t xml:space="preserve">In order, quickest first:</w:t>
      </w:r>
    </w:p>
    <w:p>
      <w:pPr>
        <w:shd w:fill="F1F5F9" w:val="clear"/>
        <w:spacing w:after="60" w:before="60"/>
        <w:ind w:left="360"/>
      </w:pPr>
      <w:r>
        <w:rPr>
          <w:rFonts w:ascii="Courier New" w:hAnsi="Courier New"/>
          <w:sz w:val="18"/>
          <w:szCs w:val="18"/>
        </w:rPr>
        <w:t xml:space="preserve">grep CRON /var/log/syslog | grep -i sync | tail -5</w:t>
      </w:r>
    </w:p>
    <w:p>
      <w:pPr>
        <w:shd w:fill="F1F5F9" w:val="clear"/>
        <w:spacing w:after="60" w:before="60"/>
        <w:ind w:left="360"/>
      </w:pPr>
      <w:r>
        <w:rPr>
          <w:rFonts w:ascii="Courier New" w:hAnsi="Courier New"/>
          <w:sz w:val="18"/>
          <w:szCs w:val="18"/>
        </w:rPr>
        <w:t xml:space="preserve">grep -E 'Done\.|errors=' /var/log/ikmc_sync/sync_$(date +%F).log</w:t>
      </w:r>
    </w:p>
    <w:p>
      <w:pPr>
        <w:shd w:fill="F1F5F9" w:val="clear"/>
        <w:spacing w:after="60" w:before="60"/>
        <w:ind w:left="360"/>
      </w:pPr>
      <w:r>
        <w:rPr>
          <w:rFonts w:ascii="Courier New" w:hAnsi="Courier New"/>
          <w:sz w:val="18"/>
          <w:szCs w:val="18"/>
        </w:rPr>
        <w:t xml:space="preserve">cat /var/log/ikmc_sync/cron.log</w:t>
      </w:r>
    </w:p>
    <w:p>
      <w:pPr>
        <w:spacing w:after="160"/>
      </w:pPr>
      <w:r>
        <w:t xml:space="preserve">Then the check that actually proves it — compare the target row count against the source, and read three rows to confirm GUIDs are hyphenated, dates are ISO, and times are plausible clock values. Both conversion bugs found in September would have been caught immediately by reading rows, and neither was visible in the summary output.</w:t>
      </w:r>
    </w:p>
    <w:p>
      <w:pPr>
        <w:spacing w:before="400"/>
        <w:jc w:val="center"/>
      </w:pPr>
      <w:r>
        <w:rPr>
          <w:i/>
          <w:iCs/>
          <w:color w:val="6B7280"/>
        </w:rPr>
        <w:t xml:space="preserve">End of Handover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2026-07-16T22:40:32.468Z</dcterms:created>
  <dcterms:modified xsi:type="dcterms:W3CDTF">2026-07-16T22:40:32.480Z</dcterms:modified>
</cp:coreProperties>
</file>

<file path=docProps/custom.xml><?xml version="1.0" encoding="utf-8"?>
<Properties xmlns="http://schemas.openxmlformats.org/officeDocument/2006/custom-properties" xmlns:vt="http://schemas.openxmlformats.org/officeDocument/2006/docPropsVTypes"/>
</file>