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EMOLLIENT WIDE DUMP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Analyst Guide — Version 2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CEL Reporting Engine  •  REDCap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Emollient Wide Dump — Analyst Guide v2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 — column-set caveats and provenance added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Analysts working with the exported data. No REDCap experience assumed.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Source project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ICMR Emollient Main (REDCap, longitudinal, repeating forms)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Produced by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 Reporting Engine, tools/dump.php</w:t>
            </w:r>
          </w:p>
        </w:tc>
      </w:tr>
      <w:tr>
        <w:trPr>
          <w:tblHeader w:val="false"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Companion files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&lt;name&gt;_codebook.csv, &lt;name&gt;_labels.csv, &lt;name&gt;_choices.csv</w:t>
            </w:r>
          </w:p>
        </w:tc>
      </w:tr>
      <w:tr>
        <w:trPr>
          <w:tblHeader w:val="false"/>
        </w:trPr>
        <w:tc>
          <w:tcPr>
            <w:tcW w:type="dxa" w:w="2434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92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Amit — CEL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this export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Emollient REDCap project is longitudinal with repeating forms. A baby is followed across 29 study events (day 0 to day 28, plus discharge and other-forms events), and on each day the emolliation and control-log forms can be completed more than once.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wide dump flattens all of that into ONE ROW PER BABY. Every value a baby has, on any day, in any form, in any repeat instance, appears as its own column on that baby’s single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08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FullProjectDumpNoRepeat</w:t>
            </w:r>
          </w:p>
        </w:tc>
        <w:tc>
          <w:tcPr>
            <w:tcW w:type="dxa" w:w="308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WideDump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 (babies)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10,659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10,659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9,083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Forms included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 core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318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Repeating instances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expanded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expanded</w:t>
            </w:r>
          </w:p>
        </w:tc>
      </w:tr>
      <w:tr>
        <w:trPr>
          <w:tblHeader w:val="false"/>
        </w:trPr>
        <w:tc>
          <w:tcPr>
            <w:tcW w:type="dxa" w:w="318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Approximate size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102 MB</w:t>
            </w:r>
          </w:p>
        </w:tc>
        <w:tc>
          <w:tcPr>
            <w:tcW w:type="dxa" w:w="308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~125 MB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Row count is the number of registered babies, and it grows with enrolment — 10,649 on 29 August, 10,659 on 15 September. Quote the figure from the file you were given, not from this table.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Most babies were screened and never reached the daily forms, so the great majority of columns are empty for any given baby. That sparseness is inherent to wide format, not a fault in the export.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1.1 Ask how the file was produced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same export can be built two ways, and the column sets differ. Whoever supplies the file should tell you which — it changes what a MISSING column means.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route</w:t>
            </w:r>
          </w:p>
        </w:tc>
        <w:tc>
          <w:tcPr>
            <w:tcW w:type="dxa" w:w="327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route (no template)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 come from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 dictionary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data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field blank for every baby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present, all blank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ABSENT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between extracts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</w:t>
            </w:r>
          </w:p>
        </w:tc>
        <w:tc>
          <w:tcPr>
            <w:tcW w:type="dxa" w:w="327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varies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 column you expect is not there and the file came from the R route without a template, it means no baby in this extract has a value for that field — which is itself a finding, not an error. On the PHP route the column would be present and empty.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also matters for pooling: two R exports taken months apart may not share a header unless a template was used. Two PHP exports will.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Long layout versus wide layout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same data can be exported in two layouts. Both are complete; neither loses anything. Only the arrangement of rows and columns differs.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650"/>
        <w:gridCol w:w="3651"/>
      </w:tblGrid>
      <w:tr>
        <w:trPr>
          <w:tblHeader/>
        </w:trPr>
        <w:tc>
          <w:tcPr>
            <w:tcW w:type="dxa" w:w="205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5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RawDump (long)</w:t>
            </w:r>
          </w:p>
        </w:tc>
        <w:tc>
          <w:tcPr>
            <w:tcW w:type="dxa" w:w="3651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WideDump (wide)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is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record per event per instance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baby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Rows</w:t>
            </w:r>
          </w:p>
        </w:tc>
        <w:tc>
          <w:tcPr>
            <w:tcW w:type="dxa" w:w="3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~67,900</w:t>
            </w:r>
          </w:p>
        </w:tc>
        <w:tc>
          <w:tcPr>
            <w:tcW w:type="dxa" w:w="3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10,649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~700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14,588</w:t>
            </w:r>
          </w:p>
        </w:tc>
      </w:tr>
      <w:tr>
        <w:trPr>
          <w:tblHeader w:val="false"/>
        </w:trPr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is</w:t>
            </w:r>
          </w:p>
        </w:tc>
        <w:tc>
          <w:tcPr>
            <w:tcW w:type="dxa" w:w="3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column (redcap_event_name)</w:t>
            </w:r>
          </w:p>
        </w:tc>
        <w:tc>
          <w:tcPr>
            <w:tcW w:type="dxa" w:w="36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 of the column name</w:t>
            </w:r>
          </w:p>
        </w:tc>
      </w:tr>
      <w:tr>
        <w:trPr>
          <w:tblHeader w:val="false"/>
        </w:trPr>
        <w:tc>
          <w:tcPr>
            <w:tcW w:type="dxa" w:w="205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Instance is</w:t>
            </w:r>
          </w:p>
        </w:tc>
        <w:tc>
          <w:tcPr>
            <w:tcW w:type="dxa" w:w="3650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column (redcap_repeat_instance)</w:t>
            </w:r>
          </w:p>
        </w:tc>
        <w:tc>
          <w:tcPr>
            <w:tcW w:type="dxa" w:w="3651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 of the column name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2.1 The same value in both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Long layout keeps REDCap’s native arrangement — one row per record per event per instance: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record_id, redcap_event_name, redcap_repeat_instance, int_oil_qty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day1_arm_1,        1,                      12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day1_arm_1,        2,                      14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Wide format moves event and instance into the column name: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record_id, day1_..._form_1_int_oil_qty, day1_..._form_2_int_oil_qty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307-9,     12,                          14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2.2 Which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Wide — when the unit of analysis is the baby: regression, one row per participant, baseline and outcome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Long — for anything varying by day or session: mixed-effects models, survival analysis, trajectory plots, or simply counting events.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Filtering is far easier in long format. Counting emolliation sessions is one subset() call, against a regex over 86 column names in wide. Many analyses use long for the daily forms and wide for baseline and outcomes, joined on record_id.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How to read a column name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Non-repeating form — three parts: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day0_arm_1_registration_reg_dc_id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|--event--||--form----||--field--|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Repeating form — the instance number sits between form and field: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day1_arm_1_daily_interventionemolliation_form_3_int_datetime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|--event--||----------form-------------------|^ |--field--|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instance -+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Checkbox questions become one column per option, each holding 0 or 1: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day1_arm_1_daily_interventionemolliation_form_1_int_sae_reasons___NND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3.1 Instance caps follow the protocol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Day 0 permits a maximum of 2 emolliation records; days 1 to 28 permit 3. The export honours this, so day0_..._form_3_... does not exist while day1_..._form_3_... does.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matters: the column set is fixed by protocol rather than by whatever happens to be in the data, so the header is stable between exports and two extracts can be pooled.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Coded values — the most common source of error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REDCap stores the CODE, not the answer text. A dropdown displaying "Yes / No / Not investigated" is stored as Y, N, NI. The export contains the codes, so without the codebook the columns are unreadable.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1685"/>
        <w:gridCol w:w="3369"/>
      </w:tblGrid>
      <w:tr>
        <w:trPr>
          <w:tblHeader/>
        </w:trPr>
        <w:tc>
          <w:tcPr>
            <w:tcW w:type="dxa" w:w="4306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68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369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30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36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430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3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4306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int_emoliate_baby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</w:t>
            </w:r>
          </w:p>
        </w:tc>
        <w:tc>
          <w:tcPr>
            <w:tcW w:type="dxa" w:w="3369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investigated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full lookup is in &lt;name&gt;_choices.csv, one row per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4.1 Three rules that prevent wrong answers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Blank is not zero and not "No". A blank means the question was never answered, most often because branching logic hid it. The branching_logic column in the codebook states the condition under which a field was shown at 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 is its own value. It means not investigated. Folding it into N overstates the negative — only an exact "N" is a no, and only an exact "Y" is a yes.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Checkbox columns are all zero both when nothing was selected AND when the question was never reached. The two are indistinguishable without checking the branching condition.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4.2 Decoding in R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ch &lt;- read.csv("emol_choices.csv")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decode &lt;- function(x, field)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m &lt;- ch[ch$field_name == field, 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setNames(m$meaning, m$code)[as.character(x)]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d$emol_d1 &lt;- decode(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d$day1_arm_1_daily_interventionemolliation_form_1_int_emoliate_baby,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"int_emoliate_baby")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The companion metadata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5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&lt;name&gt;_codebook.csv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wide column: event, form, instance, field name, question label, field type, answer options, validation rule, and branching logic.</w:t>
            </w:r>
          </w:p>
        </w:tc>
      </w:tr>
      <w:tr>
        <w:trPr>
          <w:tblHeader w:val="false"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&lt;name&gt;_labels.csv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single line — the question labels in wide-column order.</w:t>
            </w:r>
          </w:p>
        </w:tc>
      </w:tr>
      <w:tr>
        <w:trPr>
          <w:tblHeader w:val="false"/>
        </w:trPr>
        <w:tc>
          <w:tcPr>
            <w:tcW w:type="dxa" w:w="2808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&lt;name&gt;_choices.csv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row per coded answer: field, code, meaning.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5.1 Using labels as a second header row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labels file is aligned to the dump’s columns, so it can be inserted as a second header: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head -1 wide.csv        &gt;  wide_2row.csv    # machine names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cat emol_labels.csv     &gt;&gt; wide_2row.csv    # human questions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tail -n +2 wide.csv     &gt;&gt; wide_2row.csv    # data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Do this for reading, not for analysis. A two-row header breaks read.csv, pandas.read_csv and every other loader, because the second row is text and forces every column to character type.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the dump machine-readable and attach labels as metadata instead: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   &lt;- read.csv("wide.csv", check.names = FALSE)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cb  &lt;- read.csv("emol_codebook.csv")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lbl &lt;- setNames(cb$question_label, cb$column_name)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attr(d, "labels") &lt;- lbl[names(d)]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Totals across repeating instances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Counting anything that repeats means summing the instance columns. The pattern is always: build a regex on {event}_{form}_{instance}_{field}, then rowSums.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6.1 Sessions on one day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grep("^day1_arm_1_daily_interventionemolliation_form_[0-9]+_int_emoliate_baby$",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d$sessions_day1 &lt;- rowSums(d[cols] == "Y",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6.2 Sessions across the whole stay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grep("^day[0-9]+_arm_1_daily_interventionemolliation_form_[0-9]+_int_emoliate_baby$",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d$sessions_total &lt;- rowSums(d[cols] == "Y",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6.3 A numeric total, e.g. oil used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cols &lt;- grep("_daily_interventionemolliation_form_[0-9]+_int_oil_qty$",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d$oil_total &lt;- rowSums(sapply(d[cols], as.numeric), na.rm = TRUE)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6.4 Days with at least one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day counts once however many instances it holds: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days &lt;- sprintf("day%d_arm_1", 0:28)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d$days_emolliated &lt;- rowSums(sapply(days, function(ev) {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cols &lt;- grep(paste0("^", ev,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"_daily_interventionemolliation_form_[0-9]+_int_emoliate_baby$"),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  names(d), value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if (!length(cols)) return(rep(0, nrow(d)))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  as.integer(rowSums(d[cols] == "Y", na.rm = TRUE) &gt; 0)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}))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6.5 Adherence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Sessions done over sessions possible. Day 0 allows 2 and days 1 to 28 allow 3, so a full 29-day stay permits 86. Adjust the denominator for actual length of stay.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d$sessions_possible &lt;- 2 + 3 * 28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d$adherence &lt;- d$sessions_total / d$sessions_possible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6.6 Always anchor the regex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^ and $. An unanchored pattern for int_emoliate_baby will also match int_emoliate_baby_reason and any other field sharing the prefix, silently inflating the total.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6.7 Cross-check every derived total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long file needs no reshaping, so it is the natural control. These two must agree: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long &lt;- read.csv("raw.csv")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sum(long$int_emoliate_baby == "Y", na.rm =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6"/>
          <w:szCs w:val="16"/>
        </w:rPr>
        <w:t xml:space="preserve">sum(d$sessions_total)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they disagree, the regex is wrong — not the export.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Practical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14,588 columns is beyond what Excel will comfortably open. Use R or pandas.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WideDump is roughly 125 MB; FullProjectDumpNoRepeat about 102 MB. An R-route file without a template will be smaller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Instance columns are sparse. Most babies have no third session on most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with RFC 4180 semantics. R’s read.csv and pandas.read_csv are correct by default. In PHP, pass an empty string as fgetcsv’s escape argument, or values containing a backslash come back corrupted.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Questions to ask before analysing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Worth settling with the study team rather than assuming: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Length of stay varies. The adherence denominator of 86 assumes a full 29 days; confirm how to handle babies discharged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Blank versus NI versus N — confirm which combinations the protocol treats as non-administration.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SEPSIS_IMPRESS_PROB and similar intermediate codes belong in any given denominator.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two extracts taken on different dates may be pooled. On the PHP route the header is protocol-stable; on the R route it is not unless a template was used.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6552"/>
      </w:tblGrid>
      <w:tr>
        <w:trPr>
          <w:tblHeader/>
        </w:trPr>
        <w:tc>
          <w:tcPr>
            <w:tcW w:type="dxa" w:w="1123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85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552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123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685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Sep 2026</w:t>
            </w:r>
          </w:p>
        </w:tc>
        <w:tc>
          <w:tcPr>
            <w:tcW w:type="dxa" w:w="6552"/>
            <w:shd w:fill="F7F9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Initial guide.</w:t>
            </w:r>
          </w:p>
        </w:tc>
      </w:tr>
      <w:tr>
        <w:trPr>
          <w:tblHeader w:val="false"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Sep 2026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 section 1.1 on export provenance and the column-set difference between routes. Corrected the claim that headers are always protocol-stable — that holds for the PHP route only. Updated record count and file sizes.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Emollient Wide Dump — Analyst Guide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2026-09-15T11:10:55.696Z</dcterms:created>
  <dcterms:modified xsi:type="dcterms:W3CDTF">2026-09-15T11:10:55.696Z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